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2019年7月“乌-昌-石”、“奎-独-乌”区域各县（市 区）环境空气质量状况及排名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按照《关于印发&lt;自治区打赢蓝天保卫战三年行动计划（2018-2020年）&gt;的通知》（新政办发〔2018〕66号）的信息公开要求，现将2019年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月“乌-昌-石”“奎-独-乌”区域各县（市、区）空气质量状况及排名情况公开如下：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一、空气质量状况及变化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（1）“乌-昌-石”区域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2019年7月，“乌-昌-石”区域平均优良天数比例为97.9%，轻度污染比例为2.1%，未出现中度、重度及严重污染，首要污染物主要为O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。与去年同期相比，平均优良天数比例减少0.9个百分点，轻度污染比例增加0.9个百分点，中度、重度及严重污染比例均持平，区域空气质量略有下降。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乌-昌-石”区域5市3县中，乌鲁木齐市、昌吉市、阜康市、五家渠市、呼图壁县和沙湾县等6县市优良天数比例均为100%，玛纳斯县、石河子市等2县市优良天数比例分别为86.2%、96.7%，受臭氧超标影响分别出现4天、1天轻度污染。与去年同期相比，玛纳斯县优良天数比例减少13.8个百分点，昌吉市、五家渠市等2城市优良天数比例均增加3.2个百分点，其余5县市优良天数比例均持平（见表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“乌-昌-石”区域5市3县均未出现重污染天数，与去年同期相同。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“乌-昌-石”区域PM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月均浓度分别为46μg/m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和17μg/m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，与去年同期相比，PM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月均浓度分别上升21.1%、13.3%，各城市具体变化为：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:区域8县市中，7县市浓度同比上升，1县市浓度同比下降。沙湾县月均浓度为45μg/m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，同比上升87.5%；阜康市月均浓度为53μg/m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，同比上升35.9%；石河子市月均浓度为50μg/m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，同比上升31.6%；昌吉市月均浓度为47μg/m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，同比上升20.5%；玛纳斯县月均浓度为40μg/m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，同比上升8.1%；乌鲁木齐市月均浓度为60μg/m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，同比上升7.1%；五家渠市月均浓度为51μg/m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，同比上升4.1%；呼图壁县月均浓度为22μg/m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，同比下降4.3%。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 区域8县市中，5县市浓度同比上升，3县市浓度同比下降。阜康市月均浓度为22μg/m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，同比上升83.3%；石河子市月均浓度为21μg/m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，同比上升50.0%；沙湾县月均浓度为16μg/m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，同比上升23.1%；玛纳斯县月均浓度为13μg/m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，同比上升18.2%；五家渠市月均浓度为16μg/m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，同比上升6.7%；呼图壁县月均浓度为10μg/m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，同比下降16.7%；乌鲁木齐市月均浓度为17μg/m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，同比下降10.5%；昌吉市月均浓度为20μg/m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，同比下降4.8%（见表1）。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（2）“奎-独-乌”区域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2019年7月，“奎-独-乌”区域平均优良天数比例为100%，未出现污染，与去年同期相比，平均优良天数比例增加5.3个百分点，轻度污染比例减少5.3个百分点，空气质量有所好转。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“奎-独-乌”区域2市1区优良天数比例均为100%，与去年同期相比，独山子区优良天数比例增加16.0个百分点，奎屯、乌苏2城市优良天数比例持平（见表1）。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“奎-独-乌”区域2市1区均未出现重污染天气，与去年同期相同。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“奎-独-乌”区域PM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月均浓度分别为31μg/m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和13μg/m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，与去年同期相比，PM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月均浓度下降3.1%，PM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月均浓度持平。各城市具体变化为：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 区域3市区中，1市区浓度同比上升，2市区浓度同比下降。奎屯市月均浓度为38μg/m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，同比上升18.8%；独山子区月均浓度为28μg/m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，同比下降15.2%；乌苏市月均浓度为28μg/m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，同比下降9.7%。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 区域3市区中，1市区浓度同比上升，2市区浓度同比下降。奎屯市月均浓度为18μg/m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，同比上升38.5%；独山子区月均浓度为11μg/m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，同比下降21.4%；乌苏市月均浓度为11μg/m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，同比下降8.3%（见表1）。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985" w:right="1531" w:bottom="1985" w:left="1531" w:header="851" w:footer="992" w:gutter="0"/>
          <w:cols w:space="425" w:num="1"/>
          <w:docGrid w:type="lines" w:linePitch="43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表1    2019年7月重点区域城市空气质量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情况</w:t>
      </w:r>
    </w:p>
    <w:tbl>
      <w:tblPr>
        <w:tblStyle w:val="7"/>
        <w:tblpPr w:leftFromText="180" w:rightFromText="180" w:vertAnchor="text" w:horzAnchor="page" w:tblpX="816" w:tblpY="765"/>
        <w:tblOverlap w:val="never"/>
        <w:tblW w:w="154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71"/>
        <w:gridCol w:w="771"/>
        <w:gridCol w:w="848"/>
        <w:gridCol w:w="578"/>
        <w:gridCol w:w="576"/>
        <w:gridCol w:w="741"/>
        <w:gridCol w:w="580"/>
        <w:gridCol w:w="576"/>
        <w:gridCol w:w="741"/>
        <w:gridCol w:w="580"/>
        <w:gridCol w:w="576"/>
        <w:gridCol w:w="741"/>
        <w:gridCol w:w="610"/>
        <w:gridCol w:w="576"/>
        <w:gridCol w:w="741"/>
        <w:gridCol w:w="676"/>
        <w:gridCol w:w="584"/>
        <w:gridCol w:w="741"/>
        <w:gridCol w:w="709"/>
        <w:gridCol w:w="709"/>
        <w:gridCol w:w="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76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城市</w:t>
            </w:r>
          </w:p>
        </w:tc>
        <w:tc>
          <w:tcPr>
            <w:tcW w:w="239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优良天数比例(AQI)</w:t>
            </w:r>
          </w:p>
        </w:tc>
        <w:tc>
          <w:tcPr>
            <w:tcW w:w="189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PM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</w:rPr>
              <w:t>μg/m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PM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</w:rPr>
              <w:t>μg/m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9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</w:rPr>
              <w:t>μg/m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2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NO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</w:rPr>
              <w:t>μg/m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CO(mg/m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2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-8h(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</w:rPr>
              <w:t>μg/m</w:t>
            </w:r>
            <w:r>
              <w:rPr>
                <w:rFonts w:hint="eastAsia" w:asciiTheme="minorEastAsia" w:hAnsiTheme="minorEastAsia" w:eastAsiaTheme="minorEastAsia" w:cstheme="minorEastAsia"/>
                <w:color w:val="4B4B4B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6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同比变化（百分点）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同比变化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同比变化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同比变化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同比变化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同比变化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乌鲁木齐市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7.1%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-10.5%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-3.6%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04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石河子市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96.7%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96.7%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31.6%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50.0%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37.5%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36.8%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昌吉市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96.8%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20.5%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-4.8%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-30.0%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阜康市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35.9%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83.3%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11.1%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43.8%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五家渠市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96.8%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4.1%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-10.0%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25.0%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玛纳斯县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86.2%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-13.8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8.1%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18.2%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-46.2%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55.6%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30.4%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呼图壁县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-4.3%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-16.7%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7.7%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1.4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-71.4%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122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47.0%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沙湾县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87.5%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23.1%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-33.3%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/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-62.5%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“乌-昌-石”区域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98.8%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97.9%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-0.9</w:t>
            </w:r>
          </w:p>
        </w:tc>
        <w:tc>
          <w:tcPr>
            <w:tcW w:w="5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21.1%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13.3%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-16.7%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5.0%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0.5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-37.5%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125 </w:t>
            </w:r>
          </w:p>
        </w:tc>
        <w:tc>
          <w:tcPr>
            <w:tcW w:w="704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奎屯市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18.8%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38.5%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50.0%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-53.8%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1.4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-28.6%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704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乌苏市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-9.7%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-8.3%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25.0%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14.3%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0.9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独山子区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84.0%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16.0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-15.2%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-21.4%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87.5%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0.9 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0.4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-55.6%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-7.7%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“奎-独-乌”区域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94.7%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84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5.3</w:t>
            </w:r>
          </w:p>
        </w:tc>
        <w:tc>
          <w:tcPr>
            <w:tcW w:w="5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-3.1%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0.0%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20.0%</w:t>
            </w:r>
          </w:p>
        </w:tc>
        <w:tc>
          <w:tcPr>
            <w:tcW w:w="6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-14.3%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58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0.7 </w:t>
            </w:r>
          </w:p>
        </w:tc>
        <w:tc>
          <w:tcPr>
            <w:tcW w:w="74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-36.4%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704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-3.6%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14129" w:type="dxa"/>
            <w:gridSpan w:val="21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沙湾县2018年7月NO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有效数据不足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134" w:right="680" w:bottom="1134" w:left="680" w:header="851" w:footer="992" w:gutter="0"/>
          <w:cols w:space="425" w:num="1"/>
          <w:docGrid w:type="lines" w:linePitch="43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二、排名情况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（1）“乌-昌-石”区域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2019年7月，“乌-昌-石”区域城市环境空气质量综合指数由低到高排名依次为沙湾县、呼图壁县、玛纳斯县、五家渠市、昌吉市、阜康市、石河子市、乌鲁木齐市。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具体空气质量排名结果见表2。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（2）“奎-独-乌”区域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2019年7月，“奎-独-乌”区域城市环境空气质量综合指数由低到高排名依次为乌苏市、独山子区、奎屯市。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具体空气质量排名结果见表3。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4" w:firstLineChars="300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表2   “乌-昌-石”区域5市3县空气质量排名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373" w:firstLineChars="105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（2019年7月）</w:t>
      </w:r>
    </w:p>
    <w:tbl>
      <w:tblPr>
        <w:tblStyle w:val="7"/>
        <w:tblpPr w:leftFromText="180" w:rightFromText="180" w:vertAnchor="text" w:horzAnchor="page" w:tblpX="1907" w:tblpY="715"/>
        <w:tblOverlap w:val="never"/>
        <w:tblW w:w="8320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4"/>
        <w:gridCol w:w="3270"/>
        <w:gridCol w:w="374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6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7504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环境空气质量综合指数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764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城市</w:t>
            </w:r>
          </w:p>
        </w:tc>
        <w:tc>
          <w:tcPr>
            <w:tcW w:w="374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6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沙湾县</w:t>
            </w:r>
          </w:p>
        </w:tc>
        <w:tc>
          <w:tcPr>
            <w:tcW w:w="374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2.38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呼图壁县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2.47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玛纳斯县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2.71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五家渠市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2.87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昌吉市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3.19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站点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新区政务中心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2.93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州监测站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3.49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阜康市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3.26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石河子市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站点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艾青诗歌馆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3.30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阳光学校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3.32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76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乌鲁木齐市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站点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培训基地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2.07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米东区环保局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3.27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铁路局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3.27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监测站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3.48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三十一中学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3.57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新疆农科院农场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3.72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6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27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收费所</w:t>
            </w:r>
          </w:p>
        </w:tc>
        <w:tc>
          <w:tcPr>
            <w:tcW w:w="374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3.95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Hlk51865778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124" w:firstLineChars="350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表3      “奎-独-乌”区域城市空气质量排名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34" w:firstLineChars="11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（2019年7月）</w:t>
      </w:r>
      <w:bookmarkStart w:id="1" w:name="_GoBack"/>
      <w:bookmarkEnd w:id="1"/>
    </w:p>
    <w:tbl>
      <w:tblPr>
        <w:tblStyle w:val="7"/>
        <w:tblpPr w:leftFromText="180" w:rightFromText="180" w:vertAnchor="text" w:horzAnchor="margin" w:tblpXSpec="center" w:tblpY="38"/>
        <w:tblW w:w="79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116"/>
        <w:gridCol w:w="31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60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624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0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城市</w:t>
            </w:r>
          </w:p>
        </w:tc>
        <w:tc>
          <w:tcPr>
            <w:tcW w:w="312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16" w:type="dxa"/>
            <w:tcBorders>
              <w:top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乌苏市</w:t>
            </w:r>
          </w:p>
        </w:tc>
        <w:tc>
          <w:tcPr>
            <w:tcW w:w="3124" w:type="dxa"/>
            <w:tcBorders>
              <w:top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1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独山子区</w:t>
            </w:r>
          </w:p>
        </w:tc>
        <w:tc>
          <w:tcPr>
            <w:tcW w:w="312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6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16" w:type="dxa"/>
            <w:tcBorders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奎屯市</w:t>
            </w:r>
          </w:p>
        </w:tc>
        <w:tc>
          <w:tcPr>
            <w:tcW w:w="3124" w:type="dxa"/>
            <w:tcBorders>
              <w:bottom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2.56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备注：1.环境空气质量综合指数越低，空气质量越好。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2.综合指数同比变化率＞0表示空气质量同比恶化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综合指数同比变化率＝0表示空气质量同比持平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综合指数同比变化率＜0表示空气质量同比改善。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三、沙尘天气影响情况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2019年7月，“乌-昌-石”区域、“奎-独-乌”区域均未出现沙尘天气，与去年同期相同。</w:t>
      </w:r>
    </w:p>
    <w:sectPr>
      <w:pgSz w:w="11906" w:h="16838"/>
      <w:pgMar w:top="1985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D48"/>
    <w:rsid w:val="000028E8"/>
    <w:rsid w:val="00017A4A"/>
    <w:rsid w:val="00027DC7"/>
    <w:rsid w:val="00030224"/>
    <w:rsid w:val="000377CC"/>
    <w:rsid w:val="00041283"/>
    <w:rsid w:val="00047D45"/>
    <w:rsid w:val="00056244"/>
    <w:rsid w:val="00066C6B"/>
    <w:rsid w:val="000748AE"/>
    <w:rsid w:val="00082E05"/>
    <w:rsid w:val="0009095C"/>
    <w:rsid w:val="00092E7C"/>
    <w:rsid w:val="00094ADE"/>
    <w:rsid w:val="000959C9"/>
    <w:rsid w:val="00097534"/>
    <w:rsid w:val="000A41FC"/>
    <w:rsid w:val="000A5ABB"/>
    <w:rsid w:val="000B624E"/>
    <w:rsid w:val="000B6611"/>
    <w:rsid w:val="000D6F8C"/>
    <w:rsid w:val="000E4477"/>
    <w:rsid w:val="000E7AC8"/>
    <w:rsid w:val="000F783E"/>
    <w:rsid w:val="000F7D14"/>
    <w:rsid w:val="001021A5"/>
    <w:rsid w:val="0010734C"/>
    <w:rsid w:val="00112FBB"/>
    <w:rsid w:val="0012770A"/>
    <w:rsid w:val="001376BF"/>
    <w:rsid w:val="00140A3B"/>
    <w:rsid w:val="00153739"/>
    <w:rsid w:val="00160504"/>
    <w:rsid w:val="00160669"/>
    <w:rsid w:val="00163E51"/>
    <w:rsid w:val="0016417F"/>
    <w:rsid w:val="00171DBC"/>
    <w:rsid w:val="00172808"/>
    <w:rsid w:val="00183D55"/>
    <w:rsid w:val="001852E5"/>
    <w:rsid w:val="00197826"/>
    <w:rsid w:val="001A019E"/>
    <w:rsid w:val="001A50E1"/>
    <w:rsid w:val="001B2FF0"/>
    <w:rsid w:val="001B4265"/>
    <w:rsid w:val="001B6539"/>
    <w:rsid w:val="001D08A8"/>
    <w:rsid w:val="001F1D5A"/>
    <w:rsid w:val="001F205A"/>
    <w:rsid w:val="001F6D0F"/>
    <w:rsid w:val="00200196"/>
    <w:rsid w:val="0020698D"/>
    <w:rsid w:val="00222AC3"/>
    <w:rsid w:val="00225946"/>
    <w:rsid w:val="00243030"/>
    <w:rsid w:val="00251597"/>
    <w:rsid w:val="00261F11"/>
    <w:rsid w:val="00287193"/>
    <w:rsid w:val="002A39C3"/>
    <w:rsid w:val="002A3BBD"/>
    <w:rsid w:val="002A571C"/>
    <w:rsid w:val="002B6EBE"/>
    <w:rsid w:val="002C0169"/>
    <w:rsid w:val="002C3019"/>
    <w:rsid w:val="002C7604"/>
    <w:rsid w:val="002D0AA9"/>
    <w:rsid w:val="002D5852"/>
    <w:rsid w:val="0030014E"/>
    <w:rsid w:val="00307415"/>
    <w:rsid w:val="00312E22"/>
    <w:rsid w:val="00346C82"/>
    <w:rsid w:val="00355C34"/>
    <w:rsid w:val="00356774"/>
    <w:rsid w:val="003632DD"/>
    <w:rsid w:val="0036706C"/>
    <w:rsid w:val="00377AB1"/>
    <w:rsid w:val="00381587"/>
    <w:rsid w:val="003A0BF7"/>
    <w:rsid w:val="003C05CF"/>
    <w:rsid w:val="003D2033"/>
    <w:rsid w:val="003D3732"/>
    <w:rsid w:val="003D48BF"/>
    <w:rsid w:val="003D583A"/>
    <w:rsid w:val="003D6D27"/>
    <w:rsid w:val="00400507"/>
    <w:rsid w:val="004141D0"/>
    <w:rsid w:val="004164ED"/>
    <w:rsid w:val="004377EB"/>
    <w:rsid w:val="00437F52"/>
    <w:rsid w:val="00444535"/>
    <w:rsid w:val="004507C2"/>
    <w:rsid w:val="00456367"/>
    <w:rsid w:val="00460684"/>
    <w:rsid w:val="0046424D"/>
    <w:rsid w:val="004731B0"/>
    <w:rsid w:val="00474639"/>
    <w:rsid w:val="004756EF"/>
    <w:rsid w:val="004773CF"/>
    <w:rsid w:val="0048221C"/>
    <w:rsid w:val="00494020"/>
    <w:rsid w:val="004955D7"/>
    <w:rsid w:val="004A35FA"/>
    <w:rsid w:val="004A43C3"/>
    <w:rsid w:val="004A58B1"/>
    <w:rsid w:val="004B0694"/>
    <w:rsid w:val="004B3AE0"/>
    <w:rsid w:val="004B49A2"/>
    <w:rsid w:val="004C1F28"/>
    <w:rsid w:val="004C5737"/>
    <w:rsid w:val="004D0933"/>
    <w:rsid w:val="004D21B0"/>
    <w:rsid w:val="004E5AD6"/>
    <w:rsid w:val="004F7F9A"/>
    <w:rsid w:val="005016E1"/>
    <w:rsid w:val="00505DEB"/>
    <w:rsid w:val="00512FF5"/>
    <w:rsid w:val="00540D45"/>
    <w:rsid w:val="00546731"/>
    <w:rsid w:val="00554141"/>
    <w:rsid w:val="00580D48"/>
    <w:rsid w:val="005876C5"/>
    <w:rsid w:val="0059194E"/>
    <w:rsid w:val="00593D0B"/>
    <w:rsid w:val="00597213"/>
    <w:rsid w:val="005A5721"/>
    <w:rsid w:val="005B6882"/>
    <w:rsid w:val="005B786C"/>
    <w:rsid w:val="005C5083"/>
    <w:rsid w:val="005C6674"/>
    <w:rsid w:val="005F07F2"/>
    <w:rsid w:val="00606D2C"/>
    <w:rsid w:val="0062263D"/>
    <w:rsid w:val="006304FE"/>
    <w:rsid w:val="00634340"/>
    <w:rsid w:val="0063798B"/>
    <w:rsid w:val="0066081B"/>
    <w:rsid w:val="0067004C"/>
    <w:rsid w:val="00671E20"/>
    <w:rsid w:val="006804DF"/>
    <w:rsid w:val="00687519"/>
    <w:rsid w:val="00694D93"/>
    <w:rsid w:val="006A418A"/>
    <w:rsid w:val="006C3F33"/>
    <w:rsid w:val="006C4E63"/>
    <w:rsid w:val="006D015E"/>
    <w:rsid w:val="006D7739"/>
    <w:rsid w:val="006E4E64"/>
    <w:rsid w:val="006E51DE"/>
    <w:rsid w:val="006E61A6"/>
    <w:rsid w:val="006F5B89"/>
    <w:rsid w:val="006F60A6"/>
    <w:rsid w:val="00713188"/>
    <w:rsid w:val="00724B8C"/>
    <w:rsid w:val="00730473"/>
    <w:rsid w:val="00730B9D"/>
    <w:rsid w:val="00742454"/>
    <w:rsid w:val="00746DC2"/>
    <w:rsid w:val="007532BB"/>
    <w:rsid w:val="0075467D"/>
    <w:rsid w:val="0076272D"/>
    <w:rsid w:val="00767912"/>
    <w:rsid w:val="00775720"/>
    <w:rsid w:val="0077773C"/>
    <w:rsid w:val="00781D9E"/>
    <w:rsid w:val="007A7187"/>
    <w:rsid w:val="007B6B59"/>
    <w:rsid w:val="007C28FD"/>
    <w:rsid w:val="007D2B58"/>
    <w:rsid w:val="007E358C"/>
    <w:rsid w:val="007E6E4E"/>
    <w:rsid w:val="007F3A8C"/>
    <w:rsid w:val="0080520C"/>
    <w:rsid w:val="008071E1"/>
    <w:rsid w:val="00814B8F"/>
    <w:rsid w:val="008311F2"/>
    <w:rsid w:val="0084463C"/>
    <w:rsid w:val="00847190"/>
    <w:rsid w:val="0085235D"/>
    <w:rsid w:val="00852D55"/>
    <w:rsid w:val="00855D10"/>
    <w:rsid w:val="00872E5B"/>
    <w:rsid w:val="00873522"/>
    <w:rsid w:val="0087640B"/>
    <w:rsid w:val="00885BF0"/>
    <w:rsid w:val="00891AB6"/>
    <w:rsid w:val="008958DE"/>
    <w:rsid w:val="008A7113"/>
    <w:rsid w:val="008B07A1"/>
    <w:rsid w:val="008B4203"/>
    <w:rsid w:val="008C3D0E"/>
    <w:rsid w:val="008D54CF"/>
    <w:rsid w:val="008D682D"/>
    <w:rsid w:val="008D71A8"/>
    <w:rsid w:val="008E7292"/>
    <w:rsid w:val="008F32E7"/>
    <w:rsid w:val="00901FFD"/>
    <w:rsid w:val="00916A1E"/>
    <w:rsid w:val="00936836"/>
    <w:rsid w:val="0094427A"/>
    <w:rsid w:val="009515D9"/>
    <w:rsid w:val="0096076B"/>
    <w:rsid w:val="00960D13"/>
    <w:rsid w:val="00976A46"/>
    <w:rsid w:val="00981320"/>
    <w:rsid w:val="009870AF"/>
    <w:rsid w:val="00992BEA"/>
    <w:rsid w:val="009A68F1"/>
    <w:rsid w:val="009B52C9"/>
    <w:rsid w:val="009C620B"/>
    <w:rsid w:val="009D5FFF"/>
    <w:rsid w:val="009E2439"/>
    <w:rsid w:val="00A02BFB"/>
    <w:rsid w:val="00A30233"/>
    <w:rsid w:val="00A329EB"/>
    <w:rsid w:val="00A32E62"/>
    <w:rsid w:val="00A45C5A"/>
    <w:rsid w:val="00A5134E"/>
    <w:rsid w:val="00A64854"/>
    <w:rsid w:val="00A65A23"/>
    <w:rsid w:val="00A72E20"/>
    <w:rsid w:val="00A72FD4"/>
    <w:rsid w:val="00A808D3"/>
    <w:rsid w:val="00A93143"/>
    <w:rsid w:val="00A95B98"/>
    <w:rsid w:val="00AA7102"/>
    <w:rsid w:val="00AB189C"/>
    <w:rsid w:val="00AC0F3C"/>
    <w:rsid w:val="00AC1483"/>
    <w:rsid w:val="00AC3170"/>
    <w:rsid w:val="00AD050A"/>
    <w:rsid w:val="00AD61FD"/>
    <w:rsid w:val="00AE4F13"/>
    <w:rsid w:val="00AE6130"/>
    <w:rsid w:val="00AF0978"/>
    <w:rsid w:val="00AF5CEC"/>
    <w:rsid w:val="00AF636F"/>
    <w:rsid w:val="00B30A5A"/>
    <w:rsid w:val="00B35B44"/>
    <w:rsid w:val="00B36DFE"/>
    <w:rsid w:val="00B47291"/>
    <w:rsid w:val="00B4741F"/>
    <w:rsid w:val="00B47AAD"/>
    <w:rsid w:val="00B54215"/>
    <w:rsid w:val="00B6166E"/>
    <w:rsid w:val="00B66098"/>
    <w:rsid w:val="00B710F3"/>
    <w:rsid w:val="00B81B0E"/>
    <w:rsid w:val="00B81EE4"/>
    <w:rsid w:val="00B94040"/>
    <w:rsid w:val="00BA7679"/>
    <w:rsid w:val="00BB528F"/>
    <w:rsid w:val="00BC5553"/>
    <w:rsid w:val="00BC590A"/>
    <w:rsid w:val="00BC7A20"/>
    <w:rsid w:val="00BD4465"/>
    <w:rsid w:val="00BD55C1"/>
    <w:rsid w:val="00BE7780"/>
    <w:rsid w:val="00BF0C89"/>
    <w:rsid w:val="00BF2C8F"/>
    <w:rsid w:val="00C02FBE"/>
    <w:rsid w:val="00C20779"/>
    <w:rsid w:val="00C25A0A"/>
    <w:rsid w:val="00C3659E"/>
    <w:rsid w:val="00C41B75"/>
    <w:rsid w:val="00C41BC2"/>
    <w:rsid w:val="00C43874"/>
    <w:rsid w:val="00C56D9C"/>
    <w:rsid w:val="00C82224"/>
    <w:rsid w:val="00C84D94"/>
    <w:rsid w:val="00C862ED"/>
    <w:rsid w:val="00C86365"/>
    <w:rsid w:val="00C9244B"/>
    <w:rsid w:val="00C96C1E"/>
    <w:rsid w:val="00C97E2A"/>
    <w:rsid w:val="00CA0691"/>
    <w:rsid w:val="00CB41D7"/>
    <w:rsid w:val="00CB443F"/>
    <w:rsid w:val="00CC2C6D"/>
    <w:rsid w:val="00CC469D"/>
    <w:rsid w:val="00CE2279"/>
    <w:rsid w:val="00CE360B"/>
    <w:rsid w:val="00D00145"/>
    <w:rsid w:val="00D06D52"/>
    <w:rsid w:val="00D15642"/>
    <w:rsid w:val="00D1660C"/>
    <w:rsid w:val="00D2490E"/>
    <w:rsid w:val="00D27D71"/>
    <w:rsid w:val="00D51653"/>
    <w:rsid w:val="00D51EE7"/>
    <w:rsid w:val="00D61EDE"/>
    <w:rsid w:val="00D6791B"/>
    <w:rsid w:val="00D71983"/>
    <w:rsid w:val="00D85796"/>
    <w:rsid w:val="00D92584"/>
    <w:rsid w:val="00DA75C1"/>
    <w:rsid w:val="00DB067E"/>
    <w:rsid w:val="00DB3EB3"/>
    <w:rsid w:val="00DB4E54"/>
    <w:rsid w:val="00DB5F00"/>
    <w:rsid w:val="00DC4295"/>
    <w:rsid w:val="00DC4961"/>
    <w:rsid w:val="00DE1B8C"/>
    <w:rsid w:val="00DE34BB"/>
    <w:rsid w:val="00DF68A8"/>
    <w:rsid w:val="00E118CD"/>
    <w:rsid w:val="00E3062F"/>
    <w:rsid w:val="00E32C21"/>
    <w:rsid w:val="00E3790B"/>
    <w:rsid w:val="00E418E7"/>
    <w:rsid w:val="00E45E99"/>
    <w:rsid w:val="00E532B8"/>
    <w:rsid w:val="00E55E55"/>
    <w:rsid w:val="00E72568"/>
    <w:rsid w:val="00E8010C"/>
    <w:rsid w:val="00E842FA"/>
    <w:rsid w:val="00E93CE8"/>
    <w:rsid w:val="00E9649E"/>
    <w:rsid w:val="00EB5F17"/>
    <w:rsid w:val="00EB7816"/>
    <w:rsid w:val="00EC5C6C"/>
    <w:rsid w:val="00EC5FDC"/>
    <w:rsid w:val="00ED0CEA"/>
    <w:rsid w:val="00F03C69"/>
    <w:rsid w:val="00F36F1E"/>
    <w:rsid w:val="00F53802"/>
    <w:rsid w:val="00F66D78"/>
    <w:rsid w:val="00F8238B"/>
    <w:rsid w:val="00F83581"/>
    <w:rsid w:val="00F867A7"/>
    <w:rsid w:val="00F905A7"/>
    <w:rsid w:val="00F91DC8"/>
    <w:rsid w:val="00FA0DFF"/>
    <w:rsid w:val="00FB19EA"/>
    <w:rsid w:val="00FC13C4"/>
    <w:rsid w:val="00FC620A"/>
    <w:rsid w:val="00FC6260"/>
    <w:rsid w:val="00FC6CA0"/>
    <w:rsid w:val="00FC787B"/>
    <w:rsid w:val="00FD0C61"/>
    <w:rsid w:val="00FD4D90"/>
    <w:rsid w:val="00FD7274"/>
    <w:rsid w:val="00FE2393"/>
    <w:rsid w:val="00FE350B"/>
    <w:rsid w:val="00FE7D30"/>
    <w:rsid w:val="00FF29D8"/>
    <w:rsid w:val="07C579C1"/>
    <w:rsid w:val="10713AEB"/>
    <w:rsid w:val="1226132F"/>
    <w:rsid w:val="2A422ED2"/>
    <w:rsid w:val="34A165A3"/>
    <w:rsid w:val="442C4D58"/>
    <w:rsid w:val="4A4C4F65"/>
    <w:rsid w:val="61875CA5"/>
    <w:rsid w:val="688E1498"/>
    <w:rsid w:val="6EDE1202"/>
    <w:rsid w:val="72D953F6"/>
    <w:rsid w:val="7A5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">
    <w:name w:val="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D26D6-7AF8-4946-8534-9B7C81C8F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718</Words>
  <Characters>4093</Characters>
  <Lines>34</Lines>
  <Paragraphs>9</Paragraphs>
  <TotalTime>7</TotalTime>
  <ScaleCrop>false</ScaleCrop>
  <LinksUpToDate>false</LinksUpToDate>
  <CharactersWithSpaces>4802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2019-04-10T02:19:00Z</dcterms:created>
  <dc:creator>张红丽(起草发文)</dc:creator>
  <cp:lastModifiedBy>①覑涳白</cp:lastModifiedBy>
  <cp:lastPrinted>2019-08-08T11:25:00Z</cp:lastPrinted>
  <dcterms:modified xsi:type="dcterms:W3CDTF">2019-08-20T10:33:42Z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