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28" w:rsidRDefault="00C83328" w:rsidP="00C83328">
      <w:pPr>
        <w:pStyle w:val="1"/>
        <w:spacing w:before="0" w:after="0" w:line="560" w:lineRule="exact"/>
        <w:rPr>
          <w:rFonts w:ascii="黑体" w:eastAsia="黑体" w:hAnsi="黑体"/>
          <w:sz w:val="32"/>
          <w:szCs w:val="32"/>
        </w:rPr>
      </w:pPr>
      <w:r>
        <w:rPr>
          <w:rFonts w:ascii="黑体" w:eastAsia="黑体" w:hAnsi="黑体" w:hint="eastAsia"/>
          <w:sz w:val="32"/>
          <w:szCs w:val="32"/>
        </w:rPr>
        <w:t xml:space="preserve">附件1 </w:t>
      </w:r>
    </w:p>
    <w:p w:rsidR="00C83328" w:rsidRDefault="00C83328" w:rsidP="00C83328">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 xml:space="preserve"> 自治区排污单位环境信用评价指标及</w:t>
      </w:r>
      <w:r w:rsidRPr="00B575E8">
        <w:rPr>
          <w:rFonts w:ascii="方正小标宋简体" w:eastAsia="方正小标宋简体" w:hAnsi="方正小标宋简体" w:cs="方正小标宋简体" w:hint="eastAsia"/>
          <w:b/>
          <w:sz w:val="44"/>
          <w:szCs w:val="44"/>
        </w:rPr>
        <w:t>评</w:t>
      </w:r>
      <w:r>
        <w:rPr>
          <w:rFonts w:ascii="方正小标宋简体" w:eastAsia="方正小标宋简体" w:hAnsi="方正小标宋简体" w:cs="方正小标宋简体" w:hint="eastAsia"/>
          <w:b/>
          <w:sz w:val="44"/>
          <w:szCs w:val="44"/>
        </w:rPr>
        <w:t>分方法（试行）征求意见稿</w:t>
      </w:r>
    </w:p>
    <w:tbl>
      <w:tblPr>
        <w:tblW w:w="5000" w:type="pct"/>
        <w:tblLook w:val="04A0" w:firstRow="1" w:lastRow="0" w:firstColumn="1" w:lastColumn="0" w:noHBand="0" w:noVBand="1"/>
      </w:tblPr>
      <w:tblGrid>
        <w:gridCol w:w="816"/>
        <w:gridCol w:w="637"/>
        <w:gridCol w:w="1062"/>
        <w:gridCol w:w="4822"/>
        <w:gridCol w:w="1185"/>
      </w:tblGrid>
      <w:tr w:rsidR="00C83328" w:rsidTr="003B29D4">
        <w:trPr>
          <w:trHeight w:hRule="exact" w:val="567"/>
          <w:tblHeader/>
        </w:trPr>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3826" w:type="pct"/>
            <w:gridSpan w:val="3"/>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指  标  类  别</w:t>
            </w:r>
          </w:p>
        </w:tc>
        <w:tc>
          <w:tcPr>
            <w:tcW w:w="695" w:type="pct"/>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proofErr w:type="gramStart"/>
            <w:r>
              <w:rPr>
                <w:rFonts w:ascii="黑体" w:eastAsia="黑体" w:hAnsi="黑体" w:cs="宋体" w:hint="eastAsia"/>
                <w:color w:val="000000"/>
                <w:kern w:val="0"/>
                <w:szCs w:val="21"/>
              </w:rPr>
              <w:t>记分值</w:t>
            </w:r>
            <w:proofErr w:type="gramEnd"/>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374" w:type="pct"/>
            <w:vMerge w:val="restart"/>
            <w:tcBorders>
              <w:top w:val="nil"/>
              <w:left w:val="single" w:sz="8" w:space="0" w:color="auto"/>
              <w:bottom w:val="nil"/>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一般情形</w:t>
            </w: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警告</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责令改正、限期改正</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r>
      <w:tr w:rsidR="00C83328" w:rsidTr="003B29D4">
        <w:trPr>
          <w:trHeight w:hRule="exact" w:val="567"/>
        </w:trPr>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623" w:type="pct"/>
            <w:vMerge w:val="restart"/>
            <w:tcBorders>
              <w:top w:val="nil"/>
              <w:left w:val="single" w:sz="8" w:space="0" w:color="000000"/>
              <w:bottom w:val="single" w:sz="8" w:space="0" w:color="000000"/>
              <w:right w:val="single" w:sz="8" w:space="0" w:color="auto"/>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罚款</w:t>
            </w:r>
          </w:p>
        </w:tc>
        <w:tc>
          <w:tcPr>
            <w:tcW w:w="2829" w:type="pct"/>
            <w:tcBorders>
              <w:top w:val="nil"/>
              <w:left w:val="nil"/>
              <w:bottom w:val="single" w:sz="8" w:space="0" w:color="auto"/>
              <w:right w:val="single" w:sz="8" w:space="0" w:color="auto"/>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罚款10万以下</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w:t>
            </w:r>
          </w:p>
        </w:tc>
      </w:tr>
      <w:tr w:rsidR="00C83328" w:rsidTr="003B29D4">
        <w:trPr>
          <w:trHeight w:hRule="exact" w:val="567"/>
        </w:trPr>
        <w:tc>
          <w:tcPr>
            <w:tcW w:w="479" w:type="pct"/>
            <w:vMerge/>
            <w:tcBorders>
              <w:top w:val="nil"/>
              <w:left w:val="single" w:sz="8" w:space="0" w:color="auto"/>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623" w:type="pct"/>
            <w:vMerge/>
            <w:tcBorders>
              <w:top w:val="nil"/>
              <w:left w:val="single" w:sz="8" w:space="0" w:color="000000"/>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2829" w:type="pct"/>
            <w:tcBorders>
              <w:top w:val="nil"/>
              <w:left w:val="nil"/>
              <w:bottom w:val="single" w:sz="8" w:space="0" w:color="auto"/>
              <w:right w:val="single" w:sz="8" w:space="0" w:color="auto"/>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罚款10万（含）以上20万以下</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w:t>
            </w:r>
          </w:p>
        </w:tc>
      </w:tr>
      <w:tr w:rsidR="00C83328" w:rsidTr="003B29D4">
        <w:trPr>
          <w:trHeight w:hRule="exact" w:val="567"/>
        </w:trPr>
        <w:tc>
          <w:tcPr>
            <w:tcW w:w="479" w:type="pct"/>
            <w:vMerge/>
            <w:tcBorders>
              <w:top w:val="nil"/>
              <w:left w:val="single" w:sz="8" w:space="0" w:color="auto"/>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623" w:type="pct"/>
            <w:vMerge/>
            <w:tcBorders>
              <w:top w:val="nil"/>
              <w:left w:val="single" w:sz="8" w:space="0" w:color="000000"/>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2829" w:type="pct"/>
            <w:tcBorders>
              <w:top w:val="nil"/>
              <w:left w:val="nil"/>
              <w:bottom w:val="single" w:sz="8" w:space="0" w:color="auto"/>
              <w:right w:val="single" w:sz="8" w:space="0" w:color="auto"/>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罚款20万（含）以上100万以下</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r>
      <w:tr w:rsidR="00C83328" w:rsidTr="003B29D4">
        <w:trPr>
          <w:trHeight w:hRule="exact" w:val="567"/>
        </w:trPr>
        <w:tc>
          <w:tcPr>
            <w:tcW w:w="479" w:type="pct"/>
            <w:vMerge/>
            <w:tcBorders>
              <w:top w:val="nil"/>
              <w:left w:val="single" w:sz="8" w:space="0" w:color="auto"/>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623" w:type="pct"/>
            <w:vMerge/>
            <w:tcBorders>
              <w:top w:val="nil"/>
              <w:left w:val="single" w:sz="8" w:space="0" w:color="000000"/>
              <w:bottom w:val="single" w:sz="8" w:space="0" w:color="000000"/>
              <w:right w:val="single" w:sz="8" w:space="0" w:color="auto"/>
            </w:tcBorders>
            <w:vAlign w:val="center"/>
            <w:hideMark/>
          </w:tcPr>
          <w:p w:rsidR="00C83328" w:rsidRDefault="00C83328" w:rsidP="003B29D4">
            <w:pPr>
              <w:widowControl/>
              <w:jc w:val="left"/>
              <w:rPr>
                <w:rFonts w:ascii="黑体" w:eastAsia="黑体" w:hAnsi="黑体" w:cs="宋体"/>
                <w:color w:val="000000"/>
                <w:kern w:val="0"/>
                <w:szCs w:val="21"/>
              </w:rPr>
            </w:pPr>
          </w:p>
        </w:tc>
        <w:tc>
          <w:tcPr>
            <w:tcW w:w="2829" w:type="pct"/>
            <w:tcBorders>
              <w:top w:val="nil"/>
              <w:left w:val="nil"/>
              <w:bottom w:val="single" w:sz="8" w:space="0" w:color="auto"/>
              <w:right w:val="single" w:sz="8" w:space="0" w:color="auto"/>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罚款100万（含）以上</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567"/>
        </w:trPr>
        <w:tc>
          <w:tcPr>
            <w:tcW w:w="479" w:type="pct"/>
            <w:tcBorders>
              <w:top w:val="nil"/>
              <w:left w:val="single" w:sz="8" w:space="0" w:color="auto"/>
              <w:bottom w:val="single" w:sz="8" w:space="0" w:color="000000"/>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nil"/>
              <w:left w:val="nil"/>
              <w:bottom w:val="single" w:sz="8" w:space="0" w:color="000000"/>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责令停止建设</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5</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000000"/>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责令限制生产</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责令停产整治</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7　</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责令停止生产或使用</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8</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实施查封、扣押</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9　</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实施</w:t>
            </w:r>
            <w:proofErr w:type="gramStart"/>
            <w:r>
              <w:rPr>
                <w:rFonts w:ascii="黑体" w:eastAsia="黑体" w:hAnsi="黑体" w:cs="宋体" w:hint="eastAsia"/>
                <w:color w:val="000000"/>
                <w:kern w:val="0"/>
                <w:szCs w:val="21"/>
              </w:rPr>
              <w:t>按日计罚</w:t>
            </w:r>
            <w:proofErr w:type="gramEnd"/>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8</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10</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没收违法所得、没收非法财物</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8</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11</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暂扣许可证、其他具有许可性质的证件</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567"/>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12</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吊销许可证、其他具有许可性质的证件</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12</w:t>
            </w:r>
          </w:p>
        </w:tc>
      </w:tr>
      <w:tr w:rsidR="00C83328" w:rsidTr="003B29D4">
        <w:trPr>
          <w:trHeight w:hRule="exact" w:val="662"/>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13</w:t>
            </w:r>
          </w:p>
        </w:tc>
        <w:tc>
          <w:tcPr>
            <w:tcW w:w="374" w:type="pct"/>
            <w:vMerge/>
            <w:tcBorders>
              <w:top w:val="nil"/>
              <w:left w:val="single" w:sz="8" w:space="0" w:color="auto"/>
              <w:bottom w:val="nil"/>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环境信访、投诉经查证属实，且因未能及时解决导致群众重复投诉的</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714"/>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14</w:t>
            </w:r>
          </w:p>
        </w:tc>
        <w:tc>
          <w:tcPr>
            <w:tcW w:w="374" w:type="pct"/>
            <w:tcBorders>
              <w:top w:val="nil"/>
              <w:left w:val="nil"/>
              <w:bottom w:val="nil"/>
              <w:right w:val="single" w:sz="8" w:space="0" w:color="000000"/>
            </w:tcBorders>
            <w:shd w:val="clear" w:color="auto" w:fill="auto"/>
            <w:vAlign w:val="center"/>
            <w:hideMark/>
          </w:tcPr>
          <w:p w:rsidR="00C83328" w:rsidRDefault="00C83328" w:rsidP="003B29D4">
            <w:pPr>
              <w:widowControl/>
              <w:rPr>
                <w:rFonts w:ascii="黑体" w:eastAsia="黑体" w:hAnsi="黑体" w:cs="宋体"/>
                <w:color w:val="000000"/>
                <w:kern w:val="0"/>
                <w:szCs w:val="21"/>
              </w:rPr>
            </w:pPr>
            <w:r>
              <w:rPr>
                <w:rFonts w:ascii="黑体" w:eastAsia="黑体" w:hAnsi="黑体" w:cs="宋体" w:hint="eastAsia"/>
                <w:color w:val="000000"/>
                <w:kern w:val="0"/>
                <w:szCs w:val="21"/>
              </w:rPr>
              <w:t xml:space="preserve">　</w:t>
            </w: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被生态环境管理部门挂牌督办，但按要求在规定期限内完成整改的</w:t>
            </w:r>
          </w:p>
        </w:tc>
        <w:tc>
          <w:tcPr>
            <w:tcW w:w="695" w:type="pct"/>
            <w:tcBorders>
              <w:top w:val="nil"/>
              <w:left w:val="nil"/>
              <w:bottom w:val="single" w:sz="8" w:space="0" w:color="auto"/>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15</w:t>
            </w:r>
          </w:p>
        </w:tc>
        <w:tc>
          <w:tcPr>
            <w:tcW w:w="374"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一票否决情况</w:t>
            </w: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rPr>
                <w:rFonts w:ascii="黑体" w:eastAsia="黑体" w:hAnsi="黑体" w:cs="宋体"/>
                <w:color w:val="000000"/>
                <w:kern w:val="0"/>
                <w:szCs w:val="21"/>
              </w:rPr>
            </w:pPr>
            <w:r>
              <w:rPr>
                <w:rFonts w:ascii="黑体" w:eastAsia="黑体" w:hAnsi="黑体" w:cs="宋体" w:hint="eastAsia"/>
                <w:color w:val="000000"/>
                <w:kern w:val="0"/>
                <w:szCs w:val="21"/>
              </w:rPr>
              <w:t>发生移送适用行政拘留的环境违法案以及发生移送涉嫌环境污染犯罪的环境违法案件的</w:t>
            </w:r>
          </w:p>
        </w:tc>
        <w:tc>
          <w:tcPr>
            <w:tcW w:w="695" w:type="pct"/>
            <w:vMerge w:val="restart"/>
            <w:tcBorders>
              <w:top w:val="nil"/>
              <w:left w:val="single" w:sz="8" w:space="0" w:color="auto"/>
              <w:bottom w:val="single" w:sz="8" w:space="0" w:color="000000"/>
              <w:right w:val="single" w:sz="8" w:space="0" w:color="000000"/>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直接定级为环保不良企业</w:t>
            </w: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16</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建设项目环境影响评价文件未按规定通过审批，擅自开工建设的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lastRenderedPageBreak/>
              <w:t xml:space="preserve">17　</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按照规定应取得排污许可证而未取得或未按规定变更、延续排污许可证的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18　</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监测数据弄虚作假的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19　</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发生环境违法行为，情节严重的，经有批准权的人民政府批准，责令停业、关闭的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1141"/>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20</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建设项目性质、规模、地点、采用的生产工艺或者防治污染、防止生态破坏的措施发生重大变动，未重新报批环境影响评价文件或未及时变更排污许可证，擅自投入生产或者使用的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21</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发生较大及以上突发环境事件责任事故的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22</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被生态环境管理部门挂牌督办，逾期整改未完成的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23</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违法从事自然资源开发、交通基础设施建设，以及其他开发建设活动造成严重生态破坏的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rPr>
                <w:rFonts w:ascii="黑体" w:eastAsia="黑体" w:hAnsi="黑体" w:cs="宋体"/>
                <w:color w:val="000000"/>
                <w:kern w:val="0"/>
                <w:szCs w:val="21"/>
              </w:rPr>
            </w:pPr>
            <w:r>
              <w:rPr>
                <w:rFonts w:ascii="黑体" w:eastAsia="黑体" w:hAnsi="黑体" w:cs="宋体" w:hint="eastAsia"/>
                <w:color w:val="000000"/>
                <w:kern w:val="0"/>
                <w:szCs w:val="21"/>
              </w:rPr>
              <w:t xml:space="preserve">　24</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环境违法行为对饮用水水源保护区、各类自然保护地、国家重点生态功能区等环境敏感区造成重大不利影响的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25</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拒绝或阻碍评价的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26</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以暴力、威胁等方式拒绝、阻挠环境保护主管部门工作人员现场检查的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r w:rsidR="00C83328" w:rsidTr="003B29D4">
        <w:trPr>
          <w:trHeight w:hRule="exact" w:val="680"/>
        </w:trPr>
        <w:tc>
          <w:tcPr>
            <w:tcW w:w="479" w:type="pct"/>
            <w:tcBorders>
              <w:top w:val="nil"/>
              <w:left w:val="single" w:sz="8" w:space="0" w:color="auto"/>
              <w:bottom w:val="single" w:sz="8" w:space="0" w:color="auto"/>
              <w:right w:val="single" w:sz="8" w:space="0" w:color="auto"/>
            </w:tcBorders>
            <w:shd w:val="clear" w:color="auto" w:fill="auto"/>
            <w:vAlign w:val="center"/>
            <w:hideMark/>
          </w:tcPr>
          <w:p w:rsidR="00C83328" w:rsidRDefault="00C83328" w:rsidP="003B29D4">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27</w:t>
            </w:r>
          </w:p>
        </w:tc>
        <w:tc>
          <w:tcPr>
            <w:tcW w:w="374" w:type="pct"/>
            <w:vMerge/>
            <w:tcBorders>
              <w:top w:val="single" w:sz="8" w:space="0" w:color="000000"/>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c>
          <w:tcPr>
            <w:tcW w:w="3452" w:type="pct"/>
            <w:gridSpan w:val="2"/>
            <w:tcBorders>
              <w:top w:val="single" w:sz="8" w:space="0" w:color="auto"/>
              <w:left w:val="nil"/>
              <w:bottom w:val="single" w:sz="8" w:space="0" w:color="auto"/>
              <w:right w:val="single" w:sz="8" w:space="0" w:color="000000"/>
            </w:tcBorders>
            <w:shd w:val="clear" w:color="auto" w:fill="auto"/>
            <w:vAlign w:val="center"/>
            <w:hideMark/>
          </w:tcPr>
          <w:p w:rsidR="00C83328" w:rsidRDefault="00C83328" w:rsidP="003B29D4">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其他主管部门认定存在严重违法失信行为，环境保护主管部门参与联合惩戒的</w:t>
            </w:r>
          </w:p>
        </w:tc>
        <w:tc>
          <w:tcPr>
            <w:tcW w:w="695" w:type="pct"/>
            <w:vMerge/>
            <w:tcBorders>
              <w:top w:val="nil"/>
              <w:left w:val="single" w:sz="8" w:space="0" w:color="auto"/>
              <w:bottom w:val="single" w:sz="8" w:space="0" w:color="000000"/>
              <w:right w:val="single" w:sz="8" w:space="0" w:color="000000"/>
            </w:tcBorders>
            <w:vAlign w:val="center"/>
            <w:hideMark/>
          </w:tcPr>
          <w:p w:rsidR="00C83328" w:rsidRDefault="00C83328" w:rsidP="003B29D4">
            <w:pPr>
              <w:widowControl/>
              <w:jc w:val="left"/>
              <w:rPr>
                <w:rFonts w:ascii="黑体" w:eastAsia="黑体" w:hAnsi="黑体" w:cs="宋体"/>
                <w:color w:val="000000"/>
                <w:kern w:val="0"/>
                <w:szCs w:val="21"/>
              </w:rPr>
            </w:pPr>
          </w:p>
        </w:tc>
      </w:tr>
    </w:tbl>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说明：</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一、重点排污企业，</w:t>
      </w:r>
      <w:proofErr w:type="gramStart"/>
      <w:r>
        <w:rPr>
          <w:rFonts w:ascii="黑体" w:eastAsia="黑体" w:hAnsi="黑体" w:cs="宋体" w:hint="eastAsia"/>
          <w:color w:val="000000"/>
          <w:kern w:val="0"/>
          <w:szCs w:val="21"/>
        </w:rPr>
        <w:t>是指区的</w:t>
      </w:r>
      <w:proofErr w:type="gramEnd"/>
      <w:r>
        <w:rPr>
          <w:rFonts w:ascii="黑体" w:eastAsia="黑体" w:hAnsi="黑体" w:cs="宋体" w:hint="eastAsia"/>
          <w:color w:val="000000"/>
          <w:kern w:val="0"/>
          <w:szCs w:val="21"/>
        </w:rPr>
        <w:t>市级地方人民政府环境保护主管部门根据《中华人民共和国环境保护法》《中华人民共和国大气污染防治法》《中华人民共和国水污染防治法》《中华人民共和国固体废物污染环境防治法》《土壤污染防治行动计划》《企业事业单位环境信息公开办法》《关于印发</w:t>
      </w:r>
      <w:r>
        <w:rPr>
          <w:rFonts w:ascii="黑体" w:eastAsia="黑体" w:hAnsi="黑体" w:cs="宋体"/>
          <w:color w:val="000000"/>
          <w:kern w:val="0"/>
          <w:szCs w:val="21"/>
        </w:rPr>
        <w:t>&lt;</w:t>
      </w:r>
      <w:r>
        <w:rPr>
          <w:rFonts w:ascii="黑体" w:eastAsia="黑体" w:hAnsi="黑体" w:cs="宋体" w:hint="eastAsia"/>
          <w:color w:val="000000"/>
          <w:kern w:val="0"/>
          <w:szCs w:val="21"/>
        </w:rPr>
        <w:t>重点排污单位名录管理规定（试行）</w:t>
      </w:r>
      <w:r>
        <w:rPr>
          <w:rFonts w:ascii="黑体" w:eastAsia="黑体" w:hAnsi="黑体" w:cs="宋体"/>
          <w:color w:val="000000"/>
          <w:kern w:val="0"/>
          <w:szCs w:val="21"/>
        </w:rPr>
        <w:t>&gt;</w:t>
      </w:r>
      <w:r>
        <w:rPr>
          <w:rFonts w:ascii="黑体" w:eastAsia="黑体" w:hAnsi="黑体" w:cs="宋体" w:hint="eastAsia"/>
          <w:color w:val="000000"/>
          <w:kern w:val="0"/>
          <w:szCs w:val="21"/>
        </w:rPr>
        <w:t>的通知》等要求，确定的重点排污单位名录中的企业。</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二、</w:t>
      </w:r>
      <w:r>
        <w:rPr>
          <w:rFonts w:ascii="黑体" w:eastAsia="黑体" w:hAnsi="黑体" w:cs="宋体"/>
          <w:color w:val="000000"/>
          <w:kern w:val="0"/>
          <w:szCs w:val="21"/>
        </w:rPr>
        <w:t>评价方法采取环境违法违规行为周年记分制。企业环境信用等级分为四级，即环境信用绿标企业</w:t>
      </w:r>
      <w:r>
        <w:rPr>
          <w:rFonts w:ascii="黑体" w:eastAsia="黑体" w:hAnsi="黑体" w:cs="宋体" w:hint="eastAsia"/>
          <w:color w:val="000000"/>
          <w:kern w:val="0"/>
          <w:szCs w:val="21"/>
        </w:rPr>
        <w:t>（环保诚信企业）</w:t>
      </w:r>
      <w:r>
        <w:rPr>
          <w:rFonts w:ascii="黑体" w:eastAsia="黑体" w:hAnsi="黑体" w:cs="宋体"/>
          <w:color w:val="000000"/>
          <w:kern w:val="0"/>
          <w:szCs w:val="21"/>
        </w:rPr>
        <w:t>、环境</w:t>
      </w:r>
      <w:proofErr w:type="gramStart"/>
      <w:r>
        <w:rPr>
          <w:rFonts w:ascii="黑体" w:eastAsia="黑体" w:hAnsi="黑体" w:cs="宋体"/>
          <w:color w:val="000000"/>
          <w:kern w:val="0"/>
          <w:szCs w:val="21"/>
        </w:rPr>
        <w:t>信用黄标企业</w:t>
      </w:r>
      <w:proofErr w:type="gramEnd"/>
      <w:r>
        <w:rPr>
          <w:rFonts w:ascii="黑体" w:eastAsia="黑体" w:hAnsi="黑体" w:cs="宋体" w:hint="eastAsia"/>
          <w:color w:val="000000"/>
          <w:kern w:val="0"/>
          <w:szCs w:val="21"/>
        </w:rPr>
        <w:t>（环保良好企业）</w:t>
      </w:r>
      <w:r>
        <w:rPr>
          <w:rFonts w:ascii="黑体" w:eastAsia="黑体" w:hAnsi="黑体" w:cs="宋体"/>
          <w:color w:val="000000"/>
          <w:kern w:val="0"/>
          <w:szCs w:val="21"/>
        </w:rPr>
        <w:t>、环境信用红标企业</w:t>
      </w:r>
      <w:r>
        <w:rPr>
          <w:rFonts w:ascii="黑体" w:eastAsia="黑体" w:hAnsi="黑体" w:cs="宋体" w:hint="eastAsia"/>
          <w:color w:val="000000"/>
          <w:kern w:val="0"/>
          <w:szCs w:val="21"/>
        </w:rPr>
        <w:t>（环保警示企业）</w:t>
      </w:r>
      <w:r>
        <w:rPr>
          <w:rFonts w:ascii="黑体" w:eastAsia="黑体" w:hAnsi="黑体" w:cs="宋体"/>
          <w:color w:val="000000"/>
          <w:kern w:val="0"/>
          <w:szCs w:val="21"/>
        </w:rPr>
        <w:t>和环境</w:t>
      </w:r>
      <w:proofErr w:type="gramStart"/>
      <w:r>
        <w:rPr>
          <w:rFonts w:ascii="黑体" w:eastAsia="黑体" w:hAnsi="黑体" w:cs="宋体"/>
          <w:color w:val="000000"/>
          <w:kern w:val="0"/>
          <w:szCs w:val="21"/>
        </w:rPr>
        <w:t>信用黑标企业</w:t>
      </w:r>
      <w:proofErr w:type="gramEnd"/>
      <w:r>
        <w:rPr>
          <w:rFonts w:ascii="黑体" w:eastAsia="黑体" w:hAnsi="黑体" w:cs="宋体" w:hint="eastAsia"/>
          <w:color w:val="000000"/>
          <w:kern w:val="0"/>
          <w:szCs w:val="21"/>
        </w:rPr>
        <w:t>（环保不良企业）</w:t>
      </w:r>
      <w:r>
        <w:rPr>
          <w:rFonts w:ascii="黑体" w:eastAsia="黑体" w:hAnsi="黑体" w:cs="宋体"/>
          <w:color w:val="000000"/>
          <w:kern w:val="0"/>
          <w:szCs w:val="21"/>
        </w:rPr>
        <w:t>。</w:t>
      </w:r>
      <w:r>
        <w:rPr>
          <w:rFonts w:ascii="黑体" w:eastAsia="黑体" w:hAnsi="黑体" w:cs="宋体" w:hint="eastAsia"/>
          <w:color w:val="000000"/>
          <w:kern w:val="0"/>
          <w:szCs w:val="21"/>
        </w:rPr>
        <w:t>具体可见《关于印发&lt;新疆维吾尔自治区企业环境信用评价管理办法（试行）&gt;的通知》。</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三、行政处罚、下达行政命令指标以法律文书或政府及生态环境行政主管部门的正式文件作为评分依据，生态环境部门将</w:t>
      </w:r>
      <w:r>
        <w:rPr>
          <w:rFonts w:ascii="黑体" w:eastAsia="黑体" w:hAnsi="黑体" w:cs="宋体"/>
          <w:color w:val="000000"/>
          <w:kern w:val="0"/>
          <w:szCs w:val="21"/>
        </w:rPr>
        <w:t>环保部门将企业环境违法违规行为、行政处罚处理决定、整改要求与期限等信息录入企业环境信用评价信息管理系统，按照</w:t>
      </w:r>
      <w:r>
        <w:rPr>
          <w:rFonts w:ascii="黑体" w:eastAsia="黑体" w:hAnsi="黑体" w:cs="宋体" w:hint="eastAsia"/>
          <w:color w:val="000000"/>
          <w:kern w:val="0"/>
          <w:szCs w:val="21"/>
        </w:rPr>
        <w:t>评价指标和</w:t>
      </w:r>
      <w:r>
        <w:rPr>
          <w:rFonts w:ascii="黑体" w:eastAsia="黑体" w:hAnsi="黑体" w:cs="宋体"/>
          <w:color w:val="000000"/>
          <w:kern w:val="0"/>
          <w:szCs w:val="21"/>
        </w:rPr>
        <w:t>记分</w:t>
      </w:r>
      <w:r>
        <w:rPr>
          <w:rFonts w:ascii="黑体" w:eastAsia="黑体" w:hAnsi="黑体" w:cs="宋体" w:hint="eastAsia"/>
          <w:color w:val="000000"/>
          <w:kern w:val="0"/>
          <w:szCs w:val="21"/>
        </w:rPr>
        <w:t>方法</w:t>
      </w:r>
      <w:proofErr w:type="gramStart"/>
      <w:r>
        <w:rPr>
          <w:rFonts w:ascii="黑体" w:eastAsia="黑体" w:hAnsi="黑体" w:cs="宋体"/>
          <w:color w:val="000000"/>
          <w:kern w:val="0"/>
          <w:szCs w:val="21"/>
        </w:rPr>
        <w:t>作出</w:t>
      </w:r>
      <w:proofErr w:type="gramEnd"/>
      <w:r>
        <w:rPr>
          <w:rFonts w:ascii="黑体" w:eastAsia="黑体" w:hAnsi="黑体" w:cs="宋体"/>
          <w:color w:val="000000"/>
          <w:kern w:val="0"/>
          <w:szCs w:val="21"/>
        </w:rPr>
        <w:t>相应的记分。</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四、对企业不同环境违法违规行为，分次采取环境行政处罚处理措施的，分别记分。</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lastRenderedPageBreak/>
        <w:t>五、对企业某一环境违法违规行为，采取两种以上环境行政处罚处理措施的，按照</w:t>
      </w:r>
      <w:proofErr w:type="gramStart"/>
      <w:r>
        <w:rPr>
          <w:rFonts w:ascii="黑体" w:eastAsia="黑体" w:hAnsi="黑体" w:cs="宋体" w:hint="eastAsia"/>
          <w:color w:val="000000"/>
          <w:kern w:val="0"/>
          <w:szCs w:val="21"/>
        </w:rPr>
        <w:t>记分值</w:t>
      </w:r>
      <w:proofErr w:type="gramEnd"/>
      <w:r>
        <w:rPr>
          <w:rFonts w:ascii="黑体" w:eastAsia="黑体" w:hAnsi="黑体" w:cs="宋体" w:hint="eastAsia"/>
          <w:color w:val="000000"/>
          <w:kern w:val="0"/>
          <w:szCs w:val="21"/>
        </w:rPr>
        <w:t>最高的类别进行记分。</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六、对企业同时出现两种以上环境违法违规行为、采取两种以上环境行政处罚处理措施的，按照各种违法行为</w:t>
      </w:r>
      <w:proofErr w:type="gramStart"/>
      <w:r>
        <w:rPr>
          <w:rFonts w:ascii="黑体" w:eastAsia="黑体" w:hAnsi="黑体" w:cs="宋体" w:hint="eastAsia"/>
          <w:color w:val="000000"/>
          <w:kern w:val="0"/>
          <w:szCs w:val="21"/>
        </w:rPr>
        <w:t>记分值</w:t>
      </w:r>
      <w:proofErr w:type="gramEnd"/>
      <w:r>
        <w:rPr>
          <w:rFonts w:ascii="黑体" w:eastAsia="黑体" w:hAnsi="黑体" w:cs="宋体" w:hint="eastAsia"/>
          <w:color w:val="000000"/>
          <w:kern w:val="0"/>
          <w:szCs w:val="21"/>
        </w:rPr>
        <w:t>最高的类别分别记分，累计计算。</w:t>
      </w:r>
    </w:p>
    <w:p w:rsidR="00C83328" w:rsidRDefault="00C83328" w:rsidP="00C83328">
      <w:pPr>
        <w:widowControl/>
        <w:shd w:val="clear" w:color="auto" w:fill="FFFFFF"/>
        <w:spacing w:line="360" w:lineRule="atLeast"/>
        <w:ind w:firstLine="420"/>
        <w:rPr>
          <w:rFonts w:ascii="黑体" w:eastAsia="黑体" w:hAnsi="黑体" w:cs="宋体"/>
          <w:color w:val="000000"/>
          <w:kern w:val="0"/>
          <w:szCs w:val="21"/>
        </w:rPr>
      </w:pPr>
      <w:r>
        <w:rPr>
          <w:rFonts w:ascii="黑体" w:eastAsia="黑体" w:hAnsi="黑体" w:cs="宋体" w:hint="eastAsia"/>
          <w:color w:val="000000"/>
          <w:kern w:val="0"/>
          <w:szCs w:val="21"/>
        </w:rPr>
        <w:t>七、对截至上一年度</w:t>
      </w:r>
      <w:r>
        <w:rPr>
          <w:rFonts w:ascii="黑体" w:eastAsia="黑体" w:hAnsi="黑体" w:cs="宋体"/>
          <w:color w:val="000000"/>
          <w:kern w:val="0"/>
          <w:szCs w:val="21"/>
        </w:rPr>
        <w:t>12</w:t>
      </w:r>
      <w:r>
        <w:rPr>
          <w:rFonts w:ascii="黑体" w:eastAsia="黑体" w:hAnsi="黑体" w:cs="宋体" w:hint="eastAsia"/>
          <w:color w:val="000000"/>
          <w:kern w:val="0"/>
          <w:szCs w:val="21"/>
        </w:rPr>
        <w:t>月</w:t>
      </w:r>
      <w:r>
        <w:rPr>
          <w:rFonts w:ascii="黑体" w:eastAsia="黑体" w:hAnsi="黑体" w:cs="宋体"/>
          <w:color w:val="000000"/>
          <w:kern w:val="0"/>
          <w:szCs w:val="21"/>
        </w:rPr>
        <w:t>31</w:t>
      </w:r>
      <w:r>
        <w:rPr>
          <w:rFonts w:ascii="黑体" w:eastAsia="黑体" w:hAnsi="黑体" w:cs="宋体" w:hint="eastAsia"/>
          <w:color w:val="000000"/>
          <w:kern w:val="0"/>
          <w:szCs w:val="21"/>
        </w:rPr>
        <w:t>日尚未到整改或者缴纳罚款期限的，转入下一年度进行评价记分。</w:t>
      </w: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Default="00C83328" w:rsidP="00C83328">
      <w:pPr>
        <w:widowControl/>
        <w:spacing w:line="560" w:lineRule="exact"/>
        <w:ind w:firstLineChars="200" w:firstLine="640"/>
        <w:rPr>
          <w:rFonts w:ascii="仿宋_GB2312" w:eastAsia="仿宋_GB2312"/>
          <w:sz w:val="32"/>
          <w:szCs w:val="32"/>
        </w:rPr>
      </w:pPr>
    </w:p>
    <w:p w:rsidR="00C83328" w:rsidRPr="00AE5F51" w:rsidRDefault="00C83328" w:rsidP="00C83328">
      <w:pPr>
        <w:widowControl/>
        <w:spacing w:line="560" w:lineRule="exact"/>
        <w:ind w:firstLineChars="200" w:firstLine="640"/>
        <w:rPr>
          <w:rFonts w:ascii="仿宋_GB2312" w:eastAsia="仿宋_GB2312"/>
          <w:sz w:val="32"/>
          <w:szCs w:val="32"/>
        </w:rPr>
      </w:pPr>
      <w:bookmarkStart w:id="0" w:name="_GoBack"/>
      <w:bookmarkEnd w:id="0"/>
    </w:p>
    <w:sectPr w:rsidR="00C83328" w:rsidRPr="00AE5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9A" w:rsidRDefault="00234C9A" w:rsidP="00AE5F51">
      <w:r>
        <w:separator/>
      </w:r>
    </w:p>
  </w:endnote>
  <w:endnote w:type="continuationSeparator" w:id="0">
    <w:p w:rsidR="00234C9A" w:rsidRDefault="00234C9A" w:rsidP="00AE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9A" w:rsidRDefault="00234C9A" w:rsidP="00AE5F51">
      <w:r>
        <w:separator/>
      </w:r>
    </w:p>
  </w:footnote>
  <w:footnote w:type="continuationSeparator" w:id="0">
    <w:p w:rsidR="00234C9A" w:rsidRDefault="00234C9A" w:rsidP="00AE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28"/>
    <w:rsid w:val="00234C9A"/>
    <w:rsid w:val="00AE5F51"/>
    <w:rsid w:val="00B710D2"/>
    <w:rsid w:val="00C8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328"/>
    <w:pPr>
      <w:widowControl w:val="0"/>
      <w:jc w:val="both"/>
    </w:pPr>
    <w:rPr>
      <w:szCs w:val="24"/>
    </w:rPr>
  </w:style>
  <w:style w:type="paragraph" w:styleId="1">
    <w:name w:val="heading 1"/>
    <w:basedOn w:val="a"/>
    <w:next w:val="a"/>
    <w:link w:val="1Char"/>
    <w:qFormat/>
    <w:rsid w:val="00C833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3328"/>
    <w:rPr>
      <w:b/>
      <w:bCs/>
      <w:kern w:val="44"/>
      <w:sz w:val="44"/>
      <w:szCs w:val="44"/>
    </w:rPr>
  </w:style>
  <w:style w:type="paragraph" w:styleId="a3">
    <w:name w:val="List Paragraph"/>
    <w:basedOn w:val="a"/>
    <w:uiPriority w:val="99"/>
    <w:unhideWhenUsed/>
    <w:rsid w:val="00C83328"/>
    <w:pPr>
      <w:ind w:firstLineChars="200" w:firstLine="420"/>
    </w:pPr>
  </w:style>
  <w:style w:type="paragraph" w:styleId="a4">
    <w:name w:val="header"/>
    <w:basedOn w:val="a"/>
    <w:link w:val="Char"/>
    <w:uiPriority w:val="99"/>
    <w:unhideWhenUsed/>
    <w:rsid w:val="00AE5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5F51"/>
    <w:rPr>
      <w:sz w:val="18"/>
      <w:szCs w:val="18"/>
    </w:rPr>
  </w:style>
  <w:style w:type="paragraph" w:styleId="a5">
    <w:name w:val="footer"/>
    <w:basedOn w:val="a"/>
    <w:link w:val="Char0"/>
    <w:uiPriority w:val="99"/>
    <w:unhideWhenUsed/>
    <w:rsid w:val="00AE5F51"/>
    <w:pPr>
      <w:tabs>
        <w:tab w:val="center" w:pos="4153"/>
        <w:tab w:val="right" w:pos="8306"/>
      </w:tabs>
      <w:snapToGrid w:val="0"/>
      <w:jc w:val="left"/>
    </w:pPr>
    <w:rPr>
      <w:sz w:val="18"/>
      <w:szCs w:val="18"/>
    </w:rPr>
  </w:style>
  <w:style w:type="character" w:customStyle="1" w:styleId="Char0">
    <w:name w:val="页脚 Char"/>
    <w:basedOn w:val="a0"/>
    <w:link w:val="a5"/>
    <w:uiPriority w:val="99"/>
    <w:rsid w:val="00AE5F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328"/>
    <w:pPr>
      <w:widowControl w:val="0"/>
      <w:jc w:val="both"/>
    </w:pPr>
    <w:rPr>
      <w:szCs w:val="24"/>
    </w:rPr>
  </w:style>
  <w:style w:type="paragraph" w:styleId="1">
    <w:name w:val="heading 1"/>
    <w:basedOn w:val="a"/>
    <w:next w:val="a"/>
    <w:link w:val="1Char"/>
    <w:qFormat/>
    <w:rsid w:val="00C833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3328"/>
    <w:rPr>
      <w:b/>
      <w:bCs/>
      <w:kern w:val="44"/>
      <w:sz w:val="44"/>
      <w:szCs w:val="44"/>
    </w:rPr>
  </w:style>
  <w:style w:type="paragraph" w:styleId="a3">
    <w:name w:val="List Paragraph"/>
    <w:basedOn w:val="a"/>
    <w:uiPriority w:val="99"/>
    <w:unhideWhenUsed/>
    <w:rsid w:val="00C83328"/>
    <w:pPr>
      <w:ind w:firstLineChars="200" w:firstLine="420"/>
    </w:pPr>
  </w:style>
  <w:style w:type="paragraph" w:styleId="a4">
    <w:name w:val="header"/>
    <w:basedOn w:val="a"/>
    <w:link w:val="Char"/>
    <w:uiPriority w:val="99"/>
    <w:unhideWhenUsed/>
    <w:rsid w:val="00AE5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5F51"/>
    <w:rPr>
      <w:sz w:val="18"/>
      <w:szCs w:val="18"/>
    </w:rPr>
  </w:style>
  <w:style w:type="paragraph" w:styleId="a5">
    <w:name w:val="footer"/>
    <w:basedOn w:val="a"/>
    <w:link w:val="Char0"/>
    <w:uiPriority w:val="99"/>
    <w:unhideWhenUsed/>
    <w:rsid w:val="00AE5F51"/>
    <w:pPr>
      <w:tabs>
        <w:tab w:val="center" w:pos="4153"/>
        <w:tab w:val="right" w:pos="8306"/>
      </w:tabs>
      <w:snapToGrid w:val="0"/>
      <w:jc w:val="left"/>
    </w:pPr>
    <w:rPr>
      <w:sz w:val="18"/>
      <w:szCs w:val="18"/>
    </w:rPr>
  </w:style>
  <w:style w:type="character" w:customStyle="1" w:styleId="Char0">
    <w:name w:val="页脚 Char"/>
    <w:basedOn w:val="a0"/>
    <w:link w:val="a5"/>
    <w:uiPriority w:val="99"/>
    <w:rsid w:val="00AE5F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dc:creator>
  <cp:lastModifiedBy>wzk</cp:lastModifiedBy>
  <cp:revision>2</cp:revision>
  <dcterms:created xsi:type="dcterms:W3CDTF">2019-07-26T12:09:00Z</dcterms:created>
  <dcterms:modified xsi:type="dcterms:W3CDTF">2019-07-26T12:09:00Z</dcterms:modified>
</cp:coreProperties>
</file>