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pPr>
      <w:bookmarkStart w:id="0" w:name="_Toc461612496"/>
      <w:bookmarkStart w:id="1" w:name="_Toc461612614"/>
    </w:p>
    <w:p>
      <w:pPr>
        <w:pStyle w:val="30"/>
      </w:pPr>
    </w:p>
    <w:p>
      <w:pPr>
        <w:pStyle w:val="30"/>
      </w:pPr>
    </w:p>
    <w:p>
      <w:pPr>
        <w:pStyle w:val="30"/>
      </w:pPr>
    </w:p>
    <w:p>
      <w:pPr>
        <w:pStyle w:val="30"/>
      </w:pPr>
    </w:p>
    <w:p>
      <w:pPr>
        <w:pStyle w:val="17"/>
        <w:rPr>
          <w:rFonts w:ascii="Times New Roman" w:hAnsi="Times New Roman" w:eastAsia="华文中宋" w:cs="Times New Roman"/>
          <w:sz w:val="36"/>
        </w:rPr>
      </w:pPr>
      <w:bookmarkStart w:id="2" w:name="_Toc470164668"/>
      <w:bookmarkStart w:id="3" w:name="_Toc470183673"/>
      <w:r>
        <w:rPr>
          <w:rFonts w:ascii="Times New Roman" w:hAnsi="Times New Roman" w:eastAsia="华文中宋" w:cs="Times New Roman"/>
          <w:sz w:val="36"/>
        </w:rPr>
        <w:t>《水</w:t>
      </w:r>
      <w:r>
        <w:rPr>
          <w:rFonts w:hint="eastAsia" w:ascii="Times New Roman" w:hAnsi="Times New Roman" w:eastAsia="华文中宋" w:cs="Times New Roman"/>
          <w:sz w:val="36"/>
        </w:rPr>
        <w:t>污染防治行动计划》</w:t>
      </w:r>
      <w:bookmarkStart w:id="4" w:name="_Toc469845087"/>
      <w:bookmarkStart w:id="5" w:name="_Toc470183674"/>
      <w:bookmarkStart w:id="6" w:name="_Toc470164669"/>
      <w:bookmarkStart w:id="7" w:name="_Toc469990499"/>
      <w:bookmarkEnd w:id="2"/>
      <w:bookmarkEnd w:id="3"/>
      <w:r>
        <w:rPr>
          <w:rFonts w:hint="eastAsia" w:ascii="Times New Roman" w:hAnsi="Times New Roman" w:eastAsia="华文中宋" w:cs="Times New Roman"/>
          <w:sz w:val="36"/>
        </w:rPr>
        <w:t>实施情况</w:t>
      </w:r>
    </w:p>
    <w:p>
      <w:pPr>
        <w:pStyle w:val="17"/>
        <w:rPr>
          <w:rFonts w:ascii="Times New Roman" w:hAnsi="Times New Roman" w:eastAsia="华文中宋" w:cs="Times New Roman"/>
          <w:sz w:val="36"/>
        </w:rPr>
      </w:pPr>
      <w:r>
        <w:rPr>
          <w:rFonts w:hint="eastAsia" w:ascii="Times New Roman" w:hAnsi="Times New Roman" w:eastAsia="华文中宋" w:cs="Times New Roman"/>
          <w:sz w:val="36"/>
        </w:rPr>
        <w:t>自查报告大纲</w:t>
      </w:r>
      <w:bookmarkEnd w:id="0"/>
      <w:bookmarkEnd w:id="1"/>
      <w:bookmarkEnd w:id="4"/>
      <w:bookmarkEnd w:id="5"/>
      <w:bookmarkEnd w:id="6"/>
      <w:bookmarkEnd w:id="7"/>
    </w:p>
    <w:p>
      <w:pPr>
        <w:jc w:val="center"/>
        <w:rPr>
          <w:rFonts w:ascii="Times New Roman" w:hAnsi="Times New Roman" w:eastAsia="华文中宋" w:cs="Times New Roman"/>
          <w:sz w:val="36"/>
          <w:szCs w:val="36"/>
        </w:rPr>
      </w:pPr>
      <w:r>
        <w:rPr>
          <w:rFonts w:hint="eastAsia" w:ascii="Times New Roman" w:hAnsi="Times New Roman" w:eastAsia="华文中宋" w:cs="Times New Roman"/>
          <w:sz w:val="36"/>
          <w:szCs w:val="36"/>
        </w:rPr>
        <w:t>（试行）</w:t>
      </w:r>
    </w:p>
    <w:p>
      <w:pPr>
        <w:jc w:val="center"/>
        <w:rPr>
          <w:rFonts w:ascii="Times New Roman" w:hAnsi="Times New Roman" w:eastAsia="华文中宋" w:cs="Times New Roman"/>
          <w:sz w:val="36"/>
          <w:szCs w:val="36"/>
        </w:rPr>
      </w:pPr>
    </w:p>
    <w:p>
      <w:pPr>
        <w:rPr>
          <w:rFonts w:ascii="Times New Roman" w:hAnsi="Times New Roman" w:eastAsia="华文中宋" w:cs="Times New Roman"/>
          <w:sz w:val="36"/>
          <w:szCs w:val="36"/>
        </w:rPr>
      </w:pPr>
    </w:p>
    <w:p>
      <w:pPr>
        <w:rPr>
          <w:rFonts w:ascii="Times New Roman" w:hAnsi="Times New Roman" w:eastAsia="华文中宋" w:cs="Times New Roman"/>
          <w:sz w:val="36"/>
          <w:szCs w:val="36"/>
        </w:rPr>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ascii="Times New Roman" w:hAnsi="Times New Roman" w:eastAsia="华文中宋" w:cs="Times New Roman"/>
          <w:sz w:val="32"/>
          <w:szCs w:val="36"/>
        </w:rPr>
      </w:pPr>
      <w:r>
        <w:rPr>
          <w:rFonts w:hint="eastAsia" w:ascii="Times New Roman" w:hAnsi="Times New Roman" w:eastAsia="华文中宋" w:cs="Times New Roman"/>
          <w:sz w:val="32"/>
          <w:szCs w:val="36"/>
        </w:rPr>
        <w:t>目  录</w:t>
      </w:r>
    </w:p>
    <w:p>
      <w:pPr>
        <w:pStyle w:val="13"/>
        <w:spacing w:line="540" w:lineRule="exact"/>
        <w:rPr>
          <w:rFonts w:ascii="仿宋_GB2312" w:hAnsi="Times New Roman" w:eastAsia="仿宋_GB2312" w:cs="Times New Roman"/>
          <w:b w:val="0"/>
        </w:rPr>
      </w:pP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TOC \o "1-2" \h \z \u </w:instrText>
      </w:r>
      <w:r>
        <w:rPr>
          <w:rFonts w:ascii="仿宋_GB2312" w:hAnsi="Times New Roman" w:eastAsia="仿宋_GB2312" w:cs="Times New Roman"/>
          <w:sz w:val="28"/>
          <w:szCs w:val="28"/>
        </w:rPr>
        <w:fldChar w:fldCharType="separate"/>
      </w:r>
    </w:p>
    <w:p>
      <w:pPr>
        <w:pStyle w:val="13"/>
        <w:spacing w:line="540" w:lineRule="exact"/>
        <w:rPr>
          <w:rFonts w:ascii="仿宋_GB2312" w:hAnsi="Times New Roman" w:eastAsia="仿宋_GB2312" w:cs="Times New Roman"/>
          <w:b w:val="0"/>
          <w:sz w:val="28"/>
          <w:szCs w:val="28"/>
        </w:rPr>
      </w:pPr>
      <w:r>
        <w:fldChar w:fldCharType="begin"/>
      </w:r>
      <w:r>
        <w:instrText xml:space="preserve"> HYPERLINK \l "_Toc470183675" </w:instrText>
      </w:r>
      <w:r>
        <w:fldChar w:fldCharType="separate"/>
      </w:r>
      <w:r>
        <w:rPr>
          <w:rStyle w:val="20"/>
          <w:rFonts w:hint="eastAsia" w:ascii="仿宋_GB2312" w:hAnsi="Times New Roman" w:eastAsia="仿宋_GB2312" w:cs="Times New Roman"/>
          <w:sz w:val="28"/>
          <w:szCs w:val="28"/>
        </w:rPr>
        <w:t>一、概述</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_Toc470183675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3"/>
        <w:spacing w:line="540" w:lineRule="exact"/>
        <w:rPr>
          <w:rFonts w:ascii="仿宋_GB2312" w:hAnsi="Times New Roman" w:eastAsia="仿宋_GB2312" w:cs="Times New Roman"/>
          <w:b w:val="0"/>
          <w:sz w:val="28"/>
          <w:szCs w:val="28"/>
        </w:rPr>
      </w:pPr>
      <w:r>
        <w:fldChar w:fldCharType="begin"/>
      </w:r>
      <w:r>
        <w:instrText xml:space="preserve"> HYPERLINK \l "_Toc470183676" </w:instrText>
      </w:r>
      <w:r>
        <w:fldChar w:fldCharType="separate"/>
      </w:r>
      <w:r>
        <w:rPr>
          <w:rStyle w:val="20"/>
          <w:rFonts w:hint="eastAsia" w:ascii="仿宋_GB2312" w:hAnsi="Times New Roman" w:eastAsia="仿宋_GB2312" w:cs="Times New Roman"/>
          <w:sz w:val="28"/>
          <w:szCs w:val="28"/>
        </w:rPr>
        <w:t>二、水环境质量改善情况</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_Toc470183676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"_Toc470183677" </w:instrText>
      </w:r>
      <w:r>
        <w:fldChar w:fldCharType="separate"/>
      </w:r>
      <w:r>
        <w:rPr>
          <w:rStyle w:val="20"/>
          <w:rFonts w:hint="eastAsia" w:ascii="仿宋_GB2312" w:hAnsi="Times New Roman" w:eastAsia="仿宋_GB2312" w:cs="Times New Roman"/>
          <w:sz w:val="28"/>
          <w:szCs w:val="28"/>
        </w:rPr>
        <w:t>（一）地表水（环保部门提供材料）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_Toc470183677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"_Toc470183678" </w:instrText>
      </w:r>
      <w:r>
        <w:fldChar w:fldCharType="separate"/>
      </w:r>
      <w:r>
        <w:rPr>
          <w:rStyle w:val="20"/>
          <w:rFonts w:hint="eastAsia" w:ascii="仿宋_GB2312" w:hAnsi="Times New Roman" w:eastAsia="仿宋_GB2312" w:cs="Times New Roman"/>
          <w:sz w:val="28"/>
          <w:szCs w:val="28"/>
        </w:rPr>
        <w:t>（二）黑臭水体（住建部门提供材料）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_Toc470183678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2</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"_Toc470183680" </w:instrText>
      </w:r>
      <w:r>
        <w:fldChar w:fldCharType="separate"/>
      </w:r>
      <w:r>
        <w:rPr>
          <w:rStyle w:val="20"/>
          <w:rFonts w:hint="eastAsia" w:ascii="仿宋_GB2312" w:hAnsi="Times New Roman" w:eastAsia="仿宋_GB2312" w:cs="Times New Roman"/>
          <w:sz w:val="28"/>
          <w:szCs w:val="28"/>
        </w:rPr>
        <w:t>（三）饮用水水源（环保部门提供材料）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_Toc470183680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3</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"_Toc470183681" </w:instrText>
      </w:r>
      <w:r>
        <w:fldChar w:fldCharType="separate"/>
      </w:r>
      <w:r>
        <w:rPr>
          <w:rStyle w:val="20"/>
          <w:rFonts w:hint="eastAsia" w:ascii="仿宋_GB2312" w:hAnsi="Times New Roman" w:eastAsia="仿宋_GB2312" w:cs="Times New Roman"/>
          <w:sz w:val="28"/>
          <w:szCs w:val="28"/>
        </w:rPr>
        <w:t>（四）地下水（国土部门提供材料）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_Toc470183681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3</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"_Toc470183682" </w:instrText>
      </w:r>
      <w:r>
        <w:fldChar w:fldCharType="separate"/>
      </w:r>
      <w:r>
        <w:rPr>
          <w:rStyle w:val="20"/>
          <w:rFonts w:hint="eastAsia" w:ascii="仿宋_GB2312" w:hAnsi="Times New Roman" w:eastAsia="仿宋_GB2312" w:cs="Times New Roman"/>
          <w:sz w:val="28"/>
          <w:szCs w:val="28"/>
        </w:rPr>
        <w:t>（五）近岸海域（环保部门提供材料）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_Toc470183682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4</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3"/>
        <w:spacing w:line="540" w:lineRule="exact"/>
        <w:rPr>
          <w:rFonts w:ascii="仿宋_GB2312" w:hAnsi="Times New Roman" w:eastAsia="仿宋_GB2312" w:cs="Times New Roman"/>
          <w:b w:val="0"/>
          <w:sz w:val="28"/>
          <w:szCs w:val="28"/>
        </w:rPr>
      </w:pPr>
      <w:r>
        <w:fldChar w:fldCharType="begin"/>
      </w:r>
      <w:r>
        <w:instrText xml:space="preserve"> HYPERLINK \l "_Toc470183683" </w:instrText>
      </w:r>
      <w:r>
        <w:fldChar w:fldCharType="separate"/>
      </w:r>
      <w:r>
        <w:rPr>
          <w:rStyle w:val="20"/>
          <w:rFonts w:hint="eastAsia" w:ascii="仿宋_GB2312" w:hAnsi="Times New Roman" w:eastAsia="仿宋_GB2312" w:cs="Times New Roman"/>
          <w:sz w:val="28"/>
          <w:szCs w:val="28"/>
        </w:rPr>
        <w:t>三、水污染防治重点工作完成情况</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_Toc470183683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4</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"_Toc470183684" </w:instrText>
      </w:r>
      <w:r>
        <w:fldChar w:fldCharType="separate"/>
      </w:r>
      <w:r>
        <w:rPr>
          <w:rStyle w:val="20"/>
          <w:rFonts w:hint="eastAsia" w:ascii="仿宋_GB2312" w:hAnsi="Times New Roman" w:eastAsia="仿宋_GB2312" w:cs="Times New Roman"/>
          <w:sz w:val="28"/>
          <w:szCs w:val="28"/>
        </w:rPr>
        <w:t>（一）工业污染防治（环保部门提供材料）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_Toc470183684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5</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"_Toc470183685" </w:instrText>
      </w:r>
      <w:r>
        <w:fldChar w:fldCharType="separate"/>
      </w:r>
      <w:r>
        <w:rPr>
          <w:rStyle w:val="20"/>
          <w:rFonts w:hint="eastAsia" w:ascii="仿宋_GB2312" w:hAnsi="Times New Roman" w:eastAsia="仿宋_GB2312" w:cs="Times New Roman"/>
          <w:sz w:val="28"/>
          <w:szCs w:val="28"/>
        </w:rPr>
        <w:t>（二）城镇污染治理（住建部门提供材料）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_Toc470183685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6</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"_Toc470183687" </w:instrText>
      </w:r>
      <w:r>
        <w:fldChar w:fldCharType="separate"/>
      </w:r>
      <w:r>
        <w:rPr>
          <w:rStyle w:val="20"/>
          <w:rFonts w:hint="eastAsia" w:ascii="仿宋_GB2312" w:hAnsi="Times New Roman" w:eastAsia="仿宋_GB2312" w:cs="Times New Roman"/>
          <w:sz w:val="28"/>
          <w:szCs w:val="28"/>
        </w:rPr>
        <w:t>（三）农业农村污染防治（农业、环保部门提供材料）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_Toc470183687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7</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"_Toc470183688" </w:instrText>
      </w:r>
      <w:r>
        <w:fldChar w:fldCharType="separate"/>
      </w:r>
      <w:r>
        <w:rPr>
          <w:rStyle w:val="20"/>
          <w:rFonts w:hint="eastAsia" w:ascii="仿宋_GB2312" w:hAnsi="Times New Roman" w:eastAsia="仿宋_GB2312" w:cs="Times New Roman"/>
          <w:sz w:val="28"/>
          <w:szCs w:val="28"/>
        </w:rPr>
        <w:t>（四）船舶港口污染控制（交通部门提供材料）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_Toc470183688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9</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"_Toc470183689" </w:instrText>
      </w:r>
      <w:r>
        <w:fldChar w:fldCharType="separate"/>
      </w:r>
      <w:r>
        <w:rPr>
          <w:rStyle w:val="20"/>
          <w:rFonts w:hint="eastAsia" w:ascii="仿宋_GB2312" w:hAnsi="Times New Roman" w:eastAsia="仿宋_GB2312" w:cs="Times New Roman"/>
          <w:sz w:val="28"/>
          <w:szCs w:val="28"/>
        </w:rPr>
        <w:t>（五）水资源节约保护（水利部门提供材料）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t>9</w:t>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"_Toc470183690" </w:instrText>
      </w:r>
      <w:r>
        <w:fldChar w:fldCharType="separate"/>
      </w:r>
      <w:r>
        <w:rPr>
          <w:rStyle w:val="20"/>
          <w:rFonts w:hint="eastAsia" w:ascii="仿宋_GB2312" w:hAnsi="Times New Roman" w:eastAsia="仿宋_GB2312" w:cs="Times New Roman"/>
          <w:sz w:val="28"/>
          <w:szCs w:val="28"/>
        </w:rPr>
        <w:t>（六）水生态环境保护（环保部门提供材料）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_Toc470183690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11</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"_Toc470183691" </w:instrText>
      </w:r>
      <w:r>
        <w:fldChar w:fldCharType="separate"/>
      </w:r>
      <w:r>
        <w:rPr>
          <w:rStyle w:val="20"/>
          <w:rFonts w:hint="eastAsia" w:ascii="仿宋_GB2312" w:hAnsi="Times New Roman" w:eastAsia="仿宋_GB2312" w:cs="Times New Roman"/>
          <w:sz w:val="28"/>
          <w:szCs w:val="28"/>
        </w:rPr>
        <w:t>（七）强化科技支撑（科技部门提供材料）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_Toc470183691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13</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"_Toc470183692" </w:instrText>
      </w:r>
      <w:r>
        <w:fldChar w:fldCharType="separate"/>
      </w:r>
      <w:r>
        <w:rPr>
          <w:rStyle w:val="20"/>
          <w:rFonts w:hint="eastAsia" w:ascii="仿宋_GB2312" w:hAnsi="Times New Roman" w:eastAsia="仿宋_GB2312" w:cs="Times New Roman"/>
          <w:sz w:val="28"/>
          <w:szCs w:val="28"/>
        </w:rPr>
        <w:t>（八）各方责任及公众参与（环保部门提供材料）</w:t>
      </w:r>
      <w:r>
        <w:rPr>
          <w:rFonts w:ascii="仿宋_GB2312" w:hAnsi="Times New Roman" w:eastAsia="仿宋_GB2312" w:cs="Times New Roman"/>
          <w:sz w:val="28"/>
          <w:szCs w:val="28"/>
        </w:rPr>
        <w:tab/>
      </w:r>
      <w:r>
        <w:rPr>
          <w:rFonts w:ascii="仿宋_GB2312" w:hAnsi="Times New Roman" w:eastAsia="仿宋_GB2312" w:cs="Times New Roman"/>
          <w:sz w:val="28"/>
          <w:szCs w:val="28"/>
        </w:rPr>
        <w:t>13</w:t>
      </w:r>
      <w:r>
        <w:rPr>
          <w:rFonts w:ascii="仿宋_GB2312" w:hAnsi="Times New Roman" w:eastAsia="仿宋_GB2312" w:cs="Times New Roman"/>
          <w:sz w:val="28"/>
          <w:szCs w:val="28"/>
        </w:rPr>
        <w:fldChar w:fldCharType="end"/>
      </w:r>
    </w:p>
    <w:p>
      <w:pPr>
        <w:pStyle w:val="13"/>
        <w:spacing w:line="540" w:lineRule="exact"/>
        <w:rPr>
          <w:rFonts w:ascii="仿宋_GB2312" w:hAnsi="Times New Roman" w:eastAsia="仿宋_GB2312" w:cs="Times New Roman"/>
          <w:b w:val="0"/>
          <w:sz w:val="28"/>
          <w:szCs w:val="28"/>
        </w:rPr>
      </w:pPr>
      <w:r>
        <w:fldChar w:fldCharType="begin"/>
      </w:r>
      <w:r>
        <w:instrText xml:space="preserve"> HYPERLINK \l "_Toc470183693" </w:instrText>
      </w:r>
      <w:r>
        <w:fldChar w:fldCharType="separate"/>
      </w:r>
      <w:r>
        <w:rPr>
          <w:rStyle w:val="20"/>
          <w:rFonts w:hint="eastAsia" w:ascii="仿宋_GB2312" w:hAnsi="Times New Roman" w:eastAsia="仿宋_GB2312" w:cs="Times New Roman"/>
          <w:sz w:val="28"/>
          <w:szCs w:val="28"/>
        </w:rPr>
        <w:t>四、地方开展的特色工作、经验和主要成效</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_Toc470183693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15</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pStyle w:val="13"/>
        <w:spacing w:line="540" w:lineRule="exact"/>
        <w:rPr>
          <w:rFonts w:ascii="仿宋_GB2312" w:hAnsi="Times New Roman" w:eastAsia="仿宋_GB2312" w:cs="Times New Roman"/>
          <w:b w:val="0"/>
          <w:sz w:val="28"/>
          <w:szCs w:val="28"/>
        </w:rPr>
      </w:pPr>
      <w:r>
        <w:fldChar w:fldCharType="begin"/>
      </w:r>
      <w:r>
        <w:instrText xml:space="preserve"> HYPERLINK \l "_Toc470183694" </w:instrText>
      </w:r>
      <w:r>
        <w:fldChar w:fldCharType="separate"/>
      </w:r>
      <w:r>
        <w:rPr>
          <w:rStyle w:val="20"/>
          <w:rFonts w:hint="eastAsia" w:ascii="仿宋_GB2312" w:hAnsi="Times New Roman" w:eastAsia="仿宋_GB2312" w:cs="Times New Roman"/>
          <w:sz w:val="28"/>
          <w:szCs w:val="28"/>
        </w:rPr>
        <w:t>五、存在的主要问题、困难及建议</w:t>
      </w:r>
      <w:r>
        <w:rPr>
          <w:rFonts w:ascii="仿宋_GB2312" w:hAnsi="Times New Roman" w:eastAsia="仿宋_GB2312" w:cs="Times New Roman"/>
          <w:sz w:val="28"/>
          <w:szCs w:val="28"/>
        </w:rPr>
        <w:tab/>
      </w:r>
      <w:r>
        <w:rPr>
          <w:rFonts w:ascii="仿宋_GB2312" w:hAnsi="Times New Roman" w:eastAsia="仿宋_GB2312" w:cs="Times New Roman"/>
          <w:sz w:val="28"/>
          <w:szCs w:val="28"/>
        </w:rPr>
        <w:t>15</w:t>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"_Toc470183695" </w:instrText>
      </w:r>
      <w:r>
        <w:fldChar w:fldCharType="separate"/>
      </w:r>
      <w:r>
        <w:rPr>
          <w:rStyle w:val="20"/>
          <w:rFonts w:hint="eastAsia" w:ascii="仿宋_GB2312" w:hAnsi="Times New Roman" w:eastAsia="仿宋_GB2312" w:cs="Times New Roman"/>
          <w:sz w:val="28"/>
          <w:szCs w:val="28"/>
        </w:rPr>
        <w:t>附件1：自查评分表</w:t>
      </w:r>
      <w:r>
        <w:rPr>
          <w:rFonts w:ascii="仿宋_GB2312" w:hAnsi="Times New Roman" w:eastAsia="仿宋_GB2312" w:cs="Times New Roman"/>
          <w:sz w:val="28"/>
          <w:szCs w:val="28"/>
        </w:rPr>
        <w:tab/>
      </w:r>
      <w:r>
        <w:rPr>
          <w:rFonts w:ascii="仿宋_GB2312" w:hAnsi="Times New Roman" w:eastAsia="仿宋_GB2312" w:cs="Times New Roman"/>
          <w:sz w:val="28"/>
          <w:szCs w:val="28"/>
        </w:rPr>
        <w:t>16</w:t>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28"/>
          <w:szCs w:val="28"/>
        </w:rPr>
      </w:pPr>
      <w:r>
        <w:fldChar w:fldCharType="begin"/>
      </w:r>
      <w:r>
        <w:instrText xml:space="preserve"> HYPERLINK \l "_Toc470183696" </w:instrText>
      </w:r>
      <w:r>
        <w:fldChar w:fldCharType="separate"/>
      </w:r>
      <w:r>
        <w:rPr>
          <w:rStyle w:val="20"/>
          <w:rFonts w:hint="eastAsia" w:ascii="仿宋_GB2312" w:hAnsi="Times New Roman" w:eastAsia="仿宋_GB2312" w:cs="Times New Roman"/>
          <w:sz w:val="28"/>
          <w:szCs w:val="28"/>
        </w:rPr>
        <w:t>附件2：重点工作项目清单</w:t>
      </w:r>
      <w:r>
        <w:rPr>
          <w:rFonts w:ascii="仿宋_GB2312" w:hAnsi="Times New Roman" w:eastAsia="仿宋_GB2312" w:cs="Times New Roman"/>
          <w:sz w:val="28"/>
          <w:szCs w:val="28"/>
        </w:rPr>
        <w:tab/>
      </w:r>
      <w:r>
        <w:rPr>
          <w:rFonts w:ascii="仿宋_GB2312" w:hAnsi="Times New Roman" w:eastAsia="仿宋_GB2312" w:cs="Times New Roman"/>
          <w:sz w:val="28"/>
          <w:szCs w:val="28"/>
        </w:rPr>
        <w:t>19</w:t>
      </w:r>
      <w:r>
        <w:rPr>
          <w:rFonts w:ascii="仿宋_GB2312" w:hAnsi="Times New Roman" w:eastAsia="仿宋_GB2312" w:cs="Times New Roman"/>
          <w:sz w:val="28"/>
          <w:szCs w:val="28"/>
        </w:rPr>
        <w:fldChar w:fldCharType="end"/>
      </w:r>
    </w:p>
    <w:p>
      <w:pPr>
        <w:pStyle w:val="15"/>
        <w:tabs>
          <w:tab w:val="right" w:leader="dot" w:pos="8296"/>
        </w:tabs>
        <w:spacing w:line="540" w:lineRule="exact"/>
        <w:rPr>
          <w:rFonts w:ascii="仿宋_GB2312" w:hAnsi="Times New Roman" w:eastAsia="仿宋_GB2312" w:cs="Times New Roman"/>
          <w:sz w:val="36"/>
          <w:szCs w:val="36"/>
        </w:rPr>
      </w:pPr>
      <w:r>
        <w:fldChar w:fldCharType="begin"/>
      </w:r>
      <w:r>
        <w:instrText xml:space="preserve"> HYPERLINK \l "_Toc470183697" </w:instrText>
      </w:r>
      <w:r>
        <w:fldChar w:fldCharType="separate"/>
      </w:r>
      <w:r>
        <w:rPr>
          <w:rStyle w:val="20"/>
          <w:rFonts w:hint="eastAsia" w:ascii="仿宋_GB2312" w:hAnsi="Times New Roman" w:eastAsia="仿宋_GB2312" w:cs="Times New Roman"/>
          <w:sz w:val="28"/>
          <w:szCs w:val="28"/>
        </w:rPr>
        <w:t>附件3：重点工作台账建设要求</w:t>
      </w:r>
      <w:r>
        <w:rPr>
          <w:rFonts w:ascii="仿宋_GB2312" w:hAnsi="Times New Roman" w:eastAsia="仿宋_GB2312" w:cs="Times New Roman"/>
          <w:sz w:val="28"/>
          <w:szCs w:val="28"/>
        </w:rPr>
        <w:tab/>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PAGEREF _Toc470183697 \h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24</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fldChar w:fldCharType="end"/>
      </w:r>
    </w:p>
    <w:p>
      <w:pPr>
        <w:jc w:val="center"/>
        <w:rPr>
          <w:rFonts w:ascii="仿宋_GB2312" w:hAnsi="Times New Roman" w:eastAsia="仿宋_GB2312" w:cs="Times New Roman"/>
          <w:sz w:val="36"/>
          <w:szCs w:val="36"/>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pPr>
      <w:bookmarkStart w:id="8" w:name="_Toc461612615"/>
      <w:bookmarkStart w:id="9" w:name="_Toc470183675"/>
      <w:bookmarkStart w:id="10" w:name="_Toc461612497"/>
      <w:bookmarkStart w:id="11" w:name="_Toc423592518"/>
      <w:r>
        <w:rPr>
          <w:rFonts w:hint="eastAsia"/>
        </w:rPr>
        <w:t>概述</w:t>
      </w:r>
      <w:bookmarkEnd w:id="8"/>
      <w:bookmarkEnd w:id="9"/>
      <w:bookmarkEnd w:id="10"/>
    </w:p>
    <w:p>
      <w:pPr>
        <w:pStyle w:val="30"/>
      </w:pPr>
      <w:r>
        <w:rPr>
          <w:rFonts w:hint="eastAsia"/>
        </w:rPr>
        <w:t>概要说明本省级行政区的基本省情、当年度水资源和水环境状况和实施《水十条》的基本情况（包括项目个数、投资等）。</w:t>
      </w:r>
    </w:p>
    <w:p>
      <w:pPr>
        <w:pStyle w:val="2"/>
      </w:pPr>
      <w:bookmarkStart w:id="12" w:name="_Toc470183676"/>
      <w:bookmarkStart w:id="13" w:name="_Toc461612498"/>
      <w:bookmarkStart w:id="14" w:name="_Toc461612616"/>
      <w:r>
        <w:rPr>
          <w:rFonts w:hint="eastAsia"/>
        </w:rPr>
        <w:t>水环境质量改善情况</w:t>
      </w:r>
      <w:bookmarkEnd w:id="12"/>
      <w:bookmarkEnd w:id="13"/>
      <w:bookmarkEnd w:id="14"/>
    </w:p>
    <w:p>
      <w:pPr>
        <w:pStyle w:val="30"/>
      </w:pPr>
      <w:r>
        <w:rPr>
          <w:rFonts w:hint="eastAsia"/>
        </w:rPr>
        <w:t>各项指标应逐一说明年度目标要求、水环境质量现状、面临的主要水环境问题、年度目标的完成情况，并进行自评分（填写附表</w:t>
      </w:r>
      <w:r>
        <w:t>1-1</w:t>
      </w:r>
      <w:r>
        <w:rPr>
          <w:rFonts w:hint="eastAsia"/>
        </w:rPr>
        <w:t>）。</w:t>
      </w:r>
    </w:p>
    <w:p>
      <w:pPr>
        <w:pStyle w:val="3"/>
        <w:ind w:firstLine="600"/>
      </w:pPr>
      <w:bookmarkStart w:id="15" w:name="_Toc461612499"/>
      <w:bookmarkStart w:id="16" w:name="_Toc470183677"/>
      <w:r>
        <w:rPr>
          <w:rFonts w:hint="eastAsia"/>
        </w:rPr>
        <w:t>地表水</w:t>
      </w:r>
      <w:bookmarkEnd w:id="15"/>
      <w:r>
        <w:rPr>
          <w:rFonts w:hint="eastAsia"/>
        </w:rPr>
        <w:t>（环保部门提供材料）</w:t>
      </w:r>
      <w:bookmarkEnd w:id="16"/>
    </w:p>
    <w:p>
      <w:pPr>
        <w:pStyle w:val="30"/>
      </w:pPr>
      <w:r>
        <w:rPr>
          <w:rFonts w:hint="eastAsia"/>
        </w:rPr>
        <w:t>以国控断面监测数据为基础，按《考核规定》和《地表水环境质量评价方法（试行）》（环办〔</w:t>
      </w:r>
      <w:r>
        <w:t>2011</w:t>
      </w:r>
      <w:r>
        <w:rPr>
          <w:rFonts w:hint="eastAsia"/>
        </w:rPr>
        <w:t>〕</w:t>
      </w:r>
      <w:r>
        <w:t>22</w:t>
      </w:r>
      <w:r>
        <w:rPr>
          <w:rFonts w:hint="eastAsia"/>
        </w:rPr>
        <w:t>号），各省（区、市）评价《目标责任书》规定的各考核断面水质类别，统计地表水水质优良（达到或优于</w:t>
      </w:r>
      <w:r>
        <w:t>III</w:t>
      </w:r>
      <w:r>
        <w:rPr>
          <w:rFonts w:hint="eastAsia"/>
        </w:rPr>
        <w:t>类）和劣</w:t>
      </w:r>
      <w:r>
        <w:t>V</w:t>
      </w:r>
      <w:r>
        <w:rPr>
          <w:rFonts w:hint="eastAsia"/>
        </w:rPr>
        <w:t>类水体断面比例；根据断面水质类别，确定加分的断面和扣分的断面并分别统计断面个数；再按《考核规定》进行地表水自评分。</w:t>
      </w: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1 </w:t>
      </w:r>
      <w:r>
        <w:rPr>
          <w:rFonts w:hint="eastAsia" w:eastAsia="黑体"/>
          <w:sz w:val="24"/>
          <w:szCs w:val="24"/>
        </w:rPr>
        <w:t>地表水自查统计</w:t>
      </w:r>
    </w:p>
    <w:tbl>
      <w:tblPr>
        <w:tblStyle w:val="23"/>
        <w:tblW w:w="8296" w:type="dxa"/>
        <w:jc w:val="center"/>
        <w:tblInd w:w="0" w:type="dxa"/>
        <w:tblLayout w:type="fixed"/>
        <w:tblCellMar>
          <w:top w:w="0" w:type="dxa"/>
          <w:left w:w="108" w:type="dxa"/>
          <w:bottom w:w="0" w:type="dxa"/>
          <w:right w:w="108" w:type="dxa"/>
        </w:tblCellMar>
      </w:tblPr>
      <w:tblGrid>
        <w:gridCol w:w="659"/>
        <w:gridCol w:w="828"/>
        <w:gridCol w:w="826"/>
        <w:gridCol w:w="830"/>
        <w:gridCol w:w="826"/>
        <w:gridCol w:w="1100"/>
        <w:gridCol w:w="899"/>
        <w:gridCol w:w="899"/>
        <w:gridCol w:w="752"/>
        <w:gridCol w:w="677"/>
      </w:tblGrid>
      <w:tr>
        <w:tblPrEx>
          <w:tblLayout w:type="fixed"/>
          <w:tblCellMar>
            <w:top w:w="0" w:type="dxa"/>
            <w:left w:w="108" w:type="dxa"/>
            <w:bottom w:w="0" w:type="dxa"/>
            <w:right w:w="108" w:type="dxa"/>
          </w:tblCellMar>
        </w:tblPrEx>
        <w:trPr>
          <w:trHeight w:val="270" w:hRule="atLeast"/>
          <w:jc w:val="center"/>
        </w:trPr>
        <w:tc>
          <w:tcPr>
            <w:tcW w:w="50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考核断面个数</w:t>
            </w:r>
          </w:p>
        </w:tc>
        <w:tc>
          <w:tcPr>
            <w:tcW w:w="179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年度目标</w:t>
            </w:r>
          </w:p>
        </w:tc>
        <w:tc>
          <w:tcPr>
            <w:tcW w:w="752"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Times New Roman" w:hAnsi="Times New Roman" w:eastAsia="黑体" w:cs="Times New Roman"/>
                <w:color w:val="000000"/>
                <w:kern w:val="0"/>
                <w:szCs w:val="21"/>
              </w:rPr>
            </w:pPr>
            <w:r>
              <w:rPr>
                <w:rFonts w:hint="eastAsia" w:ascii="宋体" w:hAnsi="宋体" w:eastAsia="宋体" w:cs="宋体"/>
                <w:color w:val="000000"/>
                <w:kern w:val="0"/>
                <w:szCs w:val="21"/>
              </w:rPr>
              <w:t>Ⅰ</w:t>
            </w:r>
            <w:r>
              <w:rPr>
                <w:rFonts w:ascii="Times New Roman" w:hAnsi="Times New Roman" w:eastAsia="黑体" w:cs="Times New Roman"/>
                <w:color w:val="000000"/>
                <w:kern w:val="0"/>
                <w:szCs w:val="21"/>
              </w:rPr>
              <w:t>-</w:t>
            </w:r>
            <w:r>
              <w:rPr>
                <w:rFonts w:hint="eastAsia" w:ascii="宋体" w:hAnsi="宋体" w:eastAsia="宋体" w:cs="宋体"/>
                <w:color w:val="000000"/>
                <w:kern w:val="0"/>
                <w:szCs w:val="21"/>
              </w:rPr>
              <w:t>Ⅲ</w:t>
            </w:r>
            <w:r>
              <w:rPr>
                <w:rFonts w:hint="eastAsia" w:ascii="Times New Roman" w:hAnsi="Times New Roman" w:eastAsia="黑体" w:cs="Times New Roman"/>
                <w:color w:val="000000"/>
                <w:kern w:val="0"/>
                <w:szCs w:val="21"/>
              </w:rPr>
              <w:t>类比例</w:t>
            </w:r>
          </w:p>
        </w:tc>
        <w:tc>
          <w:tcPr>
            <w:tcW w:w="677"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劣</w:t>
            </w:r>
            <w:r>
              <w:rPr>
                <w:rFonts w:hint="eastAsia" w:ascii="宋体" w:hAnsi="宋体" w:eastAsia="宋体" w:cs="宋体"/>
                <w:color w:val="000000"/>
                <w:kern w:val="0"/>
                <w:szCs w:val="21"/>
              </w:rPr>
              <w:t>Ⅴ</w:t>
            </w:r>
            <w:r>
              <w:rPr>
                <w:rFonts w:hint="eastAsia" w:ascii="Times New Roman" w:hAnsi="Times New Roman" w:eastAsia="黑体" w:cs="Times New Roman"/>
                <w:color w:val="000000"/>
                <w:kern w:val="0"/>
                <w:szCs w:val="21"/>
              </w:rPr>
              <w:t>类比例</w:t>
            </w:r>
          </w:p>
        </w:tc>
      </w:tr>
      <w:tr>
        <w:tblPrEx>
          <w:tblLayout w:type="fixed"/>
          <w:tblCellMar>
            <w:top w:w="0" w:type="dxa"/>
            <w:left w:w="108" w:type="dxa"/>
            <w:bottom w:w="0" w:type="dxa"/>
            <w:right w:w="108" w:type="dxa"/>
          </w:tblCellMar>
        </w:tblPrEx>
        <w:trPr>
          <w:trHeight w:val="270"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总个数</w:t>
            </w:r>
          </w:p>
        </w:tc>
        <w:tc>
          <w:tcPr>
            <w:tcW w:w="82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无监测数据</w:t>
            </w:r>
          </w:p>
        </w:tc>
        <w:tc>
          <w:tcPr>
            <w:tcW w:w="8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w:t>
            </w:r>
            <w:r>
              <w:rPr>
                <w:rFonts w:hint="eastAsia" w:ascii="宋体" w:hAnsi="宋体" w:eastAsia="宋体" w:cs="宋体"/>
                <w:color w:val="000000"/>
                <w:kern w:val="0"/>
                <w:szCs w:val="21"/>
              </w:rPr>
              <w:t>Ⅰ</w:t>
            </w:r>
            <w:r>
              <w:rPr>
                <w:rFonts w:ascii="Times New Roman" w:hAnsi="Times New Roman" w:eastAsia="黑体" w:cs="Times New Roman"/>
                <w:color w:val="000000"/>
                <w:kern w:val="0"/>
                <w:szCs w:val="21"/>
              </w:rPr>
              <w:t>-</w:t>
            </w:r>
            <w:r>
              <w:rPr>
                <w:rFonts w:hint="eastAsia" w:ascii="宋体" w:hAnsi="宋体" w:eastAsia="宋体" w:cs="宋体"/>
                <w:color w:val="000000"/>
                <w:kern w:val="0"/>
                <w:szCs w:val="21"/>
              </w:rPr>
              <w:t>Ⅲ</w:t>
            </w:r>
            <w:r>
              <w:rPr>
                <w:rFonts w:hint="eastAsia" w:ascii="Times New Roman" w:hAnsi="Times New Roman" w:eastAsia="黑体" w:cs="Times New Roman"/>
                <w:color w:val="000000"/>
                <w:kern w:val="0"/>
                <w:szCs w:val="21"/>
              </w:rPr>
              <w:t>类</w:t>
            </w:r>
          </w:p>
        </w:tc>
        <w:tc>
          <w:tcPr>
            <w:tcW w:w="83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当年劣</w:t>
            </w:r>
            <w:r>
              <w:rPr>
                <w:rFonts w:hint="eastAsia" w:ascii="宋体" w:hAnsi="宋体" w:eastAsia="宋体" w:cs="宋体"/>
                <w:color w:val="000000"/>
                <w:kern w:val="0"/>
                <w:szCs w:val="21"/>
              </w:rPr>
              <w:t>Ⅴ</w:t>
            </w:r>
            <w:r>
              <w:rPr>
                <w:rFonts w:hint="eastAsia" w:ascii="Times New Roman" w:hAnsi="Times New Roman" w:eastAsia="黑体" w:cs="Times New Roman"/>
                <w:color w:val="000000"/>
                <w:kern w:val="0"/>
                <w:szCs w:val="21"/>
              </w:rPr>
              <w:t>类</w:t>
            </w:r>
          </w:p>
        </w:tc>
        <w:tc>
          <w:tcPr>
            <w:tcW w:w="8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可加分的个数</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未达到年度目标</w:t>
            </w:r>
            <w:bookmarkStart w:id="63" w:name="_GoBack"/>
            <w:bookmarkEnd w:id="63"/>
          </w:p>
        </w:tc>
        <w:tc>
          <w:tcPr>
            <w:tcW w:w="8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宋体" w:hAnsi="宋体" w:eastAsia="宋体" w:cs="宋体"/>
                <w:color w:val="000000"/>
                <w:kern w:val="0"/>
                <w:szCs w:val="21"/>
              </w:rPr>
              <w:t>Ⅰ</w:t>
            </w:r>
            <w:r>
              <w:rPr>
                <w:rFonts w:ascii="Times New Roman" w:hAnsi="Times New Roman" w:eastAsia="黑体" w:cs="Times New Roman"/>
                <w:color w:val="000000"/>
                <w:kern w:val="0"/>
                <w:szCs w:val="21"/>
              </w:rPr>
              <w:t>-</w:t>
            </w:r>
            <w:r>
              <w:rPr>
                <w:rFonts w:hint="eastAsia" w:ascii="宋体" w:hAnsi="宋体" w:eastAsia="宋体" w:cs="宋体"/>
                <w:color w:val="000000"/>
                <w:kern w:val="0"/>
                <w:szCs w:val="21"/>
              </w:rPr>
              <w:t>Ⅲ</w:t>
            </w:r>
            <w:r>
              <w:rPr>
                <w:rFonts w:hint="eastAsia" w:ascii="Times New Roman" w:hAnsi="Times New Roman" w:eastAsia="宋体" w:cs="Times New Roman"/>
                <w:color w:val="000000"/>
                <w:kern w:val="0"/>
                <w:szCs w:val="21"/>
              </w:rPr>
              <w:t>类</w:t>
            </w:r>
            <w:r>
              <w:rPr>
                <w:rFonts w:hint="eastAsia" w:ascii="Times New Roman" w:hAnsi="Times New Roman" w:eastAsia="黑体" w:cs="Times New Roman"/>
                <w:color w:val="000000"/>
                <w:kern w:val="0"/>
                <w:szCs w:val="21"/>
              </w:rPr>
              <w:t>比例</w:t>
            </w:r>
          </w:p>
        </w:tc>
        <w:tc>
          <w:tcPr>
            <w:tcW w:w="89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劣</w:t>
            </w:r>
            <w:r>
              <w:rPr>
                <w:rFonts w:hint="eastAsia" w:ascii="宋体" w:hAnsi="宋体" w:eastAsia="宋体" w:cs="宋体"/>
                <w:color w:val="000000"/>
                <w:kern w:val="0"/>
                <w:szCs w:val="21"/>
              </w:rPr>
              <w:t>Ⅴ</w:t>
            </w:r>
            <w:r>
              <w:rPr>
                <w:rFonts w:hint="eastAsia" w:ascii="Times New Roman" w:hAnsi="Times New Roman" w:eastAsia="黑体" w:cs="Times New Roman"/>
                <w:color w:val="000000"/>
                <w:kern w:val="0"/>
                <w:szCs w:val="21"/>
              </w:rPr>
              <w:t>类比例</w:t>
            </w:r>
          </w:p>
        </w:tc>
        <w:tc>
          <w:tcPr>
            <w:tcW w:w="752"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p>
        </w:tc>
        <w:tc>
          <w:tcPr>
            <w:tcW w:w="677"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p>
        </w:tc>
      </w:tr>
      <w:tr>
        <w:tblPrEx>
          <w:tblLayout w:type="fixed"/>
          <w:tblCellMar>
            <w:top w:w="0" w:type="dxa"/>
            <w:left w:w="108" w:type="dxa"/>
            <w:bottom w:w="0" w:type="dxa"/>
            <w:right w:w="108" w:type="dxa"/>
          </w:tblCellMar>
        </w:tblPrEx>
        <w:trPr>
          <w:trHeight w:val="405" w:hRule="atLeast"/>
          <w:jc w:val="center"/>
        </w:trPr>
        <w:tc>
          <w:tcPr>
            <w:tcW w:w="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3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rPr>
            </w:pPr>
          </w:p>
        </w:tc>
      </w:tr>
    </w:tbl>
    <w:p>
      <w:pPr>
        <w:pStyle w:val="30"/>
      </w:pPr>
      <w:r>
        <w:rPr>
          <w:rFonts w:hint="eastAsia"/>
        </w:rPr>
        <w:t>对扣分项，计算未达到当年目标的断面个数时，如达标年限晚于当年的断面（如</w:t>
      </w:r>
      <w:r>
        <w:t>2016</w:t>
      </w:r>
      <w:r>
        <w:rPr>
          <w:rFonts w:hint="eastAsia"/>
        </w:rPr>
        <w:t>年度考核，有部分断面达标年限为</w:t>
      </w:r>
      <w:r>
        <w:t>2017</w:t>
      </w:r>
      <w:r>
        <w:rPr>
          <w:rFonts w:hint="eastAsia"/>
        </w:rPr>
        <w:t>年、</w:t>
      </w:r>
      <w:r>
        <w:t>2018</w:t>
      </w:r>
      <w:r>
        <w:rPr>
          <w:rFonts w:hint="eastAsia"/>
        </w:rPr>
        <w:t>年、</w:t>
      </w:r>
      <w:r>
        <w:t>2019</w:t>
      </w:r>
      <w:r>
        <w:rPr>
          <w:rFonts w:hint="eastAsia"/>
        </w:rPr>
        <w:t>年或</w:t>
      </w:r>
      <w:r>
        <w:t>2020</w:t>
      </w:r>
      <w:r>
        <w:rPr>
          <w:rFonts w:hint="eastAsia"/>
        </w:rPr>
        <w:t>年），则将该断面在《目标责任书》规定的</w:t>
      </w:r>
      <w:r>
        <w:t>2014</w:t>
      </w:r>
      <w:r>
        <w:rPr>
          <w:rFonts w:hint="eastAsia"/>
        </w:rPr>
        <w:t>年水质类别认定为当年水质目标。</w:t>
      </w:r>
    </w:p>
    <w:p>
      <w:pPr>
        <w:pStyle w:val="30"/>
      </w:pPr>
      <w:r>
        <w:rPr>
          <w:rFonts w:hint="eastAsia"/>
        </w:rPr>
        <w:t>对无监测数据的考核断面，应说明无监测数据的原因并提供相关证明材料，计分时说明各断面的达标认定情况、以及计分认定的水质类别。</w:t>
      </w: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2 </w:t>
      </w:r>
      <w:r>
        <w:rPr>
          <w:rFonts w:hint="eastAsia" w:eastAsia="黑体"/>
          <w:sz w:val="24"/>
          <w:szCs w:val="24"/>
        </w:rPr>
        <w:t>无监测数据断面的说明及计分认定情况</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168"/>
        <w:gridCol w:w="1208"/>
        <w:gridCol w:w="1168"/>
        <w:gridCol w:w="126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序号</w:t>
            </w:r>
          </w:p>
        </w:tc>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断面名称</w:t>
            </w:r>
          </w:p>
        </w:tc>
        <w:tc>
          <w:tcPr>
            <w:tcW w:w="1168"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水质目标</w:t>
            </w:r>
          </w:p>
        </w:tc>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无监测数据的原因</w:t>
            </w:r>
          </w:p>
        </w:tc>
        <w:tc>
          <w:tcPr>
            <w:tcW w:w="1168"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认定是否达标</w:t>
            </w:r>
          </w:p>
        </w:tc>
        <w:tc>
          <w:tcPr>
            <w:tcW w:w="1264"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计分认定的水质类别</w:t>
            </w:r>
          </w:p>
        </w:tc>
        <w:tc>
          <w:tcPr>
            <w:tcW w:w="1072"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168"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208"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168"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264" w:type="dxa"/>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072" w:type="dxa"/>
            <w:vAlign w:val="center"/>
          </w:tcPr>
          <w:p>
            <w:pPr>
              <w:widowControl/>
              <w:adjustRightInd w:val="0"/>
              <w:snapToGrid w:val="0"/>
              <w:jc w:val="center"/>
              <w:rPr>
                <w:rFonts w:ascii="Times New Roman" w:hAnsi="Times New Roman" w:eastAsia="黑体" w:cs="Times New Roman"/>
                <w:color w:val="000000"/>
                <w:kern w:val="0"/>
                <w:sz w:val="20"/>
                <w:szCs w:val="21"/>
              </w:rPr>
            </w:pPr>
          </w:p>
        </w:tc>
      </w:tr>
    </w:tbl>
    <w:p>
      <w:pPr>
        <w:pStyle w:val="30"/>
      </w:pPr>
      <w:r>
        <w:rPr>
          <w:rFonts w:hint="eastAsia"/>
        </w:rPr>
        <w:t>对其他需特殊说明的断面（如采用水利部门跨省界数据的、因客观原因影响水质类别的、扣除上游影响的等），应逐一断面说明数据来源、监测与评价结果、计分认定情况，并提供相关的证明文件及数据。如，扣除上游影响应提供本省份考核断面的流量、水质数据和上游入境的省界断面流量、水质数据和水质目标要求等。</w:t>
      </w:r>
    </w:p>
    <w:p>
      <w:pPr>
        <w:pStyle w:val="30"/>
      </w:pPr>
      <w:r>
        <w:rPr>
          <w:rFonts w:hint="eastAsia"/>
        </w:rPr>
        <w:t>分析不达标断面水体超标的原因，说明水质维持、水质改善存在的难点。</w:t>
      </w:r>
    </w:p>
    <w:p>
      <w:pPr>
        <w:pStyle w:val="3"/>
        <w:ind w:firstLine="600"/>
      </w:pPr>
      <w:bookmarkStart w:id="17" w:name="_Toc461612500"/>
      <w:bookmarkStart w:id="18" w:name="_Toc470183678"/>
      <w:r>
        <w:rPr>
          <w:rFonts w:hint="eastAsia"/>
        </w:rPr>
        <w:t>黑臭水体</w:t>
      </w:r>
      <w:bookmarkEnd w:id="17"/>
      <w:r>
        <w:rPr>
          <w:rFonts w:hint="eastAsia"/>
        </w:rPr>
        <w:t>（住建部门提供材料）</w:t>
      </w:r>
      <w:bookmarkEnd w:id="18"/>
    </w:p>
    <w:p>
      <w:pPr>
        <w:pStyle w:val="30"/>
      </w:pPr>
      <w:r>
        <w:rPr>
          <w:rFonts w:hint="eastAsia"/>
        </w:rPr>
        <w:t>分地市说明黑臭水体的现状基数（包括黑臭水体数量、长度或面积）、当年度整治完成情况及难点、投资情况等。</w:t>
      </w:r>
    </w:p>
    <w:p>
      <w:pPr>
        <w:pStyle w:val="30"/>
      </w:pPr>
      <w:r>
        <w:rPr>
          <w:rFonts w:hint="eastAsia"/>
        </w:rPr>
        <w:t>以省（区、市）为单位，计算地级及以上城市建成区黑臭水体消除比例（即：按全省已消除黑臭的水体个数占全省黑臭水体的总数的比重），说明直辖市、省会城市、计划单列市等的消除比例及其年度目标完成情况，按《考核规定》进行各省（区、市）自评分。</w:t>
      </w:r>
    </w:p>
    <w:p>
      <w:pPr>
        <w:pStyle w:val="30"/>
      </w:pPr>
    </w:p>
    <w:p>
      <w:pPr>
        <w:pStyle w:val="30"/>
      </w:pPr>
    </w:p>
    <w:p>
      <w:pPr>
        <w:pStyle w:val="30"/>
        <w:ind w:firstLine="480"/>
        <w:jc w:val="center"/>
        <w:rPr>
          <w:rFonts w:eastAsia="黑体"/>
          <w:sz w:val="24"/>
          <w:szCs w:val="24"/>
        </w:rPr>
      </w:pPr>
      <w:r>
        <w:rPr>
          <w:rFonts w:eastAsia="黑体"/>
          <w:sz w:val="24"/>
          <w:szCs w:val="24"/>
        </w:rPr>
        <w:t xml:space="preserve">表3 </w:t>
      </w:r>
      <w:r>
        <w:rPr>
          <w:rFonts w:hint="eastAsia" w:eastAsia="黑体"/>
          <w:sz w:val="24"/>
          <w:szCs w:val="24"/>
        </w:rPr>
        <w:t>地级及以上城市黑臭水体整治工作进展情况表</w:t>
      </w:r>
    </w:p>
    <w:tbl>
      <w:tblPr>
        <w:tblStyle w:val="23"/>
        <w:tblW w:w="8296" w:type="dxa"/>
        <w:tblInd w:w="0" w:type="dxa"/>
        <w:tblLayout w:type="fixed"/>
        <w:tblCellMar>
          <w:top w:w="0" w:type="dxa"/>
          <w:left w:w="0" w:type="dxa"/>
          <w:bottom w:w="0" w:type="dxa"/>
          <w:right w:w="0" w:type="dxa"/>
        </w:tblCellMar>
      </w:tblPr>
      <w:tblGrid>
        <w:gridCol w:w="717"/>
        <w:gridCol w:w="992"/>
        <w:gridCol w:w="982"/>
        <w:gridCol w:w="1054"/>
        <w:gridCol w:w="1009"/>
        <w:gridCol w:w="1125"/>
        <w:gridCol w:w="952"/>
        <w:gridCol w:w="1465"/>
      </w:tblGrid>
      <w:tr>
        <w:tblPrEx>
          <w:tblLayout w:type="fixed"/>
          <w:tblCellMar>
            <w:top w:w="0" w:type="dxa"/>
            <w:left w:w="0" w:type="dxa"/>
            <w:bottom w:w="0" w:type="dxa"/>
            <w:right w:w="0" w:type="dxa"/>
          </w:tblCellMar>
        </w:tblPrEx>
        <w:trPr>
          <w:trHeight w:val="399" w:hRule="atLeast"/>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序号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地级</w:t>
            </w:r>
            <w:r>
              <w:rPr>
                <w:rFonts w:ascii="Times New Roman" w:hAnsi="Times New Roman" w:eastAsia="黑体" w:cs="Times New Roman"/>
                <w:color w:val="000000"/>
                <w:kern w:val="0"/>
                <w:sz w:val="20"/>
                <w:szCs w:val="21"/>
              </w:rPr>
              <w:t>及以上</w:t>
            </w:r>
            <w:r>
              <w:rPr>
                <w:rFonts w:hint="eastAsia" w:ascii="Times New Roman" w:hAnsi="Times New Roman" w:eastAsia="黑体" w:cs="Times New Roman"/>
                <w:color w:val="000000"/>
                <w:kern w:val="0"/>
                <w:sz w:val="20"/>
                <w:szCs w:val="21"/>
              </w:rPr>
              <w:t>城市</w:t>
            </w:r>
          </w:p>
        </w:tc>
        <w:tc>
          <w:tcPr>
            <w:tcW w:w="9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黑臭水体数量（个）</w:t>
            </w:r>
          </w:p>
        </w:tc>
        <w:tc>
          <w:tcPr>
            <w:tcW w:w="414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整治工作进展（个）</w:t>
            </w: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比例（</w:t>
            </w:r>
            <w:r>
              <w:rPr>
                <w:rFonts w:ascii="Times New Roman" w:hAnsi="Times New Roman" w:eastAsia="黑体" w:cs="Times New Roman"/>
                <w:color w:val="000000"/>
                <w:kern w:val="0"/>
                <w:sz w:val="20"/>
                <w:szCs w:val="21"/>
              </w:rPr>
              <w:t>%</w:t>
            </w:r>
            <w:r>
              <w:rPr>
                <w:rFonts w:hint="eastAsia" w:ascii="Times New Roman" w:hAnsi="Times New Roman" w:eastAsia="黑体" w:cs="Times New Roman"/>
                <w:color w:val="000000"/>
                <w:kern w:val="0"/>
                <w:sz w:val="20"/>
                <w:szCs w:val="21"/>
              </w:rPr>
              <w:t>）</w:t>
            </w:r>
          </w:p>
        </w:tc>
      </w:tr>
      <w:tr>
        <w:tblPrEx>
          <w:tblLayout w:type="fixed"/>
          <w:tblCellMar>
            <w:top w:w="0" w:type="dxa"/>
            <w:left w:w="0" w:type="dxa"/>
            <w:bottom w:w="0" w:type="dxa"/>
            <w:right w:w="0" w:type="dxa"/>
          </w:tblCellMar>
        </w:tblPrEx>
        <w:trPr>
          <w:trHeight w:val="399"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054" w:type="dxa"/>
            <w:vMerge w:val="restart"/>
            <w:tcBorders>
              <w:top w:val="nil"/>
              <w:left w:val="nil"/>
              <w:bottom w:val="nil"/>
              <w:right w:val="nil"/>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已开工整治（含已完成整治工程）</w:t>
            </w:r>
          </w:p>
        </w:tc>
        <w:tc>
          <w:tcPr>
            <w:tcW w:w="1009" w:type="dxa"/>
            <w:tcBorders>
              <w:top w:val="nil"/>
              <w:left w:val="nil"/>
              <w:bottom w:val="nil"/>
              <w:right w:val="nil"/>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正在开展前期工作</w:t>
            </w:r>
          </w:p>
        </w:tc>
        <w:tc>
          <w:tcPr>
            <w:tcW w:w="952"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尚未启动治理</w:t>
            </w:r>
          </w:p>
        </w:tc>
        <w:tc>
          <w:tcPr>
            <w:tcW w:w="1465" w:type="dxa"/>
            <w:vMerge w:val="restart"/>
            <w:tcBorders>
              <w:top w:val="single" w:color="auto" w:sz="4" w:space="0"/>
              <w:left w:val="nil"/>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已开工整治（含已完成整治工程）的黑臭水体占黑臭水体总数的比例</w:t>
            </w:r>
          </w:p>
        </w:tc>
      </w:tr>
      <w:tr>
        <w:tblPrEx>
          <w:tblLayout w:type="fixed"/>
          <w:tblCellMar>
            <w:top w:w="0" w:type="dxa"/>
            <w:left w:w="0" w:type="dxa"/>
            <w:bottom w:w="0" w:type="dxa"/>
            <w:right w:w="0" w:type="dxa"/>
          </w:tblCellMar>
        </w:tblPrEx>
        <w:trPr>
          <w:trHeight w:val="744"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054" w:type="dxa"/>
            <w:vMerge w:val="continue"/>
            <w:tcBorders>
              <w:top w:val="nil"/>
              <w:left w:val="nil"/>
              <w:bottom w:val="nil"/>
              <w:right w:val="nil"/>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009" w:type="dxa"/>
            <w:tcBorders>
              <w:top w:val="single" w:color="auto" w:sz="4" w:space="0"/>
              <w:left w:val="single" w:color="auto" w:sz="4" w:space="0"/>
              <w:bottom w:val="single" w:color="auto" w:sz="4" w:space="0"/>
              <w:right w:val="nil"/>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其中：已完成整治工程</w:t>
            </w:r>
            <w:r>
              <w:rPr>
                <w:rFonts w:hint="eastAsia" w:ascii="Times New Roman" w:hAnsi="Times New Roman" w:eastAsia="黑体" w:cs="Times New Roman"/>
                <w:color w:val="000000"/>
                <w:kern w:val="0"/>
                <w:sz w:val="20"/>
                <w:szCs w:val="21"/>
                <w:vertAlign w:val="superscript"/>
              </w:rPr>
              <w:t>注</w:t>
            </w: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52"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1465" w:type="dxa"/>
            <w:vMerge w:val="continue"/>
            <w:tcBorders>
              <w:top w:val="single" w:color="auto" w:sz="4" w:space="0"/>
              <w:left w:val="nil"/>
              <w:bottom w:val="nil"/>
              <w:right w:val="single" w:color="auto" w:sz="4" w:space="0"/>
            </w:tcBorders>
            <w:vAlign w:val="center"/>
          </w:tcPr>
          <w:p>
            <w:pPr>
              <w:widowControl/>
              <w:adjustRightInd w:val="0"/>
              <w:snapToGrid w:val="0"/>
              <w:jc w:val="center"/>
              <w:rPr>
                <w:rFonts w:ascii="Times New Roman" w:hAnsi="Times New Roman" w:eastAsia="黑体" w:cs="Times New Roman"/>
                <w:color w:val="000000"/>
                <w:kern w:val="0"/>
                <w:sz w:val="20"/>
                <w:szCs w:val="21"/>
              </w:rPr>
            </w:pPr>
          </w:p>
        </w:tc>
      </w:tr>
      <w:tr>
        <w:tblPrEx>
          <w:tblLayout w:type="fixed"/>
          <w:tblCellMar>
            <w:top w:w="0" w:type="dxa"/>
            <w:left w:w="0" w:type="dxa"/>
            <w:bottom w:w="0" w:type="dxa"/>
            <w:right w:w="0" w:type="dxa"/>
          </w:tblCellMar>
        </w:tblPrEx>
        <w:trPr>
          <w:trHeight w:val="399" w:hRule="atLeast"/>
        </w:trPr>
        <w:tc>
          <w:tcPr>
            <w:tcW w:w="1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合计</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r>
      <w:tr>
        <w:tblPrEx>
          <w:tblLayout w:type="fixed"/>
          <w:tblCellMar>
            <w:top w:w="0" w:type="dxa"/>
            <w:left w:w="0" w:type="dxa"/>
            <w:bottom w:w="0" w:type="dxa"/>
            <w:right w:w="0" w:type="dxa"/>
          </w:tblCellMar>
        </w:tblPrEx>
        <w:trPr>
          <w:trHeight w:val="399" w:hRule="atLeast"/>
        </w:trPr>
        <w:tc>
          <w:tcPr>
            <w:tcW w:w="170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比例</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0"/>
              </w:rPr>
            </w:pP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Cs/>
                <w:kern w:val="0"/>
                <w:sz w:val="24"/>
                <w:szCs w:val="24"/>
              </w:rPr>
            </w:pPr>
          </w:p>
        </w:tc>
      </w:tr>
      <w:tr>
        <w:tblPrEx>
          <w:tblLayout w:type="fixed"/>
          <w:tblCellMar>
            <w:top w:w="0" w:type="dxa"/>
            <w:left w:w="0" w:type="dxa"/>
            <w:bottom w:w="0" w:type="dxa"/>
            <w:right w:w="0" w:type="dxa"/>
          </w:tblCellMar>
        </w:tblPrEx>
        <w:trPr>
          <w:trHeight w:val="399" w:hRule="atLeast"/>
        </w:trPr>
        <w:tc>
          <w:tcPr>
            <w:tcW w:w="71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城市</w:t>
            </w:r>
            <w:r>
              <w:rPr>
                <w:rFonts w:ascii="Times New Roman" w:hAnsi="Times New Roman" w:eastAsia="黑体" w:cs="Times New Roman"/>
                <w:color w:val="000000"/>
                <w:kern w:val="0"/>
                <w:sz w:val="20"/>
                <w:szCs w:val="21"/>
              </w:rPr>
              <w:t>1</w:t>
            </w:r>
          </w:p>
        </w:tc>
        <w:tc>
          <w:tcPr>
            <w:tcW w:w="9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46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r>
      <w:tr>
        <w:tblPrEx>
          <w:tblLayout w:type="fixed"/>
          <w:tblCellMar>
            <w:top w:w="0" w:type="dxa"/>
            <w:left w:w="0" w:type="dxa"/>
            <w:bottom w:w="0" w:type="dxa"/>
            <w:right w:w="0" w:type="dxa"/>
          </w:tblCellMar>
        </w:tblPrEx>
        <w:trPr>
          <w:trHeight w:val="399"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城市</w:t>
            </w:r>
            <w:r>
              <w:rPr>
                <w:rFonts w:ascii="Times New Roman" w:hAnsi="Times New Roman" w:eastAsia="黑体" w:cs="Times New Roman"/>
                <w:color w:val="000000"/>
                <w:kern w:val="0"/>
                <w:sz w:val="20"/>
                <w:szCs w:val="21"/>
              </w:rPr>
              <w:t>2</w:t>
            </w: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9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r>
      <w:tr>
        <w:tblPrEx>
          <w:tblLayout w:type="fixed"/>
          <w:tblCellMar>
            <w:top w:w="0" w:type="dxa"/>
            <w:left w:w="0" w:type="dxa"/>
            <w:bottom w:w="0" w:type="dxa"/>
            <w:right w:w="0" w:type="dxa"/>
          </w:tblCellMar>
        </w:tblPrEx>
        <w:trPr>
          <w:trHeight w:val="399"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 w:val="20"/>
                <w:szCs w:val="21"/>
              </w:rPr>
            </w:pPr>
          </w:p>
        </w:tc>
        <w:tc>
          <w:tcPr>
            <w:tcW w:w="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9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c>
          <w:tcPr>
            <w:tcW w:w="1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0"/>
              </w:rPr>
            </w:pPr>
          </w:p>
        </w:tc>
      </w:tr>
    </w:tbl>
    <w:p>
      <w:pPr>
        <w:adjustRightInd w:val="0"/>
        <w:snapToGrid w:val="0"/>
        <w:spacing w:line="360" w:lineRule="auto"/>
        <w:ind w:firstLine="440" w:firstLineChars="200"/>
        <w:rPr>
          <w:rFonts w:ascii="Times New Roman" w:hAnsi="Times New Roman" w:eastAsia="仿宋_GB2312" w:cs="Times New Roman"/>
          <w:sz w:val="22"/>
          <w:szCs w:val="30"/>
        </w:rPr>
      </w:pPr>
      <w:r>
        <w:rPr>
          <w:rFonts w:hint="eastAsia" w:ascii="Times New Roman" w:hAnsi="Times New Roman" w:eastAsia="仿宋_GB2312" w:cs="Times New Roman"/>
          <w:sz w:val="22"/>
          <w:szCs w:val="30"/>
        </w:rPr>
        <w:t>注：实施整治措施，水体达到不黑不臭的标准要求。</w:t>
      </w:r>
    </w:p>
    <w:p>
      <w:pPr>
        <w:adjustRightInd w:val="0"/>
        <w:snapToGrid w:val="0"/>
        <w:spacing w:line="360" w:lineRule="auto"/>
        <w:ind w:firstLine="440" w:firstLineChars="200"/>
        <w:rPr>
          <w:rFonts w:ascii="Times New Roman" w:hAnsi="Times New Roman" w:eastAsia="仿宋_GB2312" w:cs="Times New Roman"/>
          <w:sz w:val="22"/>
          <w:szCs w:val="30"/>
        </w:rPr>
      </w:pPr>
    </w:p>
    <w:p>
      <w:pPr>
        <w:pStyle w:val="3"/>
        <w:ind w:firstLine="600"/>
      </w:pPr>
      <w:bookmarkStart w:id="19" w:name="_Toc470183679"/>
      <w:bookmarkEnd w:id="19"/>
      <w:bookmarkStart w:id="20" w:name="_Toc461612501"/>
      <w:bookmarkStart w:id="21" w:name="_Toc470183680"/>
      <w:r>
        <w:rPr>
          <w:rFonts w:hint="eastAsia"/>
        </w:rPr>
        <w:t>饮用水</w:t>
      </w:r>
      <w:bookmarkEnd w:id="20"/>
      <w:r>
        <w:rPr>
          <w:rFonts w:hint="eastAsia"/>
        </w:rPr>
        <w:t>水源（环保部门提供材料）</w:t>
      </w:r>
      <w:bookmarkEnd w:id="21"/>
    </w:p>
    <w:p>
      <w:pPr>
        <w:pStyle w:val="30"/>
      </w:pPr>
      <w:r>
        <w:rPr>
          <w:rFonts w:hint="eastAsia"/>
        </w:rPr>
        <w:t>对《目标责任书》中规定的饮用水水源水质进行评价，统计达到或优于</w:t>
      </w:r>
      <w:r>
        <w:rPr>
          <w:rFonts w:hint="eastAsia" w:ascii="宋体" w:hAnsi="宋体" w:eastAsia="宋体" w:cs="宋体"/>
        </w:rPr>
        <w:t>Ⅲ</w:t>
      </w:r>
      <w:r>
        <w:rPr>
          <w:rFonts w:hint="eastAsia"/>
        </w:rPr>
        <w:t>类的饮用水水源个数及比例，按《考核规定》进行自评分。</w:t>
      </w:r>
    </w:p>
    <w:p>
      <w:pPr>
        <w:pStyle w:val="30"/>
      </w:pPr>
      <w:r>
        <w:rPr>
          <w:rFonts w:hint="eastAsia"/>
        </w:rPr>
        <w:t>对于经专用渠道引河流来水的水库型水源地，因来水导致总磷超标，需要扣除总磷影响的水源地应详细说明来水水质及流量、水库水质及水资源量等情况。</w:t>
      </w:r>
    </w:p>
    <w:p>
      <w:pPr>
        <w:pStyle w:val="30"/>
      </w:pPr>
      <w:r>
        <w:rPr>
          <w:rFonts w:hint="eastAsia"/>
        </w:rPr>
        <w:t>逐一分析不达标水源的超标原因、治理进展和难点等。对水质降类的水源也要分析原因。</w:t>
      </w:r>
    </w:p>
    <w:p>
      <w:pPr>
        <w:pStyle w:val="3"/>
        <w:ind w:firstLine="600"/>
      </w:pPr>
      <w:bookmarkStart w:id="22" w:name="_Toc461612502"/>
      <w:bookmarkStart w:id="23" w:name="_Toc470183681"/>
      <w:r>
        <w:rPr>
          <w:rFonts w:hint="eastAsia"/>
        </w:rPr>
        <w:t>地下水</w:t>
      </w:r>
      <w:bookmarkEnd w:id="22"/>
      <w:r>
        <w:rPr>
          <w:rFonts w:hint="eastAsia"/>
        </w:rPr>
        <w:t>（国土部门提供材料）</w:t>
      </w:r>
      <w:bookmarkEnd w:id="23"/>
    </w:p>
    <w:p>
      <w:pPr>
        <w:pStyle w:val="30"/>
      </w:pPr>
      <w:r>
        <w:rPr>
          <w:rFonts w:hint="eastAsia"/>
        </w:rPr>
        <w:t>对《目标责任书》中规定的地下水点位，以国土部门监测数据为主，按照《考核规定》指标、综合评价方法进行评价，统计地下水质量考核点位极差比例，按《考核规定》进行自评分。</w:t>
      </w:r>
    </w:p>
    <w:p>
      <w:pPr>
        <w:pStyle w:val="30"/>
      </w:pP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4 </w:t>
      </w:r>
      <w:r>
        <w:rPr>
          <w:rFonts w:hint="eastAsia" w:eastAsia="黑体"/>
          <w:sz w:val="24"/>
          <w:szCs w:val="24"/>
        </w:rPr>
        <w:t>地下水质量考核点位统计情况</w:t>
      </w:r>
    </w:p>
    <w:tbl>
      <w:tblPr>
        <w:tblStyle w:val="2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70"/>
        <w:gridCol w:w="1830"/>
        <w:gridCol w:w="150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8"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0"/>
                <w:szCs w:val="21"/>
              </w:rPr>
              <w:t>考核点位总个数</w:t>
            </w:r>
          </w:p>
        </w:tc>
        <w:tc>
          <w:tcPr>
            <w:tcW w:w="1770"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0"/>
                <w:szCs w:val="21"/>
              </w:rPr>
              <w:t>当年极差点位个数</w:t>
            </w:r>
          </w:p>
        </w:tc>
        <w:tc>
          <w:tcPr>
            <w:tcW w:w="1830"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0"/>
                <w:szCs w:val="21"/>
              </w:rPr>
              <w:t>极差控制比例（</w:t>
            </w:r>
            <w:r>
              <w:rPr>
                <w:rFonts w:ascii="Times New Roman" w:hAnsi="Times New Roman" w:eastAsia="黑体" w:cs="Times New Roman"/>
                <w:color w:val="000000"/>
                <w:kern w:val="0"/>
                <w:sz w:val="20"/>
                <w:szCs w:val="21"/>
              </w:rPr>
              <w:t>%</w:t>
            </w:r>
            <w:r>
              <w:rPr>
                <w:rFonts w:hint="eastAsia" w:ascii="Times New Roman" w:hAnsi="Times New Roman" w:eastAsia="黑体" w:cs="Times New Roman"/>
                <w:color w:val="000000"/>
                <w:kern w:val="0"/>
                <w:sz w:val="20"/>
                <w:szCs w:val="21"/>
              </w:rPr>
              <w:t>）</w:t>
            </w:r>
          </w:p>
        </w:tc>
        <w:tc>
          <w:tcPr>
            <w:tcW w:w="1505"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级别恶化的</w:t>
            </w:r>
          </w:p>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0"/>
                <w:szCs w:val="21"/>
              </w:rPr>
              <w:t>点位个数</w:t>
            </w:r>
          </w:p>
        </w:tc>
        <w:tc>
          <w:tcPr>
            <w:tcW w:w="1583" w:type="dxa"/>
            <w:vAlign w:val="center"/>
          </w:tcPr>
          <w:p>
            <w:pPr>
              <w:widowControl/>
              <w:adjustRightInd w:val="0"/>
              <w:snapToGrid w:val="0"/>
              <w:jc w:val="center"/>
              <w:rPr>
                <w:rFonts w:ascii="Times New Roman" w:hAnsi="Times New Roman" w:eastAsia="黑体" w:cs="Times New Roman"/>
                <w:color w:val="000000"/>
                <w:kern w:val="0"/>
                <w:sz w:val="20"/>
                <w:szCs w:val="21"/>
              </w:rPr>
            </w:pPr>
            <w:r>
              <w:rPr>
                <w:rFonts w:hint="eastAsia" w:ascii="Times New Roman" w:hAnsi="Times New Roman" w:eastAsia="黑体" w:cs="Times New Roman"/>
                <w:color w:val="000000"/>
                <w:kern w:val="0"/>
                <w:sz w:val="20"/>
                <w:szCs w:val="21"/>
              </w:rPr>
              <w:t>级别改善的</w:t>
            </w:r>
          </w:p>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0"/>
                <w:szCs w:val="21"/>
              </w:rPr>
              <w:t>点位个数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08"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1770"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1830"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1505"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1583" w:type="dxa"/>
            <w:vAlign w:val="center"/>
          </w:tcPr>
          <w:p>
            <w:pPr>
              <w:widowControl/>
              <w:adjustRightInd w:val="0"/>
              <w:snapToGrid w:val="0"/>
              <w:jc w:val="center"/>
              <w:rPr>
                <w:rFonts w:ascii="Times New Roman" w:hAnsi="Times New Roman" w:eastAsia="黑体" w:cs="Times New Roman"/>
                <w:color w:val="000000"/>
                <w:kern w:val="0"/>
                <w:szCs w:val="21"/>
              </w:rPr>
            </w:pPr>
          </w:p>
        </w:tc>
      </w:tr>
    </w:tbl>
    <w:p>
      <w:pPr>
        <w:pStyle w:val="30"/>
      </w:pPr>
      <w:r>
        <w:rPr>
          <w:rFonts w:hint="eastAsia"/>
        </w:rPr>
        <w:t>对枯水期地下水位下降造成无法采样的点位要进行说明；对由于无监测结果或监测井被破坏等导致对监测井有所调整的点位，要逐一说明原因和调整情况。对地下水水质恶化的点位，要结合水质现状和趋势，分析新增极差点位超标的原因。对需要调整为使用水利部门地下水监测工程数据的点位，要予以说明。</w:t>
      </w:r>
    </w:p>
    <w:p>
      <w:pPr>
        <w:pStyle w:val="3"/>
        <w:ind w:firstLine="600"/>
      </w:pPr>
      <w:bookmarkStart w:id="24" w:name="_Toc470183682"/>
      <w:r>
        <w:rPr>
          <w:rFonts w:hint="eastAsia"/>
        </w:rPr>
        <w:t>近岸海域（环保部门提供材料）</w:t>
      </w:r>
      <w:bookmarkEnd w:id="24"/>
    </w:p>
    <w:p>
      <w:pPr>
        <w:pStyle w:val="30"/>
      </w:pPr>
      <w:r>
        <w:rPr>
          <w:rFonts w:hint="eastAsia"/>
        </w:rPr>
        <w:t>自查说明本省级行政区近岸海域一、二类比例监测频次、指标、点位个数等情况，统计各类别的水质点位个数。按照《海水水质标准（</w:t>
      </w:r>
      <w:r>
        <w:t>GB 3097-1997</w:t>
      </w:r>
      <w:r>
        <w:rPr>
          <w:rFonts w:hint="eastAsia"/>
        </w:rPr>
        <w:t>）》进行近岸海域水质评价，分析近五年水质变化趋势以及超标污染指标变化情况。</w:t>
      </w: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5 </w:t>
      </w:r>
      <w:r>
        <w:rPr>
          <w:rFonts w:hint="eastAsia" w:eastAsia="黑体"/>
          <w:sz w:val="24"/>
          <w:szCs w:val="24"/>
        </w:rPr>
        <w:t>近岸海域各水质类别的考核点位个数统计</w:t>
      </w:r>
    </w:p>
    <w:tbl>
      <w:tblPr>
        <w:tblStyle w:val="23"/>
        <w:tblW w:w="8296" w:type="dxa"/>
        <w:tblInd w:w="0" w:type="dxa"/>
        <w:tblLayout w:type="fixed"/>
        <w:tblCellMar>
          <w:top w:w="0" w:type="dxa"/>
          <w:left w:w="108" w:type="dxa"/>
          <w:bottom w:w="0" w:type="dxa"/>
          <w:right w:w="108" w:type="dxa"/>
        </w:tblCellMar>
      </w:tblPr>
      <w:tblGrid>
        <w:gridCol w:w="1186"/>
        <w:gridCol w:w="1185"/>
        <w:gridCol w:w="1185"/>
        <w:gridCol w:w="1185"/>
        <w:gridCol w:w="1185"/>
        <w:gridCol w:w="1185"/>
        <w:gridCol w:w="1185"/>
      </w:tblGrid>
      <w:tr>
        <w:tblPrEx>
          <w:tblLayout w:type="fixed"/>
          <w:tblCellMar>
            <w:top w:w="0" w:type="dxa"/>
            <w:left w:w="108" w:type="dxa"/>
            <w:bottom w:w="0" w:type="dxa"/>
            <w:right w:w="108" w:type="dxa"/>
          </w:tblCellMar>
        </w:tblPrEx>
        <w:trPr>
          <w:trHeight w:val="27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海区</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一类</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二类</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三类</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四类</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劣四类</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总个数</w:t>
            </w:r>
          </w:p>
        </w:tc>
      </w:tr>
      <w:tr>
        <w:tblPrEx>
          <w:tblLayout w:type="fixed"/>
          <w:tblCellMar>
            <w:top w:w="0" w:type="dxa"/>
            <w:left w:w="108" w:type="dxa"/>
            <w:bottom w:w="0" w:type="dxa"/>
            <w:right w:w="108" w:type="dxa"/>
          </w:tblCellMar>
        </w:tblPrEx>
        <w:trPr>
          <w:trHeight w:val="270"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r>
    </w:tbl>
    <w:p>
      <w:pPr>
        <w:pStyle w:val="30"/>
      </w:pPr>
    </w:p>
    <w:p>
      <w:pPr>
        <w:pStyle w:val="2"/>
      </w:pPr>
      <w:bookmarkStart w:id="25" w:name="_Toc461612503"/>
      <w:bookmarkStart w:id="26" w:name="_Toc461612617"/>
      <w:bookmarkStart w:id="27" w:name="_Toc470183683"/>
      <w:r>
        <w:rPr>
          <w:rFonts w:hint="eastAsia"/>
        </w:rPr>
        <w:t>水污染防治重点工作完成情况</w:t>
      </w:r>
      <w:bookmarkEnd w:id="25"/>
      <w:bookmarkEnd w:id="26"/>
      <w:bookmarkEnd w:id="27"/>
    </w:p>
    <w:p>
      <w:pPr>
        <w:pStyle w:val="30"/>
      </w:pPr>
      <w:r>
        <w:rPr>
          <w:rFonts w:hint="eastAsia"/>
        </w:rPr>
        <w:t>各项指标应逐一说明年度任务要求（包括国家任务要求、本地区年度实施计划任务要求等）、为完成年度任务开展的工作情况（包括责任落实、计划制定、政策出台、监督管理等）、年度任务完成情况（包括完成与否、未完成原因说明等）等。依据《考核规定》，逐条列出具体评分内容，对照本省级行政区已完成的工作情况，给出赋分分值（填写</w:t>
      </w:r>
      <w:r>
        <w:t>附表</w:t>
      </w:r>
      <w:r>
        <w:rPr>
          <w:rFonts w:hint="eastAsia"/>
        </w:rPr>
        <w:t>1</w:t>
      </w:r>
      <w:r>
        <w:t>-2</w:t>
      </w:r>
      <w:r>
        <w:rPr>
          <w:rFonts w:hint="eastAsia"/>
        </w:rPr>
        <w:t>），并说明赋分理由。</w:t>
      </w:r>
    </w:p>
    <w:p>
      <w:pPr>
        <w:pStyle w:val="3"/>
        <w:ind w:firstLine="600"/>
      </w:pPr>
      <w:bookmarkStart w:id="28" w:name="_Toc461612504"/>
      <w:bookmarkStart w:id="29" w:name="_Toc470183684"/>
      <w:r>
        <w:rPr>
          <w:rFonts w:hint="eastAsia"/>
        </w:rPr>
        <w:t>工业污染防治</w:t>
      </w:r>
      <w:bookmarkEnd w:id="28"/>
      <w:r>
        <w:rPr>
          <w:rFonts w:hint="eastAsia"/>
        </w:rPr>
        <w:t>（环保部门提供材料）</w:t>
      </w:r>
      <w:bookmarkEnd w:id="29"/>
    </w:p>
    <w:p>
      <w:pPr>
        <w:pStyle w:val="4"/>
        <w:ind w:firstLine="602"/>
        <w:rPr>
          <w:rFonts w:ascii="Times New Roman"/>
        </w:rPr>
      </w:pPr>
      <w:r>
        <w:rPr>
          <w:rFonts w:hint="eastAsia" w:ascii="Times New Roman"/>
        </w:rPr>
        <w:t>取缔</w:t>
      </w:r>
      <w:r>
        <w:rPr>
          <w:rFonts w:ascii="Times New Roman"/>
        </w:rPr>
        <w:t>“</w:t>
      </w:r>
      <w:r>
        <w:rPr>
          <w:rFonts w:hint="eastAsia" w:ascii="Times New Roman"/>
        </w:rPr>
        <w:t>十小</w:t>
      </w:r>
      <w:r>
        <w:rPr>
          <w:rFonts w:ascii="Times New Roman"/>
        </w:rPr>
        <w:t>”</w:t>
      </w:r>
      <w:r>
        <w:rPr>
          <w:rFonts w:hint="eastAsia" w:ascii="Times New Roman"/>
        </w:rPr>
        <w:t>企业</w:t>
      </w:r>
    </w:p>
    <w:p>
      <w:pPr>
        <w:pStyle w:val="30"/>
      </w:pPr>
      <w:r>
        <w:t>2016</w:t>
      </w:r>
      <w:r>
        <w:rPr>
          <w:rFonts w:hint="eastAsia"/>
        </w:rPr>
        <w:t>年度提供</w:t>
      </w:r>
      <w:r>
        <w:t>“</w:t>
      </w:r>
      <w:r>
        <w:rPr>
          <w:rFonts w:hint="eastAsia"/>
        </w:rPr>
        <w:t>十小</w:t>
      </w:r>
      <w:r>
        <w:t>”</w:t>
      </w:r>
      <w:r>
        <w:rPr>
          <w:rFonts w:hint="eastAsia"/>
        </w:rPr>
        <w:t>企业取缔清单（见附表</w:t>
      </w:r>
      <w:r>
        <w:t>2-1</w:t>
      </w:r>
      <w:r>
        <w:rPr>
          <w:rFonts w:hint="eastAsia"/>
        </w:rPr>
        <w:t>，作为全口径考核基数），分行业统计取缔企业的项目个数、取缔规模等，按取缔完成的比例（即：取缔完成的项目个数占全口径的</w:t>
      </w:r>
      <w:r>
        <w:t>“</w:t>
      </w:r>
      <w:r>
        <w:rPr>
          <w:rFonts w:hint="eastAsia"/>
        </w:rPr>
        <w:t>十小</w:t>
      </w:r>
      <w:r>
        <w:t>”</w:t>
      </w:r>
      <w:r>
        <w:rPr>
          <w:rFonts w:hint="eastAsia"/>
        </w:rPr>
        <w:t>企业总个数的比重）乘以该项分值进行自评分。</w:t>
      </w:r>
    </w:p>
    <w:p>
      <w:pPr>
        <w:pStyle w:val="30"/>
      </w:pPr>
      <w:r>
        <w:rPr>
          <w:rFonts w:hint="eastAsia"/>
        </w:rPr>
        <w:t>自</w:t>
      </w:r>
      <w:r>
        <w:t>2017</w:t>
      </w:r>
      <w:r>
        <w:rPr>
          <w:rFonts w:hint="eastAsia"/>
        </w:rPr>
        <w:t>年起，原则上对该项指标先赋予满分，然后由考核组结合日常检查情况，按</w:t>
      </w:r>
      <w:r>
        <w:t>“</w:t>
      </w:r>
      <w:r>
        <w:rPr>
          <w:rFonts w:hint="eastAsia"/>
        </w:rPr>
        <w:t>证伪</w:t>
      </w:r>
      <w:r>
        <w:t>”</w:t>
      </w:r>
      <w:r>
        <w:rPr>
          <w:rFonts w:hint="eastAsia"/>
        </w:rPr>
        <w:t>原则进行扣分。此外，对本省特色行业取缔情况也应进行说明。</w:t>
      </w:r>
    </w:p>
    <w:p>
      <w:pPr>
        <w:pStyle w:val="30"/>
        <w:ind w:firstLine="480"/>
        <w:jc w:val="center"/>
        <w:rPr>
          <w:rFonts w:eastAsia="黑体"/>
          <w:sz w:val="24"/>
          <w:szCs w:val="24"/>
        </w:rPr>
      </w:pPr>
      <w:r>
        <w:rPr>
          <w:rFonts w:hint="eastAsia" w:eastAsia="黑体"/>
          <w:sz w:val="24"/>
          <w:szCs w:val="24"/>
        </w:rPr>
        <w:t>表</w:t>
      </w:r>
      <w:r>
        <w:rPr>
          <w:rFonts w:eastAsia="黑体"/>
          <w:sz w:val="24"/>
          <w:szCs w:val="24"/>
        </w:rPr>
        <w:t>6 “</w:t>
      </w:r>
      <w:r>
        <w:rPr>
          <w:rFonts w:hint="eastAsia" w:eastAsia="黑体"/>
          <w:sz w:val="24"/>
          <w:szCs w:val="24"/>
        </w:rPr>
        <w:t>十小</w:t>
      </w:r>
      <w:r>
        <w:rPr>
          <w:rFonts w:eastAsia="黑体"/>
          <w:sz w:val="24"/>
          <w:szCs w:val="24"/>
        </w:rPr>
        <w:t>”</w:t>
      </w:r>
      <w:r>
        <w:rPr>
          <w:rFonts w:hint="eastAsia" w:eastAsia="黑体"/>
          <w:sz w:val="24"/>
          <w:szCs w:val="24"/>
        </w:rPr>
        <w:t>取缔统计汇总表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223"/>
        <w:gridCol w:w="20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053" w:type="dxa"/>
            <w:vAlign w:val="center"/>
          </w:tcPr>
          <w:p>
            <w:pPr>
              <w:widowControl/>
              <w:adjustRightInd w:val="0"/>
              <w:snapToGrid w:val="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行业类型</w:t>
            </w:r>
            <w:r>
              <w:rPr>
                <w:rFonts w:ascii="Times New Roman" w:hAnsi="Times New Roman" w:eastAsia="黑体" w:cs="Times New Roman"/>
                <w:kern w:val="0"/>
                <w:szCs w:val="21"/>
              </w:rPr>
              <w:t>*</w:t>
            </w:r>
          </w:p>
        </w:tc>
        <w:tc>
          <w:tcPr>
            <w:tcW w:w="2223"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取缔企业的数量</w:t>
            </w:r>
          </w:p>
        </w:tc>
        <w:tc>
          <w:tcPr>
            <w:tcW w:w="2056"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淘汰生产线数量</w:t>
            </w:r>
          </w:p>
        </w:tc>
        <w:tc>
          <w:tcPr>
            <w:tcW w:w="1964"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淘汰产能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053" w:type="dxa"/>
            <w:vAlign w:val="center"/>
          </w:tcPr>
          <w:p>
            <w:pPr>
              <w:widowControl/>
              <w:adjustRightInd w:val="0"/>
              <w:snapToGrid w:val="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造纸</w:t>
            </w:r>
          </w:p>
        </w:tc>
        <w:tc>
          <w:tcPr>
            <w:tcW w:w="2223" w:type="dxa"/>
            <w:vAlign w:val="center"/>
          </w:tcPr>
          <w:p>
            <w:pPr>
              <w:widowControl/>
              <w:adjustRightInd w:val="0"/>
              <w:snapToGrid w:val="0"/>
              <w:jc w:val="center"/>
              <w:rPr>
                <w:rFonts w:ascii="Times New Roman" w:hAnsi="Times New Roman" w:cs="Times New Roman"/>
                <w:b/>
                <w:color w:val="000000"/>
                <w:kern w:val="0"/>
                <w:szCs w:val="21"/>
              </w:rPr>
            </w:pPr>
          </w:p>
        </w:tc>
        <w:tc>
          <w:tcPr>
            <w:tcW w:w="2056" w:type="dxa"/>
            <w:vAlign w:val="center"/>
          </w:tcPr>
          <w:p>
            <w:pPr>
              <w:widowControl/>
              <w:adjustRightInd w:val="0"/>
              <w:snapToGrid w:val="0"/>
              <w:jc w:val="center"/>
              <w:rPr>
                <w:rFonts w:ascii="Times New Roman" w:hAnsi="Times New Roman" w:cs="Times New Roman"/>
                <w:b/>
                <w:color w:val="000000"/>
                <w:kern w:val="0"/>
                <w:szCs w:val="21"/>
              </w:rPr>
            </w:pPr>
          </w:p>
        </w:tc>
        <w:tc>
          <w:tcPr>
            <w:tcW w:w="1964" w:type="dxa"/>
            <w:vAlign w:val="center"/>
          </w:tcPr>
          <w:p>
            <w:pPr>
              <w:widowControl/>
              <w:adjustRightInd w:val="0"/>
              <w:snapToGrid w:val="0"/>
              <w:jc w:val="right"/>
              <w:rPr>
                <w:rFonts w:ascii="Times New Roman" w:hAnsi="Times New Roman" w:cs="Times New Roman"/>
                <w:color w:val="000000"/>
                <w:kern w:val="0"/>
                <w:szCs w:val="21"/>
              </w:rPr>
            </w:pPr>
            <w:r>
              <w:rPr>
                <w:rFonts w:hint="eastAsia" w:ascii="Times New Roman" w:hAnsi="Times New Roman" w:cs="Times New Roman"/>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053" w:type="dxa"/>
            <w:vAlign w:val="center"/>
          </w:tcPr>
          <w:p>
            <w:pPr>
              <w:widowControl/>
              <w:adjustRightInd w:val="0"/>
              <w:snapToGrid w:val="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印染</w:t>
            </w:r>
          </w:p>
        </w:tc>
        <w:tc>
          <w:tcPr>
            <w:tcW w:w="2223" w:type="dxa"/>
            <w:vAlign w:val="center"/>
          </w:tcPr>
          <w:p>
            <w:pPr>
              <w:widowControl/>
              <w:adjustRightInd w:val="0"/>
              <w:snapToGrid w:val="0"/>
              <w:jc w:val="center"/>
              <w:rPr>
                <w:rFonts w:ascii="Times New Roman" w:hAnsi="Times New Roman" w:cs="Times New Roman"/>
                <w:b/>
                <w:color w:val="000000"/>
                <w:kern w:val="0"/>
                <w:szCs w:val="21"/>
              </w:rPr>
            </w:pPr>
          </w:p>
        </w:tc>
        <w:tc>
          <w:tcPr>
            <w:tcW w:w="2056" w:type="dxa"/>
            <w:vAlign w:val="center"/>
          </w:tcPr>
          <w:p>
            <w:pPr>
              <w:widowControl/>
              <w:adjustRightInd w:val="0"/>
              <w:snapToGrid w:val="0"/>
              <w:jc w:val="center"/>
              <w:rPr>
                <w:rFonts w:ascii="Times New Roman" w:hAnsi="Times New Roman" w:cs="Times New Roman"/>
                <w:b/>
                <w:color w:val="000000"/>
                <w:kern w:val="0"/>
                <w:szCs w:val="21"/>
              </w:rPr>
            </w:pPr>
          </w:p>
        </w:tc>
        <w:tc>
          <w:tcPr>
            <w:tcW w:w="1964" w:type="dxa"/>
            <w:vAlign w:val="center"/>
          </w:tcPr>
          <w:p>
            <w:pPr>
              <w:widowControl/>
              <w:adjustRightInd w:val="0"/>
              <w:snapToGrid w:val="0"/>
              <w:jc w:val="right"/>
              <w:rPr>
                <w:rFonts w:ascii="Times New Roman" w:hAnsi="Times New Roman" w:cs="Times New Roman"/>
                <w:color w:val="000000"/>
                <w:kern w:val="0"/>
                <w:szCs w:val="21"/>
              </w:rPr>
            </w:pPr>
            <w:r>
              <w:rPr>
                <w:rFonts w:hint="eastAsia" w:ascii="Times New Roman" w:hAnsi="Times New Roman" w:cs="Times New Roman"/>
                <w:color w:val="000000"/>
                <w:kern w:val="0"/>
                <w:szCs w:val="21"/>
              </w:rPr>
              <w:t>（亿米）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053" w:type="dxa"/>
            <w:vAlign w:val="center"/>
          </w:tcPr>
          <w:p>
            <w:pPr>
              <w:widowControl/>
              <w:adjustRightInd w:val="0"/>
              <w:snapToGrid w:val="0"/>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其他</w:t>
            </w:r>
          </w:p>
        </w:tc>
        <w:tc>
          <w:tcPr>
            <w:tcW w:w="2223" w:type="dxa"/>
            <w:vAlign w:val="center"/>
          </w:tcPr>
          <w:p>
            <w:pPr>
              <w:widowControl/>
              <w:adjustRightInd w:val="0"/>
              <w:snapToGrid w:val="0"/>
              <w:jc w:val="center"/>
              <w:rPr>
                <w:rFonts w:ascii="Times New Roman" w:hAnsi="Times New Roman" w:cs="Times New Roman"/>
                <w:color w:val="000000"/>
                <w:kern w:val="0"/>
                <w:szCs w:val="21"/>
              </w:rPr>
            </w:pPr>
          </w:p>
        </w:tc>
        <w:tc>
          <w:tcPr>
            <w:tcW w:w="2056" w:type="dxa"/>
            <w:vAlign w:val="center"/>
          </w:tcPr>
          <w:p>
            <w:pPr>
              <w:widowControl/>
              <w:adjustRightInd w:val="0"/>
              <w:snapToGrid w:val="0"/>
              <w:jc w:val="center"/>
              <w:rPr>
                <w:rFonts w:ascii="Times New Roman" w:hAnsi="Times New Roman" w:cs="Times New Roman"/>
                <w:color w:val="000000"/>
                <w:kern w:val="0"/>
                <w:szCs w:val="21"/>
              </w:rPr>
            </w:pPr>
          </w:p>
        </w:tc>
        <w:tc>
          <w:tcPr>
            <w:tcW w:w="1964" w:type="dxa"/>
            <w:vAlign w:val="center"/>
          </w:tcPr>
          <w:p>
            <w:pPr>
              <w:widowControl/>
              <w:adjustRightInd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bl>
    <w:p>
      <w:pPr>
        <w:adjustRightInd w:val="0"/>
        <w:snapToGrid w:val="0"/>
        <w:spacing w:line="360" w:lineRule="auto"/>
        <w:ind w:firstLine="440" w:firstLineChars="200"/>
        <w:rPr>
          <w:rFonts w:ascii="Times New Roman" w:hAnsi="Times New Roman" w:eastAsia="仿宋_GB2312" w:cs="Times New Roman"/>
          <w:sz w:val="22"/>
        </w:rPr>
      </w:pPr>
      <w:r>
        <w:rPr>
          <w:rFonts w:hint="eastAsia" w:ascii="Times New Roman" w:hAnsi="Times New Roman" w:eastAsia="仿宋_GB2312" w:cs="Times New Roman"/>
          <w:sz w:val="22"/>
        </w:rPr>
        <w:t>备注</w:t>
      </w:r>
      <w:r>
        <w:rPr>
          <w:rFonts w:ascii="Times New Roman" w:hAnsi="Times New Roman" w:eastAsia="仿宋_GB2312" w:cs="Times New Roman"/>
          <w:sz w:val="22"/>
        </w:rPr>
        <w:t>*</w:t>
      </w:r>
      <w:r>
        <w:rPr>
          <w:rFonts w:hint="eastAsia" w:ascii="Times New Roman" w:hAnsi="Times New Roman" w:eastAsia="仿宋_GB2312" w:cs="Times New Roman"/>
          <w:sz w:val="22"/>
        </w:rPr>
        <w:t>：根据本省级行政区确定的行业类型进行填写。</w:t>
      </w:r>
    </w:p>
    <w:p>
      <w:pPr>
        <w:pStyle w:val="4"/>
        <w:ind w:firstLine="602"/>
        <w:rPr>
          <w:rFonts w:ascii="Times New Roman"/>
        </w:rPr>
      </w:pPr>
      <w:r>
        <w:rPr>
          <w:rFonts w:hint="eastAsia" w:ascii="Times New Roman"/>
        </w:rPr>
        <w:t>集中治理工业集聚区水污染</w:t>
      </w:r>
    </w:p>
    <w:p>
      <w:pPr>
        <w:pStyle w:val="30"/>
      </w:pPr>
      <w:r>
        <w:rPr>
          <w:rFonts w:hint="eastAsia"/>
        </w:rPr>
        <w:t>提供辖区内省级及以上工业集聚区总数，提供需要建设集中污水处理设施与在线监测建设的全口径项目清单和完成时限（附表</w:t>
      </w:r>
      <w:r>
        <w:t>2-2</w:t>
      </w:r>
      <w:r>
        <w:rPr>
          <w:rFonts w:hint="eastAsia"/>
        </w:rPr>
        <w:t>，作为考核计分的基数）。京津冀、长三角、珠三角等区域</w:t>
      </w:r>
      <w:r>
        <w:t>2016</w:t>
      </w:r>
      <w:r>
        <w:rPr>
          <w:rFonts w:hint="eastAsia"/>
        </w:rPr>
        <w:t>年基于项目的证明材料核定项目的完成情况，并按当年完成的项目个数占当年应完成的项目总数的比重乘以该项分值进行自评分；其他省份</w:t>
      </w:r>
      <w:r>
        <w:t>2016</w:t>
      </w:r>
      <w:r>
        <w:rPr>
          <w:rFonts w:hint="eastAsia"/>
        </w:rPr>
        <w:t>年和</w:t>
      </w:r>
      <w:r>
        <w:t>2017</w:t>
      </w:r>
      <w:r>
        <w:rPr>
          <w:rFonts w:hint="eastAsia"/>
        </w:rPr>
        <w:t>年按核定的当年完成的项目个数占当年应完成的项目总数的比重乘以该项分值进行自评分。</w:t>
      </w:r>
    </w:p>
    <w:p>
      <w:pPr>
        <w:pStyle w:val="30"/>
      </w:pPr>
      <w:r>
        <w:rPr>
          <w:rFonts w:hint="eastAsia"/>
        </w:rPr>
        <w:t>各省（区、市）按照项目清单，对辖区内工业集聚区配套管网建设、废水集中处理率、企业废水预处理达标纳管等情况进行自评估，并按照《考核规定》进行自评分。自</w:t>
      </w:r>
      <w:r>
        <w:t>2018</w:t>
      </w:r>
      <w:r>
        <w:rPr>
          <w:rFonts w:hint="eastAsia"/>
        </w:rPr>
        <w:t>年起（京津冀、长三角、珠三角等区域自</w:t>
      </w:r>
      <w:r>
        <w:t>2017</w:t>
      </w:r>
      <w:r>
        <w:rPr>
          <w:rFonts w:hint="eastAsia"/>
        </w:rPr>
        <w:t>年起），原则上对该项指标先赋予满分，然后由考核组结合日常检查和</w:t>
      </w:r>
      <w:r>
        <w:t>“</w:t>
      </w:r>
      <w:r>
        <w:rPr>
          <w:rFonts w:hint="eastAsia"/>
        </w:rPr>
        <w:t>双随机</w:t>
      </w:r>
      <w:r>
        <w:t>”</w:t>
      </w:r>
      <w:r>
        <w:rPr>
          <w:rFonts w:hint="eastAsia"/>
        </w:rPr>
        <w:t>抽查情况，按</w:t>
      </w:r>
      <w:r>
        <w:t>“</w:t>
      </w:r>
      <w:r>
        <w:rPr>
          <w:rFonts w:hint="eastAsia"/>
        </w:rPr>
        <w:t>证伪</w:t>
      </w:r>
      <w:r>
        <w:t>”</w:t>
      </w:r>
      <w:r>
        <w:rPr>
          <w:rFonts w:hint="eastAsia"/>
        </w:rPr>
        <w:t>原则进行扣分。</w:t>
      </w: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7 </w:t>
      </w:r>
      <w:r>
        <w:rPr>
          <w:rFonts w:hint="eastAsia" w:eastAsia="黑体"/>
          <w:sz w:val="24"/>
          <w:szCs w:val="24"/>
        </w:rPr>
        <w:t>工业集聚区设施和在线监测情况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2"/>
        <w:gridCol w:w="780"/>
        <w:gridCol w:w="1407"/>
        <w:gridCol w:w="936"/>
        <w:gridCol w:w="833"/>
        <w:gridCol w:w="1246"/>
        <w:gridCol w:w="103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trPr>
        <w:tc>
          <w:tcPr>
            <w:tcW w:w="1032" w:type="dxa"/>
            <w:vMerge w:val="restart"/>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省级及以上工业集聚区数量（个）</w:t>
            </w:r>
          </w:p>
        </w:tc>
        <w:tc>
          <w:tcPr>
            <w:tcW w:w="3123" w:type="dxa"/>
            <w:gridSpan w:val="3"/>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需新建污水集中处理设施的工业集聚区</w:t>
            </w:r>
          </w:p>
        </w:tc>
        <w:tc>
          <w:tcPr>
            <w:tcW w:w="4141" w:type="dxa"/>
            <w:gridSpan w:val="4"/>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需新安装自动在线监控装置的工业集聚区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trPr>
        <w:tc>
          <w:tcPr>
            <w:tcW w:w="1032" w:type="dxa"/>
            <w:vMerge w:val="continue"/>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p>
        </w:tc>
        <w:tc>
          <w:tcPr>
            <w:tcW w:w="780"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总数（个）</w:t>
            </w:r>
          </w:p>
        </w:tc>
        <w:tc>
          <w:tcPr>
            <w:tcW w:w="1407"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当年应完成的数量（个）</w:t>
            </w:r>
          </w:p>
        </w:tc>
        <w:tc>
          <w:tcPr>
            <w:tcW w:w="936"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当年已完成数量（个）</w:t>
            </w:r>
          </w:p>
        </w:tc>
        <w:tc>
          <w:tcPr>
            <w:tcW w:w="833"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总数（个）</w:t>
            </w:r>
          </w:p>
        </w:tc>
        <w:tc>
          <w:tcPr>
            <w:tcW w:w="1246"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已与环保部门联网数量（个）</w:t>
            </w:r>
          </w:p>
        </w:tc>
        <w:tc>
          <w:tcPr>
            <w:tcW w:w="1037"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当年应完成的数量（个）</w:t>
            </w:r>
          </w:p>
        </w:tc>
        <w:tc>
          <w:tcPr>
            <w:tcW w:w="1025"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当年已完成数量（个）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032" w:type="dxa"/>
            <w:vAlign w:val="center"/>
          </w:tcPr>
          <w:p>
            <w:pPr>
              <w:widowControl/>
              <w:spacing w:line="240" w:lineRule="exact"/>
              <w:jc w:val="center"/>
              <w:rPr>
                <w:rFonts w:ascii="Times New Roman" w:hAnsi="Times New Roman" w:cs="Times New Roman"/>
                <w:color w:val="000000"/>
                <w:kern w:val="0"/>
                <w:szCs w:val="21"/>
              </w:rPr>
            </w:pPr>
          </w:p>
        </w:tc>
        <w:tc>
          <w:tcPr>
            <w:tcW w:w="780" w:type="dxa"/>
            <w:vAlign w:val="center"/>
          </w:tcPr>
          <w:p>
            <w:pPr>
              <w:widowControl/>
              <w:spacing w:line="240" w:lineRule="exact"/>
              <w:jc w:val="center"/>
              <w:rPr>
                <w:rFonts w:ascii="Times New Roman" w:hAnsi="Times New Roman" w:cs="Times New Roman"/>
                <w:color w:val="000000"/>
                <w:kern w:val="0"/>
                <w:szCs w:val="21"/>
              </w:rPr>
            </w:pPr>
          </w:p>
        </w:tc>
        <w:tc>
          <w:tcPr>
            <w:tcW w:w="1407" w:type="dxa"/>
            <w:vAlign w:val="center"/>
          </w:tcPr>
          <w:p>
            <w:pPr>
              <w:widowControl/>
              <w:spacing w:line="240" w:lineRule="exact"/>
              <w:jc w:val="center"/>
              <w:rPr>
                <w:rFonts w:ascii="Times New Roman" w:hAnsi="Times New Roman" w:cs="Times New Roman"/>
                <w:color w:val="000000"/>
                <w:kern w:val="0"/>
                <w:szCs w:val="21"/>
              </w:rPr>
            </w:pPr>
          </w:p>
        </w:tc>
        <w:tc>
          <w:tcPr>
            <w:tcW w:w="936" w:type="dxa"/>
            <w:vAlign w:val="center"/>
          </w:tcPr>
          <w:p>
            <w:pPr>
              <w:widowControl/>
              <w:spacing w:line="240" w:lineRule="exact"/>
              <w:jc w:val="center"/>
              <w:rPr>
                <w:rFonts w:ascii="Times New Roman" w:hAnsi="Times New Roman" w:cs="Times New Roman"/>
                <w:color w:val="000000"/>
                <w:kern w:val="0"/>
                <w:szCs w:val="21"/>
              </w:rPr>
            </w:pPr>
          </w:p>
        </w:tc>
        <w:tc>
          <w:tcPr>
            <w:tcW w:w="833" w:type="dxa"/>
            <w:vAlign w:val="center"/>
          </w:tcPr>
          <w:p>
            <w:pPr>
              <w:widowControl/>
              <w:spacing w:line="240" w:lineRule="exact"/>
              <w:jc w:val="center"/>
              <w:rPr>
                <w:rFonts w:ascii="Times New Roman" w:hAnsi="Times New Roman" w:cs="Times New Roman"/>
                <w:color w:val="000000"/>
                <w:kern w:val="0"/>
                <w:szCs w:val="21"/>
              </w:rPr>
            </w:pPr>
          </w:p>
        </w:tc>
        <w:tc>
          <w:tcPr>
            <w:tcW w:w="1246" w:type="dxa"/>
            <w:vAlign w:val="center"/>
          </w:tcPr>
          <w:p>
            <w:pPr>
              <w:widowControl/>
              <w:spacing w:line="240" w:lineRule="exact"/>
              <w:jc w:val="center"/>
              <w:rPr>
                <w:rFonts w:ascii="Times New Roman" w:hAnsi="Times New Roman" w:cs="Times New Roman"/>
                <w:color w:val="000000"/>
                <w:kern w:val="0"/>
                <w:szCs w:val="21"/>
              </w:rPr>
            </w:pPr>
          </w:p>
        </w:tc>
        <w:tc>
          <w:tcPr>
            <w:tcW w:w="1037" w:type="dxa"/>
            <w:vAlign w:val="center"/>
          </w:tcPr>
          <w:p>
            <w:pPr>
              <w:widowControl/>
              <w:spacing w:line="240" w:lineRule="exact"/>
              <w:jc w:val="center"/>
              <w:rPr>
                <w:rFonts w:ascii="Times New Roman" w:hAnsi="Times New Roman" w:cs="Times New Roman"/>
                <w:color w:val="000000"/>
                <w:kern w:val="0"/>
                <w:szCs w:val="21"/>
              </w:rPr>
            </w:pPr>
          </w:p>
        </w:tc>
        <w:tc>
          <w:tcPr>
            <w:tcW w:w="1025" w:type="dxa"/>
            <w:vAlign w:val="center"/>
          </w:tcPr>
          <w:p>
            <w:pPr>
              <w:widowControl/>
              <w:spacing w:line="240" w:lineRule="exact"/>
              <w:jc w:val="center"/>
              <w:rPr>
                <w:rFonts w:ascii="Times New Roman" w:hAnsi="Times New Roman" w:cs="Times New Roman"/>
                <w:color w:val="000000"/>
                <w:kern w:val="0"/>
                <w:szCs w:val="21"/>
              </w:rPr>
            </w:pPr>
          </w:p>
        </w:tc>
      </w:tr>
    </w:tbl>
    <w:p>
      <w:pPr>
        <w:pStyle w:val="3"/>
        <w:ind w:firstLine="600"/>
      </w:pPr>
      <w:bookmarkStart w:id="30" w:name="_Toc461612505"/>
      <w:bookmarkStart w:id="31" w:name="_Toc470183685"/>
      <w:r>
        <w:rPr>
          <w:rFonts w:hint="eastAsia"/>
        </w:rPr>
        <w:t>城镇污染治理</w:t>
      </w:r>
      <w:bookmarkEnd w:id="30"/>
      <w:r>
        <w:rPr>
          <w:rFonts w:hint="eastAsia"/>
        </w:rPr>
        <w:t>（住建部门提供材料）</w:t>
      </w:r>
      <w:bookmarkEnd w:id="31"/>
    </w:p>
    <w:p>
      <w:pPr>
        <w:pStyle w:val="4"/>
        <w:ind w:firstLine="602"/>
      </w:pPr>
      <w:r>
        <w:rPr>
          <w:rFonts w:hint="eastAsia" w:ascii="Times New Roman"/>
        </w:rPr>
        <w:t>城镇污水处理及配套管网</w:t>
      </w:r>
    </w:p>
    <w:p>
      <w:pPr>
        <w:pStyle w:val="30"/>
      </w:pPr>
      <w:r>
        <w:rPr>
          <w:rFonts w:hint="eastAsia"/>
        </w:rPr>
        <w:t>按照《水污染防治行动计划》、《城镇污水处理工作考核办法》及有关要求，对照自查各项工作任务进展情况（附表</w:t>
      </w:r>
      <w:r>
        <w:t>2-4</w:t>
      </w:r>
      <w:r>
        <w:rPr>
          <w:rFonts w:hint="eastAsia"/>
        </w:rPr>
        <w:t>）。依据住房城乡建设部城镇污水处理工作年度通报明确的考核得分，按考核百分制得分乘以</w:t>
      </w:r>
      <w:r>
        <w:t>8%</w:t>
      </w:r>
      <w:r>
        <w:rPr>
          <w:rFonts w:hint="eastAsia"/>
        </w:rPr>
        <w:t>进行自评分。有关数据来源详见“全国城镇污水处理管理信息系统”和《中国城市建设统计年鉴》。同时，对照《考核规定》明确是否存在扣分项有关情况。</w:t>
      </w:r>
    </w:p>
    <w:p>
      <w:pPr>
        <w:pStyle w:val="30"/>
      </w:pPr>
      <w:r>
        <w:rPr>
          <w:rFonts w:hint="eastAsia"/>
        </w:rPr>
        <w:t>对加分项，各省（区、市）城镇污水处理厂化学需氧量（</w:t>
      </w:r>
      <w:r>
        <w:t>COD</w:t>
      </w:r>
      <w:r>
        <w:rPr>
          <w:rFonts w:hint="eastAsia"/>
        </w:rPr>
        <w:t>）、氨氮（</w:t>
      </w:r>
      <w:r>
        <w:t>NH</w:t>
      </w:r>
      <w:r>
        <w:rPr>
          <w:vertAlign w:val="subscript"/>
        </w:rPr>
        <w:t>3</w:t>
      </w:r>
      <w:r>
        <w:t>-N</w:t>
      </w:r>
      <w:r>
        <w:rPr>
          <w:rFonts w:hint="eastAsia"/>
        </w:rPr>
        <w:t>）污染物削减量按照“全国城镇污水处理管理信息系统”核算结果计。污染物削减量增加率计算公式为</w:t>
      </w:r>
      <w:r>
        <w:t>R=</w:t>
      </w:r>
      <w:r>
        <w:rPr>
          <w:rFonts w:hint="eastAsia"/>
        </w:rPr>
        <w:t>（当年削减量</w:t>
      </w:r>
      <w:r>
        <w:t>-</w:t>
      </w:r>
      <w:r>
        <w:rPr>
          <w:rFonts w:hint="eastAsia"/>
        </w:rPr>
        <w:t>上年度削减量）</w:t>
      </w:r>
      <w:r>
        <w:t>/</w:t>
      </w:r>
      <w:r>
        <w:rPr>
          <w:rFonts w:hint="eastAsia"/>
        </w:rPr>
        <w:t>年度削减量。”</w:t>
      </w:r>
    </w:p>
    <w:p>
      <w:pPr>
        <w:pStyle w:val="30"/>
        <w:ind w:firstLine="602"/>
        <w:rPr>
          <w:b/>
        </w:rPr>
      </w:pPr>
    </w:p>
    <w:p>
      <w:pPr>
        <w:pStyle w:val="4"/>
        <w:ind w:firstLine="602"/>
      </w:pPr>
      <w:r>
        <w:rPr>
          <w:rFonts w:hint="eastAsia" w:ascii="Times New Roman"/>
        </w:rPr>
        <w:t>污泥处理处置</w:t>
      </w:r>
    </w:p>
    <w:p>
      <w:pPr>
        <w:pStyle w:val="30"/>
      </w:pPr>
      <w:r>
        <w:rPr>
          <w:rFonts w:hint="eastAsia"/>
        </w:rPr>
        <w:t>核定省级行政区污泥无害化处理处置情况（附表</w:t>
      </w:r>
      <w:r>
        <w:t>2-5</w:t>
      </w:r>
      <w:r>
        <w:rPr>
          <w:rFonts w:hint="eastAsia"/>
        </w:rPr>
        <w:t>），按《考核规定》进行自评分，并说明是否存在扣分项及具体扣分情况。污泥无害化处理指以达到标准要求的堆肥、焚烧、建材和填埋</w:t>
      </w:r>
      <w:r>
        <w:rPr>
          <w:rStyle w:val="22"/>
        </w:rPr>
        <w:footnoteReference w:id="0"/>
      </w:r>
      <w:r>
        <w:rPr>
          <w:rFonts w:hint="eastAsia"/>
        </w:rPr>
        <w:t>方式进行污泥处理处置，有关数据来源于住房城乡建设部“全国城镇污水处理管理信息系统”和《中国城市建设统计年鉴》”。</w:t>
      </w:r>
    </w:p>
    <w:p>
      <w:pPr>
        <w:pStyle w:val="4"/>
        <w:ind w:firstLine="602"/>
      </w:pPr>
      <w:r>
        <w:rPr>
          <w:rFonts w:hint="eastAsia" w:ascii="Times New Roman"/>
        </w:rPr>
        <w:t>城市节水</w:t>
      </w:r>
    </w:p>
    <w:p>
      <w:pPr>
        <w:pStyle w:val="30"/>
      </w:pPr>
      <w:r>
        <w:rPr>
          <w:rFonts w:hint="eastAsia"/>
        </w:rPr>
        <w:t>明确本省级行政区地级及以上城市的缺水城市名单。各省（区、市）对照《国家节水型城市考核标准》和《城市节水评价标准》对地级及以上城市开展自查，分类统计达到不同级别节水标准的城市名单，统计达到符合节水标准要求的城市比例；自查本省级行政区污水再生利用设施建设情况（附表</w:t>
      </w:r>
      <w:r>
        <w:t>2-6</w:t>
      </w:r>
      <w:r>
        <w:rPr>
          <w:rFonts w:hint="eastAsia"/>
        </w:rPr>
        <w:t>）；按《考核规定》进行自评分。</w:t>
      </w:r>
    </w:p>
    <w:p>
      <w:pPr>
        <w:pStyle w:val="30"/>
        <w:ind w:firstLine="480"/>
        <w:jc w:val="center"/>
        <w:rPr>
          <w:rFonts w:eastAsia="黑体"/>
          <w:sz w:val="24"/>
          <w:szCs w:val="24"/>
        </w:rPr>
      </w:pPr>
      <w:r>
        <w:rPr>
          <w:rFonts w:hint="eastAsia" w:eastAsia="黑体"/>
          <w:sz w:val="24"/>
          <w:szCs w:val="24"/>
        </w:rPr>
        <w:t>表</w:t>
      </w:r>
      <w:r>
        <w:rPr>
          <w:rFonts w:eastAsia="黑体"/>
          <w:sz w:val="24"/>
          <w:szCs w:val="24"/>
        </w:rPr>
        <w:t xml:space="preserve">8 </w:t>
      </w:r>
      <w:r>
        <w:rPr>
          <w:rFonts w:hint="eastAsia" w:eastAsia="黑体"/>
          <w:sz w:val="24"/>
          <w:szCs w:val="24"/>
        </w:rPr>
        <w:t>城市</w:t>
      </w:r>
      <w:r>
        <w:rPr>
          <w:rFonts w:eastAsia="黑体"/>
          <w:sz w:val="24"/>
          <w:szCs w:val="24"/>
        </w:rPr>
        <w:t>节水情况汇总表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3196"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地级及以上城市名称</w:t>
            </w:r>
          </w:p>
        </w:tc>
        <w:tc>
          <w:tcPr>
            <w:tcW w:w="2550"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是否属于缺水城市</w:t>
            </w:r>
          </w:p>
        </w:tc>
        <w:tc>
          <w:tcPr>
            <w:tcW w:w="2550"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达到的节水标准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6"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6"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c>
          <w:tcPr>
            <w:tcW w:w="2550" w:type="dxa"/>
            <w:shd w:val="clear" w:color="auto" w:fill="auto"/>
            <w:vAlign w:val="center"/>
          </w:tcPr>
          <w:p>
            <w:pPr>
              <w:widowControl/>
              <w:jc w:val="center"/>
              <w:rPr>
                <w:rFonts w:ascii="Times New Roman" w:hAnsi="Times New Roman" w:cs="Times New Roman"/>
                <w:b/>
                <w:color w:val="000000"/>
                <w:sz w:val="20"/>
                <w:szCs w:val="20"/>
                <w:shd w:val="clear" w:color="auto" w:fill="FFFFFF"/>
              </w:rPr>
            </w:pPr>
          </w:p>
        </w:tc>
      </w:tr>
    </w:tbl>
    <w:p>
      <w:pPr>
        <w:widowControl/>
        <w:jc w:val="left"/>
        <w:rPr>
          <w:rFonts w:ascii="Times New Roman" w:hAnsi="Times New Roman" w:cs="Times New Roman"/>
          <w:color w:val="000000"/>
          <w:sz w:val="20"/>
          <w:szCs w:val="20"/>
          <w:shd w:val="clear" w:color="auto" w:fill="FFFFFF"/>
        </w:rPr>
      </w:pPr>
      <w:r>
        <w:rPr>
          <w:rFonts w:hint="eastAsia" w:ascii="Times New Roman" w:hAnsi="Times New Roman" w:cs="Times New Roman"/>
          <w:color w:val="000000"/>
          <w:sz w:val="20"/>
          <w:szCs w:val="20"/>
          <w:shd w:val="clear" w:color="auto" w:fill="FFFFFF"/>
        </w:rPr>
        <w:t>备注：达到的节水标准填写：（</w:t>
      </w:r>
      <w:r>
        <w:rPr>
          <w:rFonts w:ascii="Times New Roman" w:hAnsi="Times New Roman" w:cs="Times New Roman"/>
          <w:color w:val="000000"/>
          <w:sz w:val="20"/>
          <w:szCs w:val="20"/>
          <w:shd w:val="clear" w:color="auto" w:fill="FFFFFF"/>
        </w:rPr>
        <w:t>1</w:t>
      </w:r>
      <w:r>
        <w:rPr>
          <w:rFonts w:hint="eastAsia" w:ascii="Times New Roman" w:hAnsi="Times New Roman" w:cs="Times New Roman"/>
          <w:color w:val="000000"/>
          <w:sz w:val="20"/>
          <w:szCs w:val="20"/>
          <w:shd w:val="clear" w:color="auto" w:fill="FFFFFF"/>
        </w:rPr>
        <w:t>）达到《国家节水型城市考核标准》；（</w:t>
      </w:r>
      <w:r>
        <w:rPr>
          <w:rFonts w:ascii="Times New Roman" w:hAnsi="Times New Roman" w:cs="Times New Roman"/>
          <w:color w:val="000000"/>
          <w:sz w:val="20"/>
          <w:szCs w:val="20"/>
          <w:shd w:val="clear" w:color="auto" w:fill="FFFFFF"/>
        </w:rPr>
        <w:t>2</w:t>
      </w:r>
      <w:r>
        <w:rPr>
          <w:rFonts w:hint="eastAsia" w:ascii="Times New Roman" w:hAnsi="Times New Roman" w:cs="Times New Roman"/>
          <w:color w:val="000000"/>
          <w:sz w:val="20"/>
          <w:szCs w:val="20"/>
          <w:shd w:val="clear" w:color="auto" w:fill="FFFFFF"/>
        </w:rPr>
        <w:t>）达到《城市节水评价标准》</w:t>
      </w:r>
      <w:r>
        <w:rPr>
          <w:rFonts w:ascii="Times New Roman" w:hAnsi="Times New Roman" w:cs="Times New Roman"/>
          <w:color w:val="000000"/>
          <w:sz w:val="20"/>
          <w:szCs w:val="20"/>
          <w:shd w:val="clear" w:color="auto" w:fill="FFFFFF"/>
        </w:rPr>
        <w:t>I</w:t>
      </w:r>
      <w:r>
        <w:rPr>
          <w:rFonts w:hint="eastAsia" w:ascii="Times New Roman" w:hAnsi="Times New Roman" w:cs="Times New Roman"/>
          <w:color w:val="000000"/>
          <w:sz w:val="20"/>
          <w:szCs w:val="20"/>
          <w:shd w:val="clear" w:color="auto" w:fill="FFFFFF"/>
        </w:rPr>
        <w:t>级；（</w:t>
      </w:r>
      <w:r>
        <w:rPr>
          <w:rFonts w:ascii="Times New Roman" w:hAnsi="Times New Roman" w:cs="Times New Roman"/>
          <w:color w:val="000000"/>
          <w:sz w:val="20"/>
          <w:szCs w:val="20"/>
          <w:shd w:val="clear" w:color="auto" w:fill="FFFFFF"/>
        </w:rPr>
        <w:t>3</w:t>
      </w:r>
      <w:r>
        <w:rPr>
          <w:rFonts w:hint="eastAsia" w:ascii="Times New Roman" w:hAnsi="Times New Roman" w:cs="Times New Roman"/>
          <w:color w:val="000000"/>
          <w:sz w:val="20"/>
          <w:szCs w:val="20"/>
          <w:shd w:val="clear" w:color="auto" w:fill="FFFFFF"/>
        </w:rPr>
        <w:t>）《城市节水评价标准》</w:t>
      </w:r>
      <w:r>
        <w:rPr>
          <w:rFonts w:hint="eastAsia" w:ascii="宋体" w:hAnsi="宋体" w:eastAsia="宋体" w:cs="宋体"/>
          <w:color w:val="000000"/>
          <w:sz w:val="20"/>
          <w:szCs w:val="20"/>
          <w:shd w:val="clear" w:color="auto" w:fill="FFFFFF"/>
        </w:rPr>
        <w:t>Ⅱ</w:t>
      </w:r>
      <w:r>
        <w:rPr>
          <w:rFonts w:hint="eastAsia" w:ascii="Times New Roman" w:hAnsi="Times New Roman" w:cs="Times New Roman"/>
          <w:color w:val="000000"/>
          <w:sz w:val="20"/>
          <w:szCs w:val="20"/>
          <w:shd w:val="clear" w:color="auto" w:fill="FFFFFF"/>
        </w:rPr>
        <w:t>级。</w:t>
      </w:r>
    </w:p>
    <w:p>
      <w:pPr>
        <w:adjustRightInd w:val="0"/>
        <w:snapToGrid w:val="0"/>
        <w:spacing w:line="360" w:lineRule="auto"/>
        <w:ind w:firstLine="600" w:firstLineChars="200"/>
        <w:rPr>
          <w:rFonts w:ascii="Times New Roman" w:hAnsi="Times New Roman" w:eastAsia="仿宋_GB2312" w:cs="Times New Roman"/>
          <w:sz w:val="30"/>
          <w:szCs w:val="30"/>
        </w:rPr>
      </w:pPr>
    </w:p>
    <w:p>
      <w:pPr>
        <w:pStyle w:val="3"/>
        <w:ind w:firstLine="600"/>
      </w:pPr>
      <w:bookmarkStart w:id="32" w:name="_Toc470183686"/>
      <w:bookmarkEnd w:id="32"/>
      <w:bookmarkStart w:id="33" w:name="_Toc461612506"/>
      <w:bookmarkStart w:id="34" w:name="_Toc470183687"/>
      <w:r>
        <w:rPr>
          <w:rFonts w:hint="eastAsia"/>
        </w:rPr>
        <w:t>农业农村污染防治</w:t>
      </w:r>
      <w:bookmarkEnd w:id="33"/>
      <w:r>
        <w:rPr>
          <w:rFonts w:hint="eastAsia"/>
        </w:rPr>
        <w:t>（农业、环保部门提供材料）</w:t>
      </w:r>
      <w:bookmarkEnd w:id="34"/>
    </w:p>
    <w:p>
      <w:pPr>
        <w:pStyle w:val="4"/>
        <w:ind w:firstLine="602"/>
        <w:rPr>
          <w:rFonts w:ascii="Times New Roman"/>
        </w:rPr>
      </w:pPr>
      <w:r>
        <w:rPr>
          <w:rFonts w:hint="eastAsia" w:ascii="Times New Roman"/>
        </w:rPr>
        <w:t>防治畜禽养殖污染（农业部门提供材料）</w:t>
      </w:r>
    </w:p>
    <w:p>
      <w:pPr>
        <w:pStyle w:val="30"/>
      </w:pPr>
      <w:r>
        <w:rPr>
          <w:rFonts w:hint="eastAsia"/>
        </w:rPr>
        <w:t>说明畜禽禁养区划定及完成情况，已划定禁养区内依法确需关闭或搬迁养殖场（小区）数量，已完成关闭和搬迁的养殖场（小区）数量。提供畜禽养殖污染防治项目清单（附表</w:t>
      </w:r>
      <w:r>
        <w:t>2-7</w:t>
      </w:r>
      <w:r>
        <w:rPr>
          <w:rFonts w:hint="eastAsia"/>
        </w:rPr>
        <w:t>）。按《考核规定》计算畜禽养殖场（小区）配套建设废弃物处理利用设施比例进行自评分。其中，畜禽养殖场（小区）配套建设废弃物处理利用设施比例的计算公式为：</w:t>
      </w:r>
    </w:p>
    <w:p>
      <w:pPr>
        <w:ind w:firstLine="480" w:firstLineChars="200"/>
        <w:rPr>
          <w:rFonts w:ascii="仿宋_GB2312" w:hAnsi="仿宋" w:cs="仿宋"/>
          <w:sz w:val="24"/>
          <w:szCs w:val="24"/>
        </w:rPr>
      </w:pPr>
    </w:p>
    <w:p>
      <w:pPr>
        <w:pStyle w:val="4"/>
        <w:ind w:firstLine="602"/>
        <w:rPr>
          <w:rFonts w:ascii="Times New Roman"/>
        </w:rPr>
      </w:pPr>
      <w:r>
        <w:rPr>
          <w:rFonts w:hint="eastAsia" w:ascii="Times New Roman"/>
        </w:rPr>
        <w:t>农村环境综合整治（环保部门提供材料）</w:t>
      </w:r>
    </w:p>
    <w:p>
      <w:pPr>
        <w:pStyle w:val="30"/>
      </w:pPr>
      <w:r>
        <w:rPr>
          <w:rFonts w:hint="eastAsia"/>
        </w:rPr>
        <w:t>说明环境保护部《关于下达</w:t>
      </w:r>
      <w:r>
        <w:t>“</w:t>
      </w:r>
      <w:r>
        <w:rPr>
          <w:rFonts w:hint="eastAsia"/>
        </w:rPr>
        <w:t>十三五</w:t>
      </w:r>
      <w:r>
        <w:t>”</w:t>
      </w:r>
      <w:r>
        <w:rPr>
          <w:rFonts w:hint="eastAsia"/>
        </w:rPr>
        <w:t>农村环境综合整治目标任务的通知》（环办生态函〔</w:t>
      </w:r>
      <w:r>
        <w:t>2016</w:t>
      </w:r>
      <w:r>
        <w:rPr>
          <w:rFonts w:hint="eastAsia"/>
        </w:rPr>
        <w:t>〕</w:t>
      </w:r>
      <w:r>
        <w:t>109</w:t>
      </w:r>
      <w:r>
        <w:rPr>
          <w:rFonts w:hint="eastAsia"/>
        </w:rPr>
        <w:t>号）下达的对本省（区、市）的年度整治计划。</w:t>
      </w:r>
    </w:p>
    <w:p>
      <w:pPr>
        <w:pStyle w:val="30"/>
      </w:pPr>
      <w:r>
        <w:rPr>
          <w:rFonts w:hint="eastAsia"/>
        </w:rPr>
        <w:t>按《考核规定》工作要求，各省（区、市）相关部门自查辖区内的农村环境综合整治情况（生活污水处理率、生活垃圾无害化处理率、畜禽粪便综合利用率、饮用水卫生合格率四项指标（附表</w:t>
      </w:r>
      <w:r>
        <w:t>2-8</w:t>
      </w:r>
      <w:r>
        <w:rPr>
          <w:rFonts w:hint="eastAsia"/>
        </w:rPr>
        <w:t>），任一项未达到要求的建制村，认定为未完成环境综合整治任务），按核定的完成比例（即：完成的建制村数量占当年度应完成整治的建制村数量的比例）乘以该项分值进行自评分。</w:t>
      </w:r>
    </w:p>
    <w:p>
      <w:pPr>
        <w:pStyle w:val="30"/>
        <w:ind w:firstLine="480"/>
        <w:jc w:val="center"/>
        <w:rPr>
          <w:rFonts w:eastAsia="黑体"/>
          <w:sz w:val="24"/>
          <w:szCs w:val="24"/>
        </w:rPr>
      </w:pPr>
      <w:r>
        <w:rPr>
          <w:rFonts w:hint="eastAsia" w:eastAsia="黑体"/>
          <w:sz w:val="24"/>
          <w:szCs w:val="24"/>
        </w:rPr>
        <w:t>表9</w:t>
      </w:r>
      <w:r>
        <w:rPr>
          <w:rFonts w:eastAsia="黑体"/>
          <w:sz w:val="24"/>
          <w:szCs w:val="24"/>
        </w:rPr>
        <w:t xml:space="preserve"> </w:t>
      </w:r>
      <w:r>
        <w:rPr>
          <w:rFonts w:hint="eastAsia" w:eastAsia="黑体"/>
          <w:sz w:val="24"/>
          <w:szCs w:val="24"/>
        </w:rPr>
        <w:t>农村环境综合整治汇总情况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59"/>
        <w:gridCol w:w="3269"/>
        <w:gridCol w:w="2617"/>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58"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地市</w:t>
            </w:r>
          </w:p>
        </w:tc>
        <w:tc>
          <w:tcPr>
            <w:tcW w:w="659"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区县</w:t>
            </w:r>
          </w:p>
        </w:tc>
        <w:tc>
          <w:tcPr>
            <w:tcW w:w="3269"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当年度应完成整治的建制村个数</w:t>
            </w:r>
          </w:p>
        </w:tc>
        <w:tc>
          <w:tcPr>
            <w:tcW w:w="2617"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已完成整治的建制村个数</w:t>
            </w:r>
          </w:p>
        </w:tc>
        <w:tc>
          <w:tcPr>
            <w:tcW w:w="1093"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完成比例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658" w:type="dxa"/>
            <w:shd w:val="clear" w:color="auto" w:fill="auto"/>
            <w:vAlign w:val="center"/>
          </w:tcPr>
          <w:p>
            <w:pPr>
              <w:widowControl/>
              <w:jc w:val="center"/>
              <w:rPr>
                <w:rFonts w:ascii="Times New Roman" w:hAnsi="Times New Roman" w:cs="Times New Roman"/>
                <w:color w:val="000000"/>
                <w:kern w:val="0"/>
                <w:szCs w:val="21"/>
              </w:rPr>
            </w:pPr>
          </w:p>
        </w:tc>
        <w:tc>
          <w:tcPr>
            <w:tcW w:w="659" w:type="dxa"/>
            <w:shd w:val="clear" w:color="auto" w:fill="auto"/>
            <w:vAlign w:val="center"/>
          </w:tcPr>
          <w:p>
            <w:pPr>
              <w:widowControl/>
              <w:jc w:val="center"/>
              <w:rPr>
                <w:rFonts w:ascii="Times New Roman" w:hAnsi="Times New Roman" w:cs="Times New Roman"/>
                <w:color w:val="000000"/>
                <w:kern w:val="0"/>
                <w:szCs w:val="21"/>
              </w:rPr>
            </w:pPr>
          </w:p>
        </w:tc>
        <w:tc>
          <w:tcPr>
            <w:tcW w:w="3269" w:type="dxa"/>
            <w:vAlign w:val="center"/>
          </w:tcPr>
          <w:p>
            <w:pPr>
              <w:widowControl/>
              <w:jc w:val="center"/>
              <w:rPr>
                <w:rFonts w:ascii="Times New Roman" w:hAnsi="Times New Roman" w:cs="Times New Roman"/>
                <w:color w:val="000000"/>
                <w:kern w:val="0"/>
                <w:szCs w:val="21"/>
              </w:rPr>
            </w:pPr>
          </w:p>
        </w:tc>
        <w:tc>
          <w:tcPr>
            <w:tcW w:w="2617" w:type="dxa"/>
            <w:vAlign w:val="center"/>
          </w:tcPr>
          <w:p>
            <w:pPr>
              <w:widowControl/>
              <w:jc w:val="center"/>
              <w:rPr>
                <w:rFonts w:ascii="Times New Roman" w:hAnsi="Times New Roman" w:cs="Times New Roman"/>
                <w:color w:val="000000"/>
                <w:kern w:val="0"/>
                <w:szCs w:val="21"/>
              </w:rPr>
            </w:pPr>
          </w:p>
        </w:tc>
        <w:tc>
          <w:tcPr>
            <w:tcW w:w="1093" w:type="dxa"/>
            <w:vAlign w:val="center"/>
          </w:tcPr>
          <w:p>
            <w:pPr>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317" w:type="dxa"/>
            <w:gridSpan w:val="2"/>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合计</w:t>
            </w:r>
          </w:p>
        </w:tc>
        <w:tc>
          <w:tcPr>
            <w:tcW w:w="3269"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2617" w:type="dxa"/>
            <w:vAlign w:val="center"/>
          </w:tcPr>
          <w:p>
            <w:pPr>
              <w:widowControl/>
              <w:adjustRightInd w:val="0"/>
              <w:snapToGrid w:val="0"/>
              <w:jc w:val="center"/>
              <w:rPr>
                <w:rFonts w:ascii="Times New Roman" w:hAnsi="Times New Roman" w:eastAsia="黑体" w:cs="Times New Roman"/>
                <w:color w:val="000000"/>
                <w:kern w:val="0"/>
                <w:szCs w:val="21"/>
              </w:rPr>
            </w:pPr>
          </w:p>
        </w:tc>
        <w:tc>
          <w:tcPr>
            <w:tcW w:w="1093" w:type="dxa"/>
            <w:vAlign w:val="center"/>
          </w:tcPr>
          <w:p>
            <w:pPr>
              <w:widowControl/>
              <w:adjustRightInd w:val="0"/>
              <w:snapToGrid w:val="0"/>
              <w:jc w:val="center"/>
              <w:rPr>
                <w:rFonts w:ascii="Times New Roman" w:hAnsi="Times New Roman" w:eastAsia="黑体" w:cs="Times New Roman"/>
                <w:color w:val="000000"/>
                <w:kern w:val="0"/>
                <w:szCs w:val="21"/>
              </w:rPr>
            </w:pPr>
          </w:p>
        </w:tc>
      </w:tr>
    </w:tbl>
    <w:p>
      <w:pPr>
        <w:adjustRightInd w:val="0"/>
        <w:snapToGrid w:val="0"/>
        <w:spacing w:line="360" w:lineRule="auto"/>
        <w:ind w:firstLine="600" w:firstLineChars="200"/>
        <w:rPr>
          <w:rFonts w:ascii="Times New Roman" w:hAnsi="Times New Roman" w:eastAsia="仿宋_GB2312" w:cs="Times New Roman"/>
          <w:sz w:val="30"/>
          <w:szCs w:val="30"/>
        </w:rPr>
      </w:pPr>
    </w:p>
    <w:p>
      <w:pPr>
        <w:adjustRightInd w:val="0"/>
        <w:snapToGrid w:val="0"/>
        <w:spacing w:line="360" w:lineRule="auto"/>
        <w:ind w:firstLine="600" w:firstLineChars="200"/>
        <w:rPr>
          <w:rFonts w:ascii="Times New Roman" w:hAnsi="Times New Roman" w:eastAsia="仿宋_GB2312" w:cs="Times New Roman"/>
          <w:sz w:val="30"/>
          <w:szCs w:val="30"/>
        </w:rPr>
      </w:pPr>
    </w:p>
    <w:p>
      <w:pPr>
        <w:pStyle w:val="3"/>
        <w:ind w:firstLine="600"/>
      </w:pPr>
      <w:bookmarkStart w:id="35" w:name="_Toc461612507"/>
      <w:bookmarkStart w:id="36" w:name="_Toc470183688"/>
      <w:r>
        <w:rPr>
          <w:rFonts w:hint="eastAsia"/>
        </w:rPr>
        <w:t>船舶港口污染控制</w:t>
      </w:r>
      <w:bookmarkEnd w:id="35"/>
      <w:r>
        <w:rPr>
          <w:rFonts w:hint="eastAsia"/>
        </w:rPr>
        <w:t>（交通部门提供材料）</w:t>
      </w:r>
      <w:bookmarkEnd w:id="36"/>
    </w:p>
    <w:p>
      <w:pPr>
        <w:pStyle w:val="4"/>
        <w:ind w:firstLine="602"/>
        <w:rPr>
          <w:rFonts w:ascii="Times New Roman"/>
        </w:rPr>
      </w:pPr>
      <w:r>
        <w:rPr>
          <w:rFonts w:hint="eastAsia" w:ascii="Times New Roman"/>
        </w:rPr>
        <w:t>治理船舶污染</w:t>
      </w:r>
    </w:p>
    <w:p>
      <w:pPr>
        <w:pStyle w:val="30"/>
      </w:pPr>
      <w:r>
        <w:t>2016</w:t>
      </w:r>
      <w:r>
        <w:rPr>
          <w:rFonts w:hint="eastAsia"/>
        </w:rPr>
        <w:t>年度说明达强制报废船龄的船舶排查情况和排查清单，提供</w:t>
      </w:r>
      <w:r>
        <w:t>“</w:t>
      </w:r>
      <w:r>
        <w:rPr>
          <w:rFonts w:hint="eastAsia"/>
        </w:rPr>
        <w:t>十三五</w:t>
      </w:r>
      <w:r>
        <w:t>”</w:t>
      </w:r>
      <w:r>
        <w:rPr>
          <w:rFonts w:hint="eastAsia"/>
        </w:rPr>
        <w:t>期间应改造和淘汰的船舶清单。</w:t>
      </w:r>
      <w:r>
        <w:t>2016</w:t>
      </w:r>
      <w:r>
        <w:rPr>
          <w:rFonts w:hint="eastAsia"/>
        </w:rPr>
        <w:t>年和</w:t>
      </w:r>
      <w:r>
        <w:t>2017</w:t>
      </w:r>
      <w:r>
        <w:rPr>
          <w:rFonts w:hint="eastAsia"/>
        </w:rPr>
        <w:t>年按《考核规定》提供相关的政府性文件进行自评分。</w:t>
      </w:r>
      <w:r>
        <w:t>2018</w:t>
      </w:r>
      <w:r>
        <w:rPr>
          <w:rFonts w:hint="eastAsia"/>
        </w:rPr>
        <w:t>年、</w:t>
      </w:r>
      <w:r>
        <w:t>2019</w:t>
      </w:r>
      <w:r>
        <w:rPr>
          <w:rFonts w:hint="eastAsia"/>
        </w:rPr>
        <w:t>年和</w:t>
      </w:r>
      <w:r>
        <w:t>2020</w:t>
      </w:r>
      <w:r>
        <w:rPr>
          <w:rFonts w:hint="eastAsia"/>
        </w:rPr>
        <w:t>年，说明船舶污染物接收、转运、处置监管制度的运行情况和防治船舶及其有关作业活动污染海洋环境应急能力建设规划的实施情况，并根据实施和运行情况进行自评分。</w:t>
      </w:r>
    </w:p>
    <w:p>
      <w:pPr>
        <w:pStyle w:val="4"/>
        <w:ind w:firstLine="602"/>
        <w:rPr>
          <w:rFonts w:ascii="Times New Roman"/>
        </w:rPr>
      </w:pPr>
      <w:r>
        <w:rPr>
          <w:rFonts w:hint="eastAsia" w:ascii="Times New Roman"/>
        </w:rPr>
        <w:t>港口码头污染防治</w:t>
      </w:r>
    </w:p>
    <w:p>
      <w:pPr>
        <w:pStyle w:val="30"/>
      </w:pPr>
      <w:r>
        <w:rPr>
          <w:rFonts w:hint="eastAsia"/>
        </w:rPr>
        <w:t>说明港口、码头、装卸站及船舶修造厂所在区域污染防治方案的编制及实施情况，垃圾接收、转运及处理处置设施的建设情况，含油污水、化学品洗舱水、生活污水等接收设施的建设情况，与城市公共转运、处置设置衔接情况。</w:t>
      </w:r>
      <w:r>
        <w:t>2016</w:t>
      </w:r>
      <w:r>
        <w:rPr>
          <w:rFonts w:hint="eastAsia"/>
        </w:rPr>
        <w:t>年度自查接收、运转及处置设施建设方案编制及接收、运转及处置新机制建立的政府性文件。自</w:t>
      </w:r>
      <w:r>
        <w:t>2017</w:t>
      </w:r>
      <w:r>
        <w:rPr>
          <w:rFonts w:hint="eastAsia"/>
        </w:rPr>
        <w:t>年起，按《方案》建设内容的完成情况进行自评分。其中，</w:t>
      </w:r>
      <w:r>
        <w:t>2017</w:t>
      </w:r>
      <w:r>
        <w:rPr>
          <w:rFonts w:hint="eastAsia"/>
        </w:rPr>
        <w:t>年沿海设区的市级以上人民政府要完成《方案》的全部建设内容，</w:t>
      </w:r>
      <w:r>
        <w:t>2018</w:t>
      </w:r>
      <w:r>
        <w:rPr>
          <w:rFonts w:hint="eastAsia"/>
        </w:rPr>
        <w:t>年沿海省份原则上先赋满分，如未完成，不得分。</w:t>
      </w:r>
    </w:p>
    <w:p>
      <w:pPr>
        <w:pStyle w:val="3"/>
        <w:ind w:firstLine="600"/>
      </w:pPr>
      <w:bookmarkStart w:id="37" w:name="_Toc461612508"/>
      <w:bookmarkStart w:id="38" w:name="_Toc470183689"/>
      <w:r>
        <w:rPr>
          <w:rFonts w:hint="eastAsia"/>
        </w:rPr>
        <w:t>水资源节约保护</w:t>
      </w:r>
      <w:bookmarkEnd w:id="37"/>
      <w:r>
        <w:rPr>
          <w:rFonts w:hint="eastAsia"/>
        </w:rPr>
        <w:t>（水利部门提供材料）</w:t>
      </w:r>
      <w:bookmarkEnd w:id="38"/>
    </w:p>
    <w:p>
      <w:pPr>
        <w:pStyle w:val="4"/>
        <w:ind w:firstLine="602"/>
        <w:rPr>
          <w:rFonts w:ascii="Times New Roman"/>
        </w:rPr>
      </w:pPr>
      <w:r>
        <w:rPr>
          <w:rFonts w:hint="eastAsia" w:ascii="Times New Roman"/>
        </w:rPr>
        <w:t>水资源节约</w:t>
      </w:r>
    </w:p>
    <w:p>
      <w:pPr>
        <w:pStyle w:val="30"/>
        <w:rPr>
          <w:b/>
        </w:rPr>
      </w:pPr>
      <w:r>
        <w:rPr>
          <w:rFonts w:hint="eastAsia"/>
        </w:rPr>
        <w:t>按照《考核规定》，提供相关的政府性文件和说明材料进行自评分，包括明确地级行政区年度用水效率目标，把节水目标任务完成情况纳入地方政府政绩考核情况；对纳入取水许可管理的单位和其他用水大户实行计划用水管理情况；强化重点监控用水单位监督管理情况；高效节水灌溉年度目标任务完成情况；将再生水、雨水、海水、矿井水等非常规水源纳入区域水资源统一配置情况等。</w:t>
      </w:r>
    </w:p>
    <w:p>
      <w:pPr>
        <w:pStyle w:val="4"/>
        <w:ind w:firstLine="602"/>
        <w:rPr>
          <w:rFonts w:ascii="Times New Roman"/>
        </w:rPr>
      </w:pPr>
      <w:r>
        <w:rPr>
          <w:rFonts w:hint="eastAsia" w:ascii="Times New Roman"/>
        </w:rPr>
        <w:t>水功能区限制纳污制度建设和措施落实</w:t>
      </w:r>
    </w:p>
    <w:p>
      <w:pPr>
        <w:pStyle w:val="30"/>
      </w:pPr>
      <w:r>
        <w:rPr>
          <w:rFonts w:hint="eastAsia"/>
        </w:rPr>
        <w:t>自查辖区内水功能区限制纳污制度建设和措施落实情况，按《实行最严格水资源管理制度考核工作实施方案》，用最严格水资源管理制度考核结果中的水功能区限制纳污制度建设和措施落实情况进行折算，计分方法按考核实际得分折算（考核百分制得分乘以</w:t>
      </w:r>
      <w:r>
        <w:t>10%</w:t>
      </w:r>
      <w:r>
        <w:rPr>
          <w:rFonts w:hint="eastAsia"/>
        </w:rPr>
        <w:t>）。</w:t>
      </w:r>
    </w:p>
    <w:p>
      <w:pPr>
        <w:pStyle w:val="4"/>
        <w:ind w:firstLine="602"/>
        <w:rPr>
          <w:rFonts w:ascii="Times New Roman"/>
        </w:rPr>
      </w:pPr>
      <w:r>
        <w:rPr>
          <w:rFonts w:hint="eastAsia" w:ascii="Times New Roman"/>
        </w:rPr>
        <w:t>水源地达标建设及生态流量试点</w:t>
      </w:r>
    </w:p>
    <w:p>
      <w:pPr>
        <w:pStyle w:val="30"/>
        <w:rPr>
          <w:b/>
        </w:rPr>
      </w:pPr>
      <w:r>
        <w:t>2016</w:t>
      </w:r>
      <w:r>
        <w:rPr>
          <w:rFonts w:hint="eastAsia"/>
        </w:rPr>
        <w:t>年度原则上本项赋满分。编制并批准实施重要饮用水水源地安全保障达标建设实施方案或规划，</w:t>
      </w:r>
      <w:r>
        <w:t>2017</w:t>
      </w:r>
      <w:r>
        <w:rPr>
          <w:rFonts w:hint="eastAsia"/>
        </w:rPr>
        <w:t>年底未编制并批准实施的，不得分。统计辖区内全部重要饮用水水源地个数并列出全口径清单（附表</w:t>
      </w:r>
      <w:r>
        <w:t>2-9</w:t>
      </w:r>
      <w:r>
        <w:rPr>
          <w:rFonts w:hint="eastAsia"/>
        </w:rPr>
        <w:t>，作为考核计分的基数，原则上不少于印发的《全国重要饮用水水源地名录（</w:t>
      </w:r>
      <w:r>
        <w:t>2016</w:t>
      </w:r>
      <w:r>
        <w:rPr>
          <w:rFonts w:hint="eastAsia"/>
        </w:rPr>
        <w:t>年）》的个数）。</w:t>
      </w:r>
      <w:r>
        <w:t>2016-2020</w:t>
      </w:r>
      <w:r>
        <w:rPr>
          <w:rFonts w:hint="eastAsia"/>
        </w:rPr>
        <w:t>年逐年开展重要饮用水水源地年度达标评估。根据水源地评估分值情况和按水源地个数的达标比例与上年度进行比较后，进行自评分。</w:t>
      </w:r>
      <w:r>
        <w:t>2017</w:t>
      </w:r>
      <w:r>
        <w:rPr>
          <w:rFonts w:hint="eastAsia"/>
        </w:rPr>
        <w:t>、</w:t>
      </w:r>
      <w:r>
        <w:t>2018</w:t>
      </w:r>
      <w:r>
        <w:rPr>
          <w:rFonts w:hint="eastAsia"/>
        </w:rPr>
        <w:t>和</w:t>
      </w:r>
      <w:r>
        <w:t>2019</w:t>
      </w:r>
      <w:r>
        <w:rPr>
          <w:rFonts w:hint="eastAsia"/>
        </w:rPr>
        <w:t>年辖区内重要饮用水水源地年度达标评估分数达到</w:t>
      </w:r>
      <w:r>
        <w:t>90</w:t>
      </w:r>
      <w:r>
        <w:rPr>
          <w:rFonts w:hint="eastAsia"/>
        </w:rPr>
        <w:t>分及以上的水源地个数比例未比上一年提高的，</w:t>
      </w:r>
      <w:r>
        <w:t>2020</w:t>
      </w:r>
      <w:r>
        <w:rPr>
          <w:rFonts w:hint="eastAsia"/>
        </w:rPr>
        <w:t>年年度达标评估分数达到</w:t>
      </w:r>
      <w:r>
        <w:t>90</w:t>
      </w:r>
      <w:r>
        <w:rPr>
          <w:rFonts w:hint="eastAsia"/>
        </w:rPr>
        <w:t>分的水源地个数比例不足</w:t>
      </w:r>
      <w:r>
        <w:t>80%</w:t>
      </w:r>
      <w:r>
        <w:rPr>
          <w:rFonts w:hint="eastAsia"/>
        </w:rPr>
        <w:t>的，不得分。</w:t>
      </w:r>
    </w:p>
    <w:p>
      <w:pPr>
        <w:pStyle w:val="30"/>
      </w:pPr>
      <w:r>
        <w:rPr>
          <w:rFonts w:hint="eastAsia"/>
        </w:rPr>
        <w:t>说明生态流量试点工作开展情况，</w:t>
      </w:r>
      <w:r>
        <w:t>2017</w:t>
      </w:r>
      <w:r>
        <w:rPr>
          <w:rFonts w:hint="eastAsia"/>
        </w:rPr>
        <w:t>年确定河流清单并提供相关调查评估报告；</w:t>
      </w:r>
      <w:r>
        <w:t>2018</w:t>
      </w:r>
      <w:r>
        <w:rPr>
          <w:rFonts w:hint="eastAsia"/>
        </w:rPr>
        <w:t>年提供经所在流域机构审查同意后印发的有关实施方案；</w:t>
      </w:r>
      <w:r>
        <w:t>2019</w:t>
      </w:r>
      <w:r>
        <w:rPr>
          <w:rFonts w:hint="eastAsia"/>
        </w:rPr>
        <w:t>、</w:t>
      </w:r>
      <w:r>
        <w:t>2020</w:t>
      </w:r>
      <w:r>
        <w:rPr>
          <w:rFonts w:hint="eastAsia"/>
        </w:rPr>
        <w:t>年，完成年度生态流量管理和保障情况评估报告；按《考核规定》进行年度自评分。</w:t>
      </w:r>
    </w:p>
    <w:p>
      <w:pPr>
        <w:pStyle w:val="3"/>
        <w:ind w:firstLine="600"/>
      </w:pPr>
      <w:bookmarkStart w:id="39" w:name="_Toc461612509"/>
      <w:bookmarkStart w:id="40" w:name="_Toc470183690"/>
      <w:r>
        <w:rPr>
          <w:rFonts w:hint="eastAsia"/>
        </w:rPr>
        <w:t>水生态环境保护</w:t>
      </w:r>
      <w:bookmarkEnd w:id="39"/>
      <w:r>
        <w:rPr>
          <w:rFonts w:hint="eastAsia"/>
        </w:rPr>
        <w:t>（环保部门提供材料）</w:t>
      </w:r>
      <w:bookmarkEnd w:id="40"/>
    </w:p>
    <w:p>
      <w:pPr>
        <w:pStyle w:val="4"/>
        <w:ind w:firstLine="602"/>
        <w:rPr>
          <w:rFonts w:ascii="Times New Roman"/>
        </w:rPr>
      </w:pPr>
      <w:r>
        <w:rPr>
          <w:rFonts w:hint="eastAsia" w:ascii="Times New Roman"/>
        </w:rPr>
        <w:t>饮用水水源环境保护规范化建设</w:t>
      </w:r>
    </w:p>
    <w:p>
      <w:pPr>
        <w:pStyle w:val="30"/>
      </w:pPr>
      <w:r>
        <w:rPr>
          <w:rFonts w:hint="eastAsia"/>
        </w:rPr>
        <w:t>自查辖区内乡镇及以上集中式饮用水水源数量（附表</w:t>
      </w:r>
      <w:r>
        <w:t>2-10</w:t>
      </w:r>
      <w:r>
        <w:rPr>
          <w:rFonts w:hint="eastAsia"/>
        </w:rPr>
        <w:t>，作为考核计分的基数）。按照《集中式饮用水水源地环境保护状况评估技术规范》开展评估。</w:t>
      </w:r>
      <w:r>
        <w:t>2018</w:t>
      </w:r>
      <w:r>
        <w:rPr>
          <w:rFonts w:hint="eastAsia"/>
        </w:rPr>
        <w:t>年前（含），评估分值大于或等于</w:t>
      </w:r>
      <w:r>
        <w:t>90</w:t>
      </w:r>
      <w:r>
        <w:rPr>
          <w:rFonts w:hint="eastAsia"/>
        </w:rPr>
        <w:t>分，视同于该水源完成规范化建设，</w:t>
      </w:r>
      <w:r>
        <w:t>2019</w:t>
      </w:r>
      <w:r>
        <w:rPr>
          <w:rFonts w:hint="eastAsia"/>
        </w:rPr>
        <w:t>年和</w:t>
      </w:r>
      <w:r>
        <w:t>2020</w:t>
      </w:r>
      <w:r>
        <w:rPr>
          <w:rFonts w:hint="eastAsia"/>
        </w:rPr>
        <w:t>年大于或等于</w:t>
      </w:r>
      <w:r>
        <w:t>95</w:t>
      </w:r>
      <w:r>
        <w:rPr>
          <w:rFonts w:hint="eastAsia"/>
        </w:rPr>
        <w:t>分视为完成。根据评估分值，核定已完成规范化建设的饮用水源及个数，按《考核规定》进行自评分；并分析规范化建设中存在的难点和问题。</w:t>
      </w:r>
    </w:p>
    <w:p>
      <w:pPr>
        <w:pStyle w:val="30"/>
        <w:ind w:firstLine="480"/>
        <w:jc w:val="center"/>
        <w:rPr>
          <w:rFonts w:eastAsia="黑体"/>
          <w:sz w:val="24"/>
          <w:szCs w:val="24"/>
        </w:rPr>
      </w:pPr>
      <w:r>
        <w:rPr>
          <w:rFonts w:hint="eastAsia" w:eastAsia="黑体"/>
          <w:sz w:val="24"/>
          <w:szCs w:val="24"/>
        </w:rPr>
        <w:t>表10 饮用水水源环境保护规范化建设汇总表</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33"/>
        <w:gridCol w:w="1151"/>
        <w:gridCol w:w="851"/>
        <w:gridCol w:w="708"/>
        <w:gridCol w:w="709"/>
        <w:gridCol w:w="851"/>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级别</w:t>
            </w:r>
          </w:p>
        </w:tc>
        <w:tc>
          <w:tcPr>
            <w:tcW w:w="833" w:type="dxa"/>
            <w:vMerge w:val="restart"/>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水源总个数</w:t>
            </w:r>
          </w:p>
        </w:tc>
        <w:tc>
          <w:tcPr>
            <w:tcW w:w="1151" w:type="dxa"/>
            <w:vMerge w:val="restart"/>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完成规范化建设的水源个数</w:t>
            </w:r>
          </w:p>
        </w:tc>
        <w:tc>
          <w:tcPr>
            <w:tcW w:w="5528" w:type="dxa"/>
            <w:gridSpan w:val="6"/>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已完成的水源个数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widowControl/>
              <w:adjustRightInd w:val="0"/>
              <w:snapToGrid w:val="0"/>
              <w:jc w:val="center"/>
              <w:rPr>
                <w:rFonts w:ascii="Times New Roman" w:hAnsi="Times New Roman" w:eastAsia="黑体" w:cs="Times New Roman"/>
                <w:color w:val="000000"/>
                <w:kern w:val="0"/>
                <w:szCs w:val="21"/>
              </w:rPr>
            </w:pPr>
          </w:p>
        </w:tc>
        <w:tc>
          <w:tcPr>
            <w:tcW w:w="833" w:type="dxa"/>
            <w:vMerge w:val="continue"/>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p>
        </w:tc>
        <w:tc>
          <w:tcPr>
            <w:tcW w:w="1151" w:type="dxa"/>
            <w:vMerge w:val="continue"/>
            <w:vAlign w:val="center"/>
          </w:tcPr>
          <w:p>
            <w:pPr>
              <w:widowControl/>
              <w:adjustRightInd w:val="0"/>
              <w:snapToGrid w:val="0"/>
              <w:jc w:val="center"/>
              <w:rPr>
                <w:rFonts w:ascii="Times New Roman" w:hAnsi="Times New Roman" w:eastAsia="黑体" w:cs="Times New Roman"/>
                <w:color w:val="000000"/>
                <w:kern w:val="0"/>
                <w:szCs w:val="21"/>
              </w:rPr>
            </w:pPr>
          </w:p>
        </w:tc>
        <w:tc>
          <w:tcPr>
            <w:tcW w:w="851"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保护区划分</w:t>
            </w:r>
          </w:p>
        </w:tc>
        <w:tc>
          <w:tcPr>
            <w:tcW w:w="708"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标志设置</w:t>
            </w:r>
          </w:p>
        </w:tc>
        <w:tc>
          <w:tcPr>
            <w:tcW w:w="709" w:type="dxa"/>
            <w:shd w:val="clear" w:color="auto" w:fill="auto"/>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隔离防护</w:t>
            </w:r>
          </w:p>
        </w:tc>
        <w:tc>
          <w:tcPr>
            <w:tcW w:w="85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保护区整治</w:t>
            </w:r>
          </w:p>
        </w:tc>
        <w:tc>
          <w:tcPr>
            <w:tcW w:w="850"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监控能力建设</w:t>
            </w:r>
          </w:p>
        </w:tc>
        <w:tc>
          <w:tcPr>
            <w:tcW w:w="1559"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风险防控与应急能力建设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地级及以上城市</w:t>
            </w:r>
          </w:p>
        </w:tc>
        <w:tc>
          <w:tcPr>
            <w:tcW w:w="833" w:type="dxa"/>
            <w:shd w:val="clear" w:color="auto" w:fill="auto"/>
            <w:vAlign w:val="center"/>
          </w:tcPr>
          <w:p>
            <w:pPr>
              <w:adjustRightInd w:val="0"/>
              <w:snapToGrid w:val="0"/>
              <w:rPr>
                <w:rFonts w:ascii="Times New Roman" w:hAnsi="Times New Roman" w:eastAsia="仿宋_GB2312" w:cs="Times New Roman"/>
                <w:sz w:val="30"/>
                <w:szCs w:val="30"/>
              </w:rPr>
            </w:pPr>
          </w:p>
        </w:tc>
        <w:tc>
          <w:tcPr>
            <w:tcW w:w="1151" w:type="dxa"/>
          </w:tcPr>
          <w:p>
            <w:pPr>
              <w:adjustRightInd w:val="0"/>
              <w:snapToGrid w:val="0"/>
              <w:rPr>
                <w:rFonts w:ascii="Times New Roman" w:hAnsi="Times New Roman" w:eastAsia="仿宋_GB2312" w:cs="Times New Roman"/>
                <w:sz w:val="30"/>
                <w:szCs w:val="30"/>
              </w:rPr>
            </w:pPr>
          </w:p>
        </w:tc>
        <w:tc>
          <w:tcPr>
            <w:tcW w:w="851" w:type="dxa"/>
            <w:shd w:val="clear" w:color="auto" w:fill="auto"/>
            <w:vAlign w:val="center"/>
          </w:tcPr>
          <w:p>
            <w:pPr>
              <w:adjustRightInd w:val="0"/>
              <w:snapToGrid w:val="0"/>
              <w:rPr>
                <w:rFonts w:ascii="Times New Roman" w:hAnsi="Times New Roman" w:eastAsia="仿宋_GB2312" w:cs="Times New Roman"/>
                <w:sz w:val="30"/>
                <w:szCs w:val="30"/>
              </w:rPr>
            </w:pPr>
          </w:p>
        </w:tc>
        <w:tc>
          <w:tcPr>
            <w:tcW w:w="708" w:type="dxa"/>
            <w:shd w:val="clear" w:color="auto" w:fill="auto"/>
            <w:vAlign w:val="center"/>
          </w:tcPr>
          <w:p>
            <w:pPr>
              <w:adjustRightInd w:val="0"/>
              <w:snapToGrid w:val="0"/>
              <w:rPr>
                <w:rFonts w:ascii="Times New Roman" w:hAnsi="Times New Roman" w:eastAsia="仿宋_GB2312" w:cs="Times New Roman"/>
                <w:sz w:val="30"/>
                <w:szCs w:val="30"/>
              </w:rPr>
            </w:pPr>
          </w:p>
        </w:tc>
        <w:tc>
          <w:tcPr>
            <w:tcW w:w="709" w:type="dxa"/>
            <w:shd w:val="clear" w:color="auto" w:fill="auto"/>
            <w:vAlign w:val="center"/>
          </w:tcPr>
          <w:p>
            <w:pPr>
              <w:adjustRightInd w:val="0"/>
              <w:snapToGrid w:val="0"/>
              <w:rPr>
                <w:rFonts w:ascii="Times New Roman" w:hAnsi="Times New Roman" w:eastAsia="仿宋_GB2312" w:cs="Times New Roman"/>
                <w:sz w:val="30"/>
                <w:szCs w:val="30"/>
              </w:rPr>
            </w:pPr>
          </w:p>
        </w:tc>
        <w:tc>
          <w:tcPr>
            <w:tcW w:w="851" w:type="dxa"/>
            <w:vAlign w:val="center"/>
          </w:tcPr>
          <w:p>
            <w:pPr>
              <w:adjustRightInd w:val="0"/>
              <w:snapToGrid w:val="0"/>
              <w:rPr>
                <w:rFonts w:ascii="Times New Roman" w:hAnsi="Times New Roman" w:eastAsia="仿宋_GB2312" w:cs="Times New Roman"/>
                <w:sz w:val="30"/>
                <w:szCs w:val="30"/>
              </w:rPr>
            </w:pPr>
          </w:p>
        </w:tc>
        <w:tc>
          <w:tcPr>
            <w:tcW w:w="850" w:type="dxa"/>
            <w:vAlign w:val="center"/>
          </w:tcPr>
          <w:p>
            <w:pPr>
              <w:adjustRightInd w:val="0"/>
              <w:snapToGrid w:val="0"/>
              <w:rPr>
                <w:rFonts w:ascii="Times New Roman" w:hAnsi="Times New Roman" w:eastAsia="仿宋_GB2312" w:cs="Times New Roman"/>
                <w:sz w:val="30"/>
                <w:szCs w:val="30"/>
              </w:rPr>
            </w:pPr>
          </w:p>
        </w:tc>
        <w:tc>
          <w:tcPr>
            <w:tcW w:w="1559" w:type="dxa"/>
            <w:vAlign w:val="center"/>
          </w:tcPr>
          <w:p>
            <w:pPr>
              <w:adjustRightInd w:val="0"/>
              <w:snapToGrid w:val="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县级城市</w:t>
            </w:r>
          </w:p>
        </w:tc>
        <w:tc>
          <w:tcPr>
            <w:tcW w:w="833" w:type="dxa"/>
            <w:shd w:val="clear" w:color="auto" w:fill="auto"/>
            <w:vAlign w:val="center"/>
          </w:tcPr>
          <w:p>
            <w:pPr>
              <w:adjustRightInd w:val="0"/>
              <w:snapToGrid w:val="0"/>
              <w:rPr>
                <w:rFonts w:ascii="Times New Roman" w:hAnsi="Times New Roman" w:eastAsia="仿宋_GB2312" w:cs="Times New Roman"/>
                <w:sz w:val="30"/>
                <w:szCs w:val="30"/>
              </w:rPr>
            </w:pPr>
          </w:p>
        </w:tc>
        <w:tc>
          <w:tcPr>
            <w:tcW w:w="1151" w:type="dxa"/>
          </w:tcPr>
          <w:p>
            <w:pPr>
              <w:adjustRightInd w:val="0"/>
              <w:snapToGrid w:val="0"/>
              <w:rPr>
                <w:rFonts w:ascii="Times New Roman" w:hAnsi="Times New Roman" w:eastAsia="仿宋_GB2312" w:cs="Times New Roman"/>
                <w:sz w:val="30"/>
                <w:szCs w:val="30"/>
              </w:rPr>
            </w:pPr>
          </w:p>
        </w:tc>
        <w:tc>
          <w:tcPr>
            <w:tcW w:w="851" w:type="dxa"/>
            <w:shd w:val="clear" w:color="auto" w:fill="auto"/>
            <w:vAlign w:val="center"/>
          </w:tcPr>
          <w:p>
            <w:pPr>
              <w:adjustRightInd w:val="0"/>
              <w:snapToGrid w:val="0"/>
              <w:rPr>
                <w:rFonts w:ascii="Times New Roman" w:hAnsi="Times New Roman" w:eastAsia="仿宋_GB2312" w:cs="Times New Roman"/>
                <w:sz w:val="30"/>
                <w:szCs w:val="30"/>
              </w:rPr>
            </w:pPr>
          </w:p>
        </w:tc>
        <w:tc>
          <w:tcPr>
            <w:tcW w:w="708" w:type="dxa"/>
            <w:shd w:val="clear" w:color="auto" w:fill="auto"/>
            <w:vAlign w:val="center"/>
          </w:tcPr>
          <w:p>
            <w:pPr>
              <w:adjustRightInd w:val="0"/>
              <w:snapToGrid w:val="0"/>
              <w:rPr>
                <w:rFonts w:ascii="Times New Roman" w:hAnsi="Times New Roman" w:eastAsia="仿宋_GB2312" w:cs="Times New Roman"/>
                <w:sz w:val="30"/>
                <w:szCs w:val="30"/>
              </w:rPr>
            </w:pPr>
          </w:p>
        </w:tc>
        <w:tc>
          <w:tcPr>
            <w:tcW w:w="709" w:type="dxa"/>
            <w:shd w:val="clear" w:color="auto" w:fill="auto"/>
            <w:vAlign w:val="center"/>
          </w:tcPr>
          <w:p>
            <w:pPr>
              <w:adjustRightInd w:val="0"/>
              <w:snapToGrid w:val="0"/>
              <w:rPr>
                <w:rFonts w:ascii="Times New Roman" w:hAnsi="Times New Roman" w:eastAsia="仿宋_GB2312" w:cs="Times New Roman"/>
                <w:sz w:val="30"/>
                <w:szCs w:val="30"/>
              </w:rPr>
            </w:pPr>
          </w:p>
        </w:tc>
        <w:tc>
          <w:tcPr>
            <w:tcW w:w="851" w:type="dxa"/>
            <w:vAlign w:val="center"/>
          </w:tcPr>
          <w:p>
            <w:pPr>
              <w:adjustRightInd w:val="0"/>
              <w:snapToGrid w:val="0"/>
              <w:rPr>
                <w:rFonts w:ascii="Times New Roman" w:hAnsi="Times New Roman" w:eastAsia="仿宋_GB2312" w:cs="Times New Roman"/>
                <w:sz w:val="30"/>
                <w:szCs w:val="30"/>
              </w:rPr>
            </w:pPr>
          </w:p>
        </w:tc>
        <w:tc>
          <w:tcPr>
            <w:tcW w:w="850" w:type="dxa"/>
            <w:vAlign w:val="center"/>
          </w:tcPr>
          <w:p>
            <w:pPr>
              <w:adjustRightInd w:val="0"/>
              <w:snapToGrid w:val="0"/>
              <w:rPr>
                <w:rFonts w:ascii="Times New Roman" w:hAnsi="Times New Roman" w:eastAsia="仿宋_GB2312" w:cs="Times New Roman"/>
                <w:sz w:val="30"/>
                <w:szCs w:val="30"/>
              </w:rPr>
            </w:pPr>
          </w:p>
        </w:tc>
        <w:tc>
          <w:tcPr>
            <w:tcW w:w="1559" w:type="dxa"/>
            <w:vAlign w:val="center"/>
          </w:tcPr>
          <w:p>
            <w:pPr>
              <w:adjustRightInd w:val="0"/>
              <w:snapToGrid w:val="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乡镇</w:t>
            </w:r>
          </w:p>
        </w:tc>
        <w:tc>
          <w:tcPr>
            <w:tcW w:w="833" w:type="dxa"/>
            <w:shd w:val="clear" w:color="auto" w:fill="auto"/>
            <w:vAlign w:val="center"/>
          </w:tcPr>
          <w:p>
            <w:pPr>
              <w:adjustRightInd w:val="0"/>
              <w:snapToGrid w:val="0"/>
              <w:rPr>
                <w:rFonts w:ascii="Times New Roman" w:hAnsi="Times New Roman" w:eastAsia="仿宋_GB2312" w:cs="Times New Roman"/>
                <w:sz w:val="30"/>
                <w:szCs w:val="30"/>
              </w:rPr>
            </w:pPr>
          </w:p>
        </w:tc>
        <w:tc>
          <w:tcPr>
            <w:tcW w:w="1151" w:type="dxa"/>
          </w:tcPr>
          <w:p>
            <w:pPr>
              <w:adjustRightInd w:val="0"/>
              <w:snapToGrid w:val="0"/>
              <w:rPr>
                <w:rFonts w:ascii="Times New Roman" w:hAnsi="Times New Roman" w:eastAsia="仿宋_GB2312" w:cs="Times New Roman"/>
                <w:sz w:val="30"/>
                <w:szCs w:val="30"/>
              </w:rPr>
            </w:pPr>
          </w:p>
        </w:tc>
        <w:tc>
          <w:tcPr>
            <w:tcW w:w="851" w:type="dxa"/>
            <w:shd w:val="clear" w:color="auto" w:fill="auto"/>
            <w:vAlign w:val="center"/>
          </w:tcPr>
          <w:p>
            <w:pPr>
              <w:adjustRightInd w:val="0"/>
              <w:snapToGrid w:val="0"/>
              <w:rPr>
                <w:rFonts w:ascii="Times New Roman" w:hAnsi="Times New Roman" w:eastAsia="仿宋_GB2312" w:cs="Times New Roman"/>
                <w:sz w:val="30"/>
                <w:szCs w:val="30"/>
              </w:rPr>
            </w:pPr>
          </w:p>
        </w:tc>
        <w:tc>
          <w:tcPr>
            <w:tcW w:w="708" w:type="dxa"/>
            <w:shd w:val="clear" w:color="auto" w:fill="auto"/>
            <w:vAlign w:val="center"/>
          </w:tcPr>
          <w:p>
            <w:pPr>
              <w:adjustRightInd w:val="0"/>
              <w:snapToGrid w:val="0"/>
              <w:rPr>
                <w:rFonts w:ascii="Times New Roman" w:hAnsi="Times New Roman" w:eastAsia="仿宋_GB2312" w:cs="Times New Roman"/>
                <w:sz w:val="30"/>
                <w:szCs w:val="30"/>
              </w:rPr>
            </w:pPr>
          </w:p>
        </w:tc>
        <w:tc>
          <w:tcPr>
            <w:tcW w:w="709" w:type="dxa"/>
            <w:shd w:val="clear" w:color="auto" w:fill="auto"/>
            <w:vAlign w:val="center"/>
          </w:tcPr>
          <w:p>
            <w:pPr>
              <w:adjustRightInd w:val="0"/>
              <w:snapToGrid w:val="0"/>
              <w:rPr>
                <w:rFonts w:ascii="Times New Roman" w:hAnsi="Times New Roman" w:eastAsia="仿宋_GB2312" w:cs="Times New Roman"/>
                <w:sz w:val="30"/>
                <w:szCs w:val="30"/>
              </w:rPr>
            </w:pPr>
          </w:p>
        </w:tc>
        <w:tc>
          <w:tcPr>
            <w:tcW w:w="851" w:type="dxa"/>
            <w:vAlign w:val="center"/>
          </w:tcPr>
          <w:p>
            <w:pPr>
              <w:adjustRightInd w:val="0"/>
              <w:snapToGrid w:val="0"/>
              <w:rPr>
                <w:rFonts w:ascii="Times New Roman" w:hAnsi="Times New Roman" w:eastAsia="仿宋_GB2312" w:cs="Times New Roman"/>
                <w:sz w:val="30"/>
                <w:szCs w:val="30"/>
              </w:rPr>
            </w:pPr>
          </w:p>
        </w:tc>
        <w:tc>
          <w:tcPr>
            <w:tcW w:w="850" w:type="dxa"/>
            <w:vAlign w:val="center"/>
          </w:tcPr>
          <w:p>
            <w:pPr>
              <w:adjustRightInd w:val="0"/>
              <w:snapToGrid w:val="0"/>
              <w:rPr>
                <w:rFonts w:ascii="Times New Roman" w:hAnsi="Times New Roman" w:eastAsia="仿宋_GB2312" w:cs="Times New Roman"/>
                <w:sz w:val="30"/>
                <w:szCs w:val="30"/>
              </w:rPr>
            </w:pPr>
          </w:p>
        </w:tc>
        <w:tc>
          <w:tcPr>
            <w:tcW w:w="1559" w:type="dxa"/>
            <w:vAlign w:val="center"/>
          </w:tcPr>
          <w:p>
            <w:pPr>
              <w:adjustRightInd w:val="0"/>
              <w:snapToGrid w:val="0"/>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合计</w:t>
            </w:r>
          </w:p>
        </w:tc>
        <w:tc>
          <w:tcPr>
            <w:tcW w:w="833" w:type="dxa"/>
            <w:shd w:val="clear" w:color="auto" w:fill="auto"/>
            <w:vAlign w:val="center"/>
          </w:tcPr>
          <w:p>
            <w:pPr>
              <w:adjustRightInd w:val="0"/>
              <w:snapToGrid w:val="0"/>
              <w:rPr>
                <w:rFonts w:ascii="Times New Roman" w:hAnsi="Times New Roman" w:eastAsia="仿宋_GB2312" w:cs="Times New Roman"/>
                <w:sz w:val="30"/>
                <w:szCs w:val="30"/>
              </w:rPr>
            </w:pPr>
          </w:p>
        </w:tc>
        <w:tc>
          <w:tcPr>
            <w:tcW w:w="1151" w:type="dxa"/>
          </w:tcPr>
          <w:p>
            <w:pPr>
              <w:adjustRightInd w:val="0"/>
              <w:snapToGrid w:val="0"/>
              <w:rPr>
                <w:rFonts w:ascii="Times New Roman" w:hAnsi="Times New Roman" w:eastAsia="仿宋_GB2312" w:cs="Times New Roman"/>
                <w:sz w:val="30"/>
                <w:szCs w:val="30"/>
              </w:rPr>
            </w:pPr>
          </w:p>
        </w:tc>
        <w:tc>
          <w:tcPr>
            <w:tcW w:w="851" w:type="dxa"/>
            <w:shd w:val="clear" w:color="auto" w:fill="auto"/>
            <w:vAlign w:val="center"/>
          </w:tcPr>
          <w:p>
            <w:pPr>
              <w:adjustRightInd w:val="0"/>
              <w:snapToGrid w:val="0"/>
              <w:rPr>
                <w:rFonts w:ascii="Times New Roman" w:hAnsi="Times New Roman" w:eastAsia="仿宋_GB2312" w:cs="Times New Roman"/>
                <w:sz w:val="30"/>
                <w:szCs w:val="30"/>
              </w:rPr>
            </w:pPr>
          </w:p>
        </w:tc>
        <w:tc>
          <w:tcPr>
            <w:tcW w:w="708" w:type="dxa"/>
            <w:shd w:val="clear" w:color="auto" w:fill="auto"/>
            <w:vAlign w:val="center"/>
          </w:tcPr>
          <w:p>
            <w:pPr>
              <w:adjustRightInd w:val="0"/>
              <w:snapToGrid w:val="0"/>
              <w:rPr>
                <w:rFonts w:ascii="Times New Roman" w:hAnsi="Times New Roman" w:eastAsia="仿宋_GB2312" w:cs="Times New Roman"/>
                <w:sz w:val="30"/>
                <w:szCs w:val="30"/>
              </w:rPr>
            </w:pPr>
          </w:p>
        </w:tc>
        <w:tc>
          <w:tcPr>
            <w:tcW w:w="709" w:type="dxa"/>
            <w:shd w:val="clear" w:color="auto" w:fill="auto"/>
            <w:vAlign w:val="center"/>
          </w:tcPr>
          <w:p>
            <w:pPr>
              <w:adjustRightInd w:val="0"/>
              <w:snapToGrid w:val="0"/>
              <w:rPr>
                <w:rFonts w:ascii="Times New Roman" w:hAnsi="Times New Roman" w:eastAsia="仿宋_GB2312" w:cs="Times New Roman"/>
                <w:sz w:val="30"/>
                <w:szCs w:val="30"/>
              </w:rPr>
            </w:pPr>
          </w:p>
        </w:tc>
        <w:tc>
          <w:tcPr>
            <w:tcW w:w="851" w:type="dxa"/>
            <w:vAlign w:val="center"/>
          </w:tcPr>
          <w:p>
            <w:pPr>
              <w:adjustRightInd w:val="0"/>
              <w:snapToGrid w:val="0"/>
              <w:rPr>
                <w:rFonts w:ascii="Times New Roman" w:hAnsi="Times New Roman" w:eastAsia="仿宋_GB2312" w:cs="Times New Roman"/>
                <w:sz w:val="30"/>
                <w:szCs w:val="30"/>
              </w:rPr>
            </w:pPr>
          </w:p>
        </w:tc>
        <w:tc>
          <w:tcPr>
            <w:tcW w:w="850" w:type="dxa"/>
            <w:vAlign w:val="center"/>
          </w:tcPr>
          <w:p>
            <w:pPr>
              <w:adjustRightInd w:val="0"/>
              <w:snapToGrid w:val="0"/>
              <w:rPr>
                <w:rFonts w:ascii="Times New Roman" w:hAnsi="Times New Roman" w:eastAsia="仿宋_GB2312" w:cs="Times New Roman"/>
                <w:sz w:val="30"/>
                <w:szCs w:val="30"/>
              </w:rPr>
            </w:pPr>
          </w:p>
        </w:tc>
        <w:tc>
          <w:tcPr>
            <w:tcW w:w="1559" w:type="dxa"/>
            <w:vAlign w:val="center"/>
          </w:tcPr>
          <w:p>
            <w:pPr>
              <w:adjustRightInd w:val="0"/>
              <w:snapToGrid w:val="0"/>
              <w:rPr>
                <w:rFonts w:ascii="Times New Roman" w:hAnsi="Times New Roman" w:eastAsia="仿宋_GB2312" w:cs="Times New Roman"/>
                <w:sz w:val="30"/>
                <w:szCs w:val="30"/>
              </w:rPr>
            </w:pPr>
          </w:p>
        </w:tc>
      </w:tr>
    </w:tbl>
    <w:p>
      <w:pPr>
        <w:adjustRightInd w:val="0"/>
        <w:snapToGrid w:val="0"/>
        <w:spacing w:line="360" w:lineRule="auto"/>
        <w:ind w:firstLine="400" w:firstLineChars="200"/>
        <w:rPr>
          <w:rFonts w:cs="Times New Roman" w:asciiTheme="minorEastAsia" w:hAnsiTheme="minorEastAsia"/>
          <w:sz w:val="20"/>
          <w:szCs w:val="20"/>
        </w:rPr>
      </w:pPr>
      <w:r>
        <w:rPr>
          <w:rFonts w:hint="eastAsia" w:cs="Times New Roman" w:asciiTheme="minorEastAsia" w:hAnsiTheme="minorEastAsia"/>
          <w:sz w:val="20"/>
          <w:szCs w:val="20"/>
        </w:rPr>
        <w:t>备注：“乡镇”级可根据实际工作开展情况选填。</w:t>
      </w:r>
    </w:p>
    <w:p>
      <w:pPr>
        <w:pStyle w:val="4"/>
        <w:ind w:firstLine="602"/>
        <w:rPr>
          <w:rFonts w:ascii="Times New Roman"/>
        </w:rPr>
      </w:pPr>
      <w:r>
        <w:rPr>
          <w:rFonts w:hint="eastAsia" w:ascii="Times New Roman"/>
        </w:rPr>
        <w:t>地下水调查、加油站地下油罐更新改造</w:t>
      </w:r>
    </w:p>
    <w:p>
      <w:pPr>
        <w:pStyle w:val="30"/>
      </w:pPr>
      <w:r>
        <w:rPr>
          <w:rFonts w:hint="eastAsia"/>
        </w:rPr>
        <w:t>说明当年度集中式地下水型饮用水水源补给区环境状况调查工作的完成情况（如技术成果验收报告、验收意见等）。重点了解</w:t>
      </w:r>
      <w:r>
        <w:t>“</w:t>
      </w:r>
      <w:r>
        <w:rPr>
          <w:rFonts w:hint="eastAsia"/>
        </w:rPr>
        <w:t>双源</w:t>
      </w:r>
      <w:r>
        <w:t>”</w:t>
      </w:r>
      <w:r>
        <w:rPr>
          <w:rFonts w:hint="eastAsia"/>
        </w:rPr>
        <w:t>清单填报</w:t>
      </w:r>
      <w:r>
        <w:t>/</w:t>
      </w:r>
      <w:r>
        <w:rPr>
          <w:rFonts w:hint="eastAsia"/>
        </w:rPr>
        <w:t>更新情况，以是否完成全部</w:t>
      </w:r>
      <w:r>
        <w:t>“</w:t>
      </w:r>
      <w:r>
        <w:rPr>
          <w:rFonts w:hint="eastAsia"/>
        </w:rPr>
        <w:t>双源</w:t>
      </w:r>
      <w:r>
        <w:t>”</w:t>
      </w:r>
      <w:r>
        <w:rPr>
          <w:rFonts w:hint="eastAsia"/>
        </w:rPr>
        <w:t>的填报、完成当年度调查评估任务，来核定地下水调查工作的完成情况。</w:t>
      </w:r>
    </w:p>
    <w:p>
      <w:pPr>
        <w:pStyle w:val="30"/>
      </w:pPr>
      <w:r>
        <w:rPr>
          <w:rFonts w:hint="eastAsia"/>
        </w:rPr>
        <w:t>统计加油站地下油罐的更新改造情况（附表</w:t>
      </w:r>
      <w:r>
        <w:t>2-11</w:t>
      </w:r>
      <w:r>
        <w:rPr>
          <w:rFonts w:hint="eastAsia"/>
        </w:rPr>
        <w:t>），包括加油站及油罐总数，以及更换双层罐或者设置防渗池的加油站、油罐数量；说明加油站运营情况（如国营、私营，年限等）。</w:t>
      </w:r>
    </w:p>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1</w:t>
      </w:r>
      <w:r>
        <w:rPr>
          <w:rFonts w:eastAsia="黑体"/>
          <w:sz w:val="24"/>
          <w:szCs w:val="24"/>
        </w:rPr>
        <w:t xml:space="preserve"> </w:t>
      </w:r>
      <w:r>
        <w:rPr>
          <w:rFonts w:hint="eastAsia" w:eastAsia="黑体"/>
          <w:sz w:val="24"/>
          <w:szCs w:val="24"/>
        </w:rPr>
        <w:t>加油站地下油罐更新改造</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342"/>
        <w:gridCol w:w="1646"/>
        <w:gridCol w:w="254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1" w:type="dxa"/>
            <w:vMerge w:val="restart"/>
            <w:shd w:val="clear" w:color="auto" w:fill="auto"/>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地市</w:t>
            </w:r>
          </w:p>
        </w:tc>
        <w:tc>
          <w:tcPr>
            <w:tcW w:w="2988" w:type="dxa"/>
            <w:gridSpan w:val="2"/>
            <w:shd w:val="clear" w:color="auto" w:fill="auto"/>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总体数量（个数）</w:t>
            </w:r>
          </w:p>
        </w:tc>
        <w:tc>
          <w:tcPr>
            <w:tcW w:w="4717" w:type="dxa"/>
            <w:gridSpan w:val="2"/>
            <w:shd w:val="clear" w:color="auto" w:fill="auto"/>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已完成更换双层罐或者设置防渗池的（个数）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1" w:type="dxa"/>
            <w:vMerge w:val="continue"/>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p>
        </w:tc>
        <w:tc>
          <w:tcPr>
            <w:tcW w:w="1342" w:type="dxa"/>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加油站数量</w:t>
            </w:r>
          </w:p>
        </w:tc>
        <w:tc>
          <w:tcPr>
            <w:tcW w:w="1646" w:type="dxa"/>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地下油罐数量</w:t>
            </w:r>
          </w:p>
        </w:tc>
        <w:tc>
          <w:tcPr>
            <w:tcW w:w="2542" w:type="dxa"/>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加油站数量</w:t>
            </w:r>
          </w:p>
        </w:tc>
        <w:tc>
          <w:tcPr>
            <w:tcW w:w="2175" w:type="dxa"/>
            <w:vAlign w:val="center"/>
          </w:tcPr>
          <w:p>
            <w:pPr>
              <w:widowControl/>
              <w:adjustRightInd w:val="0"/>
              <w:snapToGrid w:val="0"/>
              <w:spacing w:line="276" w:lineRule="auto"/>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地下油罐数量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1" w:type="dxa"/>
            <w:shd w:val="clear" w:color="auto" w:fill="auto"/>
            <w:vAlign w:val="bottom"/>
          </w:tcPr>
          <w:p>
            <w:pPr>
              <w:widowControl/>
              <w:spacing w:line="276" w:lineRule="auto"/>
              <w:jc w:val="left"/>
              <w:rPr>
                <w:rFonts w:ascii="Times New Roman" w:hAnsi="Times New Roman" w:cs="Times New Roman"/>
                <w:color w:val="000000"/>
                <w:kern w:val="0"/>
                <w:szCs w:val="21"/>
              </w:rPr>
            </w:pPr>
          </w:p>
        </w:tc>
        <w:tc>
          <w:tcPr>
            <w:tcW w:w="1342" w:type="dxa"/>
            <w:shd w:val="clear" w:color="auto" w:fill="auto"/>
            <w:vAlign w:val="bottom"/>
          </w:tcPr>
          <w:p>
            <w:pPr>
              <w:widowControl/>
              <w:spacing w:line="276" w:lineRule="auto"/>
              <w:jc w:val="left"/>
              <w:rPr>
                <w:rFonts w:ascii="Times New Roman" w:hAnsi="Times New Roman" w:cs="Times New Roman"/>
                <w:color w:val="000000"/>
                <w:kern w:val="0"/>
                <w:szCs w:val="21"/>
              </w:rPr>
            </w:pPr>
          </w:p>
        </w:tc>
        <w:tc>
          <w:tcPr>
            <w:tcW w:w="1646" w:type="dxa"/>
            <w:shd w:val="clear" w:color="auto" w:fill="auto"/>
            <w:vAlign w:val="bottom"/>
          </w:tcPr>
          <w:p>
            <w:pPr>
              <w:widowControl/>
              <w:spacing w:line="276" w:lineRule="auto"/>
              <w:jc w:val="left"/>
              <w:rPr>
                <w:rFonts w:ascii="Times New Roman" w:hAnsi="Times New Roman" w:cs="Times New Roman"/>
                <w:color w:val="000000"/>
                <w:kern w:val="0"/>
                <w:szCs w:val="21"/>
              </w:rPr>
            </w:pPr>
          </w:p>
        </w:tc>
        <w:tc>
          <w:tcPr>
            <w:tcW w:w="2542" w:type="dxa"/>
            <w:shd w:val="clear" w:color="auto" w:fill="auto"/>
            <w:vAlign w:val="bottom"/>
          </w:tcPr>
          <w:p>
            <w:pPr>
              <w:widowControl/>
              <w:spacing w:line="276" w:lineRule="auto"/>
              <w:jc w:val="left"/>
              <w:rPr>
                <w:rFonts w:ascii="Times New Roman" w:hAnsi="Times New Roman" w:cs="Times New Roman"/>
                <w:color w:val="000000"/>
                <w:kern w:val="0"/>
                <w:szCs w:val="21"/>
              </w:rPr>
            </w:pPr>
          </w:p>
        </w:tc>
        <w:tc>
          <w:tcPr>
            <w:tcW w:w="2175" w:type="dxa"/>
          </w:tcPr>
          <w:p>
            <w:pPr>
              <w:widowControl/>
              <w:spacing w:line="276" w:lineRule="auto"/>
              <w:jc w:val="left"/>
              <w:rPr>
                <w:rFonts w:ascii="Times New Roman" w:hAnsi="Times New Roman" w:cs="Times New Roman"/>
                <w:color w:val="000000"/>
                <w:kern w:val="0"/>
                <w:szCs w:val="21"/>
              </w:rPr>
            </w:pPr>
          </w:p>
        </w:tc>
      </w:tr>
    </w:tbl>
    <w:p>
      <w:pPr>
        <w:pStyle w:val="4"/>
        <w:ind w:firstLine="602"/>
        <w:rPr>
          <w:rFonts w:ascii="Times New Roman"/>
        </w:rPr>
      </w:pPr>
      <w:r>
        <w:rPr>
          <w:rFonts w:hint="eastAsia" w:ascii="Times New Roman"/>
        </w:rPr>
        <w:t>入海河流、入海排污口整治</w:t>
      </w:r>
    </w:p>
    <w:p>
      <w:pPr>
        <w:pStyle w:val="30"/>
      </w:pPr>
      <w:r>
        <w:rPr>
          <w:rFonts w:hint="eastAsia"/>
        </w:rPr>
        <w:t>自查辖区内非法或设置不合理的入海排污口全口径清单（附表</w:t>
      </w:r>
      <w:r>
        <w:t>2-12</w:t>
      </w:r>
      <w:r>
        <w:rPr>
          <w:rFonts w:hint="eastAsia"/>
        </w:rPr>
        <w:t>，作为</w:t>
      </w:r>
      <w:r>
        <w:t>2016</w:t>
      </w:r>
      <w:r>
        <w:rPr>
          <w:rFonts w:hint="eastAsia"/>
        </w:rPr>
        <w:t>年和</w:t>
      </w:r>
      <w:r>
        <w:t>2017</w:t>
      </w:r>
      <w:r>
        <w:rPr>
          <w:rFonts w:hint="eastAsia"/>
        </w:rPr>
        <w:t>年考核计分的基数）。</w:t>
      </w:r>
      <w:r>
        <w:t>2016</w:t>
      </w:r>
      <w:r>
        <w:rPr>
          <w:rFonts w:hint="eastAsia"/>
        </w:rPr>
        <w:t>年度沿海省份完成本行政区域内排污口摸底排查工作，本项指标赋予满分。</w:t>
      </w:r>
      <w:r>
        <w:t>2017</w:t>
      </w:r>
      <w:r>
        <w:rPr>
          <w:rFonts w:hint="eastAsia"/>
        </w:rPr>
        <w:t>年按年度完成情况（即：已清理的入海排污口个数占当年度应清理的入海排污口个数的比重乘以该项分值）进行自评分。</w:t>
      </w:r>
      <w:r>
        <w:t>2018</w:t>
      </w:r>
      <w:r>
        <w:rPr>
          <w:rFonts w:hint="eastAsia"/>
        </w:rPr>
        <w:t>年和</w:t>
      </w:r>
      <w:r>
        <w:t>2019</w:t>
      </w:r>
      <w:r>
        <w:rPr>
          <w:rFonts w:hint="eastAsia"/>
        </w:rPr>
        <w:t>年，原则上对该项指标先赋予满分，然后由考核组结合日常检查和</w:t>
      </w:r>
      <w:r>
        <w:t>“</w:t>
      </w:r>
      <w:r>
        <w:rPr>
          <w:rFonts w:hint="eastAsia"/>
        </w:rPr>
        <w:t>双随机</w:t>
      </w:r>
      <w:r>
        <w:t>”</w:t>
      </w:r>
      <w:r>
        <w:rPr>
          <w:rFonts w:hint="eastAsia"/>
        </w:rPr>
        <w:t>抽查情况，按</w:t>
      </w:r>
      <w:r>
        <w:t>“</w:t>
      </w:r>
      <w:r>
        <w:rPr>
          <w:rFonts w:hint="eastAsia"/>
        </w:rPr>
        <w:t>证伪</w:t>
      </w:r>
      <w:r>
        <w:t>”</w:t>
      </w:r>
      <w:r>
        <w:rPr>
          <w:rFonts w:hint="eastAsia"/>
        </w:rPr>
        <w:t>原则进行扣分。</w:t>
      </w:r>
    </w:p>
    <w:p>
      <w:pPr>
        <w:pStyle w:val="30"/>
      </w:pPr>
      <w:r>
        <w:t>2020</w:t>
      </w:r>
      <w:r>
        <w:rPr>
          <w:rFonts w:hint="eastAsia"/>
        </w:rPr>
        <w:t>年自查《目标责任书》规定的入海河流达标情况，按达到</w:t>
      </w:r>
      <w:r>
        <w:t>2020</w:t>
      </w:r>
      <w:r>
        <w:rPr>
          <w:rFonts w:hint="eastAsia"/>
        </w:rPr>
        <w:t>年目标要求的河流个数占《目标责任书》规定的入海河流总个数的比重乘以该项分值进行自评分。</w:t>
      </w:r>
    </w:p>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2</w:t>
      </w:r>
      <w:r>
        <w:rPr>
          <w:rFonts w:eastAsia="黑体"/>
          <w:sz w:val="24"/>
          <w:szCs w:val="24"/>
        </w:rPr>
        <w:t xml:space="preserve"> </w:t>
      </w:r>
      <w:r>
        <w:rPr>
          <w:rFonts w:hint="eastAsia" w:eastAsia="黑体"/>
          <w:sz w:val="24"/>
          <w:szCs w:val="24"/>
        </w:rPr>
        <w:t>入海排污口清理情况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60"/>
        <w:gridCol w:w="1643"/>
        <w:gridCol w:w="1457"/>
        <w:gridCol w:w="1604"/>
        <w:gridCol w:w="127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9" w:type="dxa"/>
            <w:vMerge w:val="restart"/>
            <w:shd w:val="clear" w:color="auto" w:fill="auto"/>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地市</w:t>
            </w:r>
          </w:p>
        </w:tc>
        <w:tc>
          <w:tcPr>
            <w:tcW w:w="460" w:type="dxa"/>
            <w:vMerge w:val="restart"/>
            <w:shd w:val="clear" w:color="auto" w:fill="auto"/>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区县</w:t>
            </w:r>
          </w:p>
        </w:tc>
        <w:tc>
          <w:tcPr>
            <w:tcW w:w="1643" w:type="dxa"/>
            <w:vMerge w:val="restart"/>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所属河口</w:t>
            </w:r>
            <w:r>
              <w:rPr>
                <w:rFonts w:ascii="Times New Roman" w:hAnsi="Times New Roman" w:eastAsia="黑体" w:cs="Times New Roman"/>
                <w:color w:val="000000"/>
                <w:kern w:val="0"/>
                <w:szCs w:val="21"/>
              </w:rPr>
              <w:t>/</w:t>
            </w:r>
            <w:r>
              <w:rPr>
                <w:rFonts w:hint="eastAsia" w:ascii="Times New Roman" w:hAnsi="Times New Roman" w:eastAsia="黑体" w:cs="Times New Roman"/>
                <w:color w:val="000000"/>
                <w:kern w:val="0"/>
                <w:szCs w:val="21"/>
              </w:rPr>
              <w:t>海湾</w:t>
            </w:r>
          </w:p>
        </w:tc>
        <w:tc>
          <w:tcPr>
            <w:tcW w:w="3061" w:type="dxa"/>
            <w:gridSpan w:val="2"/>
            <w:shd w:val="clear" w:color="auto" w:fill="auto"/>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入海排污口（个数）</w:t>
            </w:r>
          </w:p>
        </w:tc>
        <w:tc>
          <w:tcPr>
            <w:tcW w:w="2673" w:type="dxa"/>
            <w:gridSpan w:val="2"/>
            <w:shd w:val="clear" w:color="auto" w:fill="auto"/>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当年度清理情况（个数）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9" w:type="dxa"/>
            <w:vMerge w:val="continue"/>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p>
        </w:tc>
        <w:tc>
          <w:tcPr>
            <w:tcW w:w="460" w:type="dxa"/>
            <w:vMerge w:val="continue"/>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p>
        </w:tc>
        <w:tc>
          <w:tcPr>
            <w:tcW w:w="1643" w:type="dxa"/>
            <w:vMerge w:val="continue"/>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p>
        </w:tc>
        <w:tc>
          <w:tcPr>
            <w:tcW w:w="1457" w:type="dxa"/>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非法</w:t>
            </w:r>
          </w:p>
        </w:tc>
        <w:tc>
          <w:tcPr>
            <w:tcW w:w="1604" w:type="dxa"/>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设置不合理</w:t>
            </w:r>
          </w:p>
        </w:tc>
        <w:tc>
          <w:tcPr>
            <w:tcW w:w="1279" w:type="dxa"/>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非法</w:t>
            </w:r>
          </w:p>
        </w:tc>
        <w:tc>
          <w:tcPr>
            <w:tcW w:w="1394" w:type="dxa"/>
            <w:vAlign w:val="center"/>
          </w:tcPr>
          <w:p>
            <w:pPr>
              <w:widowControl/>
              <w:adjustRightInd w:val="0"/>
              <w:snapToGrid w:val="0"/>
              <w:spacing w:line="276" w:lineRule="auto"/>
              <w:contextualSpacing/>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设置不合理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59" w:type="dxa"/>
            <w:shd w:val="clear" w:color="auto" w:fill="auto"/>
            <w:vAlign w:val="center"/>
          </w:tcPr>
          <w:p>
            <w:pPr>
              <w:widowControl/>
              <w:spacing w:line="276" w:lineRule="auto"/>
              <w:contextualSpacing/>
              <w:jc w:val="left"/>
              <w:rPr>
                <w:rFonts w:ascii="Times New Roman" w:hAnsi="Times New Roman" w:cs="Times New Roman"/>
                <w:color w:val="000000"/>
                <w:kern w:val="0"/>
                <w:szCs w:val="21"/>
              </w:rPr>
            </w:pPr>
          </w:p>
        </w:tc>
        <w:tc>
          <w:tcPr>
            <w:tcW w:w="460" w:type="dxa"/>
            <w:shd w:val="clear" w:color="auto" w:fill="auto"/>
            <w:vAlign w:val="center"/>
          </w:tcPr>
          <w:p>
            <w:pPr>
              <w:widowControl/>
              <w:spacing w:line="276" w:lineRule="auto"/>
              <w:contextualSpacing/>
              <w:jc w:val="left"/>
              <w:rPr>
                <w:rFonts w:ascii="Times New Roman" w:hAnsi="Times New Roman" w:cs="Times New Roman"/>
                <w:color w:val="000000"/>
                <w:kern w:val="0"/>
                <w:szCs w:val="21"/>
              </w:rPr>
            </w:pPr>
          </w:p>
        </w:tc>
        <w:tc>
          <w:tcPr>
            <w:tcW w:w="1643" w:type="dxa"/>
            <w:vAlign w:val="center"/>
          </w:tcPr>
          <w:p>
            <w:pPr>
              <w:widowControl/>
              <w:spacing w:line="276" w:lineRule="auto"/>
              <w:contextualSpacing/>
              <w:jc w:val="left"/>
              <w:rPr>
                <w:rFonts w:ascii="Times New Roman" w:hAnsi="Times New Roman" w:cs="Times New Roman"/>
                <w:color w:val="000000"/>
                <w:kern w:val="0"/>
                <w:szCs w:val="21"/>
              </w:rPr>
            </w:pPr>
          </w:p>
        </w:tc>
        <w:tc>
          <w:tcPr>
            <w:tcW w:w="1457" w:type="dxa"/>
            <w:shd w:val="clear" w:color="auto" w:fill="auto"/>
            <w:vAlign w:val="center"/>
          </w:tcPr>
          <w:p>
            <w:pPr>
              <w:widowControl/>
              <w:spacing w:line="276" w:lineRule="auto"/>
              <w:contextualSpacing/>
              <w:jc w:val="left"/>
              <w:rPr>
                <w:rFonts w:ascii="Times New Roman" w:hAnsi="Times New Roman" w:cs="Times New Roman"/>
                <w:color w:val="000000"/>
                <w:kern w:val="0"/>
                <w:szCs w:val="21"/>
              </w:rPr>
            </w:pPr>
          </w:p>
        </w:tc>
        <w:tc>
          <w:tcPr>
            <w:tcW w:w="1604" w:type="dxa"/>
            <w:shd w:val="clear" w:color="auto" w:fill="auto"/>
            <w:vAlign w:val="center"/>
          </w:tcPr>
          <w:p>
            <w:pPr>
              <w:widowControl/>
              <w:spacing w:line="276" w:lineRule="auto"/>
              <w:contextualSpacing/>
              <w:jc w:val="left"/>
              <w:rPr>
                <w:rFonts w:ascii="Times New Roman" w:hAnsi="Times New Roman" w:cs="Times New Roman"/>
                <w:color w:val="000000"/>
                <w:kern w:val="0"/>
                <w:szCs w:val="21"/>
              </w:rPr>
            </w:pPr>
          </w:p>
        </w:tc>
        <w:tc>
          <w:tcPr>
            <w:tcW w:w="1279" w:type="dxa"/>
            <w:shd w:val="clear" w:color="auto" w:fill="auto"/>
            <w:vAlign w:val="center"/>
          </w:tcPr>
          <w:p>
            <w:pPr>
              <w:widowControl/>
              <w:spacing w:line="276" w:lineRule="auto"/>
              <w:contextualSpacing/>
              <w:jc w:val="left"/>
              <w:rPr>
                <w:rFonts w:ascii="Times New Roman" w:hAnsi="Times New Roman" w:cs="Times New Roman"/>
                <w:color w:val="000000"/>
                <w:kern w:val="0"/>
                <w:szCs w:val="21"/>
              </w:rPr>
            </w:pPr>
          </w:p>
        </w:tc>
        <w:tc>
          <w:tcPr>
            <w:tcW w:w="1394" w:type="dxa"/>
            <w:vAlign w:val="center"/>
          </w:tcPr>
          <w:p>
            <w:pPr>
              <w:widowControl/>
              <w:spacing w:line="276" w:lineRule="auto"/>
              <w:contextualSpacing/>
              <w:jc w:val="left"/>
              <w:rPr>
                <w:rFonts w:ascii="Times New Roman" w:hAnsi="Times New Roman" w:cs="Times New Roman"/>
                <w:color w:val="000000"/>
                <w:kern w:val="0"/>
                <w:szCs w:val="21"/>
              </w:rPr>
            </w:pPr>
          </w:p>
        </w:tc>
      </w:tr>
    </w:tbl>
    <w:p>
      <w:pPr>
        <w:adjustRightInd w:val="0"/>
        <w:snapToGrid w:val="0"/>
        <w:spacing w:line="360" w:lineRule="auto"/>
        <w:ind w:firstLine="600" w:firstLineChars="200"/>
        <w:rPr>
          <w:rFonts w:ascii="Times New Roman" w:hAnsi="Times New Roman" w:eastAsia="仿宋_GB2312" w:cs="Times New Roman"/>
          <w:sz w:val="30"/>
          <w:szCs w:val="30"/>
        </w:rPr>
      </w:pPr>
    </w:p>
    <w:p>
      <w:pPr>
        <w:pStyle w:val="4"/>
        <w:ind w:firstLine="602"/>
        <w:rPr>
          <w:rFonts w:ascii="Times New Roman"/>
        </w:rPr>
      </w:pPr>
      <w:r>
        <w:rPr>
          <w:rFonts w:hint="eastAsia" w:ascii="Times New Roman"/>
        </w:rPr>
        <w:t>水体污染控制与治理科技重大专项落实情况</w:t>
      </w:r>
    </w:p>
    <w:p>
      <w:pPr>
        <w:pStyle w:val="30"/>
      </w:pPr>
      <w:r>
        <w:rPr>
          <w:rFonts w:hint="eastAsia"/>
        </w:rPr>
        <w:t>按照</w:t>
      </w:r>
      <w:r>
        <w:t>“</w:t>
      </w:r>
      <w:r>
        <w:rPr>
          <w:rFonts w:hint="eastAsia"/>
        </w:rPr>
        <w:t>十三五</w:t>
      </w:r>
      <w:r>
        <w:t>”</w:t>
      </w:r>
      <w:r>
        <w:rPr>
          <w:rFonts w:hint="eastAsia"/>
        </w:rPr>
        <w:t>水专项的任务合同书和年度计划，自查</w:t>
      </w:r>
      <w:r>
        <w:t>“</w:t>
      </w:r>
      <w:r>
        <w:rPr>
          <w:rFonts w:hint="eastAsia"/>
        </w:rPr>
        <w:t>十三五</w:t>
      </w:r>
      <w:r>
        <w:t>”</w:t>
      </w:r>
      <w:r>
        <w:rPr>
          <w:rFonts w:hint="eastAsia"/>
        </w:rPr>
        <w:t>水专项示范工程的年度任务完成情况（附表</w:t>
      </w:r>
      <w:r>
        <w:t>2-13</w:t>
      </w:r>
      <w:r>
        <w:rPr>
          <w:rFonts w:hint="eastAsia"/>
        </w:rPr>
        <w:t>），按完成年度任务的示范工程个数占示范工程总数的比例乘以该项分值进行自评分。</w:t>
      </w:r>
    </w:p>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3</w:t>
      </w:r>
      <w:r>
        <w:rPr>
          <w:rFonts w:eastAsia="黑体"/>
          <w:sz w:val="24"/>
          <w:szCs w:val="24"/>
        </w:rPr>
        <w:t xml:space="preserve"> </w:t>
      </w:r>
      <w:r>
        <w:rPr>
          <w:rFonts w:hint="eastAsia" w:eastAsia="黑体"/>
          <w:sz w:val="24"/>
          <w:szCs w:val="24"/>
        </w:rPr>
        <w:t>水专项示范工程项目情况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611"/>
        <w:gridCol w:w="611"/>
        <w:gridCol w:w="604"/>
        <w:gridCol w:w="476"/>
        <w:gridCol w:w="964"/>
        <w:gridCol w:w="475"/>
        <w:gridCol w:w="788"/>
        <w:gridCol w:w="790"/>
        <w:gridCol w:w="821"/>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shd w:val="clear" w:color="auto" w:fill="auto"/>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示范工程名称</w:t>
            </w:r>
          </w:p>
        </w:tc>
        <w:tc>
          <w:tcPr>
            <w:tcW w:w="611"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所在地市</w:t>
            </w:r>
          </w:p>
        </w:tc>
        <w:tc>
          <w:tcPr>
            <w:tcW w:w="611"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所在区县</w:t>
            </w:r>
          </w:p>
        </w:tc>
        <w:tc>
          <w:tcPr>
            <w:tcW w:w="604"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所在水体</w:t>
            </w:r>
          </w:p>
        </w:tc>
        <w:tc>
          <w:tcPr>
            <w:tcW w:w="476"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所在地点</w:t>
            </w:r>
          </w:p>
        </w:tc>
        <w:tc>
          <w:tcPr>
            <w:tcW w:w="964"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示范技术与内容</w:t>
            </w:r>
          </w:p>
        </w:tc>
        <w:tc>
          <w:tcPr>
            <w:tcW w:w="475" w:type="dxa"/>
            <w:shd w:val="clear" w:color="auto" w:fill="auto"/>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规模</w:t>
            </w:r>
          </w:p>
        </w:tc>
        <w:tc>
          <w:tcPr>
            <w:tcW w:w="788" w:type="dxa"/>
            <w:shd w:val="clear" w:color="auto" w:fill="auto"/>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年度目标</w:t>
            </w:r>
          </w:p>
        </w:tc>
        <w:tc>
          <w:tcPr>
            <w:tcW w:w="790"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示范进展</w:t>
            </w:r>
          </w:p>
        </w:tc>
        <w:tc>
          <w:tcPr>
            <w:tcW w:w="821"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示范成效</w:t>
            </w:r>
          </w:p>
        </w:tc>
        <w:tc>
          <w:tcPr>
            <w:tcW w:w="1319" w:type="dxa"/>
            <w:vAlign w:val="center"/>
          </w:tcPr>
          <w:p>
            <w:pPr>
              <w:widowControl/>
              <w:adjustRightInd w:val="0"/>
              <w:snapToGrid w:val="0"/>
              <w:spacing w:line="240" w:lineRule="exact"/>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认定完成情况（完成</w:t>
            </w:r>
            <w:r>
              <w:rPr>
                <w:rFonts w:ascii="Times New Roman" w:hAnsi="Times New Roman" w:eastAsia="黑体" w:cs="Times New Roman"/>
                <w:color w:val="000000"/>
                <w:kern w:val="0"/>
                <w:szCs w:val="21"/>
              </w:rPr>
              <w:t>/</w:t>
            </w:r>
            <w:r>
              <w:rPr>
                <w:rFonts w:hint="eastAsia" w:ascii="Times New Roman" w:hAnsi="Times New Roman" w:eastAsia="黑体" w:cs="Times New Roman"/>
                <w:color w:val="000000"/>
                <w:kern w:val="0"/>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shd w:val="clear" w:color="auto" w:fill="auto"/>
            <w:vAlign w:val="center"/>
          </w:tcPr>
          <w:p>
            <w:pPr>
              <w:widowControl/>
              <w:spacing w:line="276" w:lineRule="auto"/>
              <w:jc w:val="center"/>
              <w:rPr>
                <w:rFonts w:ascii="Times New Roman" w:hAnsi="Times New Roman" w:cs="Times New Roman"/>
                <w:b/>
                <w:bCs/>
                <w:color w:val="000000"/>
                <w:kern w:val="0"/>
                <w:szCs w:val="21"/>
              </w:rPr>
            </w:pPr>
          </w:p>
        </w:tc>
        <w:tc>
          <w:tcPr>
            <w:tcW w:w="611" w:type="dxa"/>
            <w:vAlign w:val="center"/>
          </w:tcPr>
          <w:p>
            <w:pPr>
              <w:widowControl/>
              <w:spacing w:line="276" w:lineRule="auto"/>
              <w:jc w:val="center"/>
              <w:rPr>
                <w:rFonts w:ascii="Times New Roman" w:hAnsi="Times New Roman" w:cs="Times New Roman"/>
                <w:b/>
                <w:bCs/>
                <w:color w:val="000000"/>
                <w:kern w:val="0"/>
                <w:szCs w:val="21"/>
              </w:rPr>
            </w:pPr>
          </w:p>
        </w:tc>
        <w:tc>
          <w:tcPr>
            <w:tcW w:w="611" w:type="dxa"/>
            <w:vAlign w:val="center"/>
          </w:tcPr>
          <w:p>
            <w:pPr>
              <w:widowControl/>
              <w:spacing w:line="276" w:lineRule="auto"/>
              <w:jc w:val="center"/>
              <w:rPr>
                <w:rFonts w:ascii="Times New Roman" w:hAnsi="Times New Roman" w:cs="Times New Roman"/>
                <w:b/>
                <w:bCs/>
                <w:color w:val="000000"/>
                <w:kern w:val="0"/>
                <w:szCs w:val="21"/>
              </w:rPr>
            </w:pPr>
          </w:p>
        </w:tc>
        <w:tc>
          <w:tcPr>
            <w:tcW w:w="604" w:type="dxa"/>
            <w:vAlign w:val="center"/>
          </w:tcPr>
          <w:p>
            <w:pPr>
              <w:widowControl/>
              <w:spacing w:line="276" w:lineRule="auto"/>
              <w:jc w:val="center"/>
              <w:rPr>
                <w:rFonts w:ascii="Times New Roman" w:hAnsi="Times New Roman" w:cs="Times New Roman"/>
                <w:b/>
                <w:bCs/>
                <w:color w:val="000000"/>
                <w:kern w:val="0"/>
                <w:szCs w:val="21"/>
              </w:rPr>
            </w:pPr>
          </w:p>
        </w:tc>
        <w:tc>
          <w:tcPr>
            <w:tcW w:w="476" w:type="dxa"/>
            <w:vAlign w:val="center"/>
          </w:tcPr>
          <w:p>
            <w:pPr>
              <w:widowControl/>
              <w:spacing w:line="276" w:lineRule="auto"/>
              <w:jc w:val="center"/>
              <w:rPr>
                <w:rFonts w:ascii="Times New Roman" w:hAnsi="Times New Roman" w:cs="Times New Roman"/>
                <w:b/>
                <w:bCs/>
                <w:color w:val="000000"/>
                <w:kern w:val="0"/>
                <w:szCs w:val="21"/>
              </w:rPr>
            </w:pPr>
          </w:p>
        </w:tc>
        <w:tc>
          <w:tcPr>
            <w:tcW w:w="964" w:type="dxa"/>
            <w:vAlign w:val="center"/>
          </w:tcPr>
          <w:p>
            <w:pPr>
              <w:widowControl/>
              <w:spacing w:line="276" w:lineRule="auto"/>
              <w:jc w:val="center"/>
              <w:rPr>
                <w:rFonts w:ascii="Times New Roman" w:hAnsi="Times New Roman" w:cs="Times New Roman"/>
                <w:b/>
                <w:bCs/>
                <w:color w:val="000000"/>
                <w:kern w:val="0"/>
                <w:szCs w:val="21"/>
              </w:rPr>
            </w:pPr>
          </w:p>
        </w:tc>
        <w:tc>
          <w:tcPr>
            <w:tcW w:w="475" w:type="dxa"/>
            <w:shd w:val="clear" w:color="auto" w:fill="auto"/>
            <w:vAlign w:val="center"/>
          </w:tcPr>
          <w:p>
            <w:pPr>
              <w:widowControl/>
              <w:spacing w:line="276" w:lineRule="auto"/>
              <w:jc w:val="center"/>
              <w:rPr>
                <w:rFonts w:ascii="Times New Roman" w:hAnsi="Times New Roman" w:cs="Times New Roman"/>
                <w:b/>
                <w:bCs/>
                <w:color w:val="000000"/>
                <w:kern w:val="0"/>
                <w:szCs w:val="21"/>
              </w:rPr>
            </w:pPr>
          </w:p>
        </w:tc>
        <w:tc>
          <w:tcPr>
            <w:tcW w:w="788" w:type="dxa"/>
            <w:shd w:val="clear" w:color="auto" w:fill="auto"/>
            <w:vAlign w:val="center"/>
          </w:tcPr>
          <w:p>
            <w:pPr>
              <w:widowControl/>
              <w:spacing w:line="276" w:lineRule="auto"/>
              <w:jc w:val="center"/>
              <w:rPr>
                <w:rFonts w:ascii="Times New Roman" w:hAnsi="Times New Roman" w:cs="Times New Roman"/>
                <w:b/>
                <w:bCs/>
                <w:color w:val="000000"/>
                <w:kern w:val="0"/>
                <w:szCs w:val="21"/>
              </w:rPr>
            </w:pPr>
          </w:p>
        </w:tc>
        <w:tc>
          <w:tcPr>
            <w:tcW w:w="790" w:type="dxa"/>
            <w:vAlign w:val="center"/>
          </w:tcPr>
          <w:p>
            <w:pPr>
              <w:widowControl/>
              <w:spacing w:line="276" w:lineRule="auto"/>
              <w:jc w:val="center"/>
              <w:rPr>
                <w:rFonts w:ascii="Times New Roman" w:hAnsi="Times New Roman" w:cs="Times New Roman"/>
                <w:b/>
                <w:bCs/>
                <w:color w:val="000000"/>
                <w:kern w:val="0"/>
                <w:szCs w:val="21"/>
              </w:rPr>
            </w:pPr>
          </w:p>
        </w:tc>
        <w:tc>
          <w:tcPr>
            <w:tcW w:w="821" w:type="dxa"/>
            <w:vAlign w:val="center"/>
          </w:tcPr>
          <w:p>
            <w:pPr>
              <w:widowControl/>
              <w:spacing w:line="276" w:lineRule="auto"/>
              <w:jc w:val="center"/>
              <w:rPr>
                <w:rFonts w:ascii="Times New Roman" w:hAnsi="Times New Roman" w:cs="Times New Roman"/>
                <w:b/>
                <w:bCs/>
                <w:color w:val="000000"/>
                <w:kern w:val="0"/>
                <w:szCs w:val="21"/>
              </w:rPr>
            </w:pPr>
          </w:p>
        </w:tc>
        <w:tc>
          <w:tcPr>
            <w:tcW w:w="1319" w:type="dxa"/>
            <w:vAlign w:val="center"/>
          </w:tcPr>
          <w:p>
            <w:pPr>
              <w:widowControl/>
              <w:spacing w:line="276" w:lineRule="auto"/>
              <w:jc w:val="center"/>
              <w:rPr>
                <w:rFonts w:ascii="Times New Roman" w:hAnsi="Times New Roman" w:cs="Times New Roman"/>
                <w:b/>
                <w:bCs/>
                <w:color w:val="000000"/>
                <w:kern w:val="0"/>
                <w:szCs w:val="21"/>
              </w:rPr>
            </w:pPr>
          </w:p>
        </w:tc>
      </w:tr>
    </w:tbl>
    <w:p>
      <w:pPr>
        <w:adjustRightInd w:val="0"/>
        <w:snapToGrid w:val="0"/>
        <w:spacing w:line="360" w:lineRule="auto"/>
        <w:ind w:firstLine="600" w:firstLineChars="200"/>
        <w:rPr>
          <w:rFonts w:ascii="Times New Roman" w:hAnsi="Times New Roman" w:eastAsia="仿宋_GB2312" w:cs="Times New Roman"/>
          <w:sz w:val="30"/>
          <w:szCs w:val="30"/>
        </w:rPr>
      </w:pPr>
    </w:p>
    <w:p>
      <w:pPr>
        <w:pStyle w:val="3"/>
        <w:ind w:firstLine="600"/>
      </w:pPr>
      <w:bookmarkStart w:id="41" w:name="_Toc461612510"/>
      <w:bookmarkStart w:id="42" w:name="_Toc470183691"/>
      <w:r>
        <w:rPr>
          <w:rFonts w:hint="eastAsia"/>
        </w:rPr>
        <w:t>强化科技支撑</w:t>
      </w:r>
      <w:bookmarkEnd w:id="41"/>
      <w:r>
        <w:rPr>
          <w:rFonts w:hint="eastAsia"/>
        </w:rPr>
        <w:t>（科技部门提供材料）</w:t>
      </w:r>
      <w:bookmarkEnd w:id="42"/>
    </w:p>
    <w:p>
      <w:pPr>
        <w:pStyle w:val="4"/>
        <w:ind w:firstLine="602"/>
        <w:rPr>
          <w:rFonts w:ascii="Times New Roman"/>
        </w:rPr>
      </w:pPr>
      <w:r>
        <w:rPr>
          <w:rFonts w:hint="eastAsia" w:ascii="Times New Roman"/>
        </w:rPr>
        <w:t>先进适用技术推广应用</w:t>
      </w:r>
    </w:p>
    <w:p>
      <w:pPr>
        <w:pStyle w:val="30"/>
      </w:pPr>
      <w:r>
        <w:rPr>
          <w:rFonts w:hint="eastAsia"/>
        </w:rPr>
        <w:t>提供水污染防治技术指导目录并说明发布情况、信息反馈机制建立情况和入选技术示范推广率等。其中，入选技术示范推广率以科技部的相关文件为准进行计算。</w:t>
      </w:r>
    </w:p>
    <w:p>
      <w:pPr>
        <w:pStyle w:val="3"/>
        <w:ind w:firstLine="600"/>
      </w:pPr>
      <w:bookmarkStart w:id="43" w:name="_Toc461612511"/>
      <w:bookmarkStart w:id="44" w:name="_Toc470183692"/>
      <w:r>
        <w:rPr>
          <w:rFonts w:hint="eastAsia"/>
        </w:rPr>
        <w:t>各方责任及公众参与</w:t>
      </w:r>
      <w:bookmarkEnd w:id="43"/>
      <w:r>
        <w:rPr>
          <w:rFonts w:hint="eastAsia"/>
        </w:rPr>
        <w:t>（环保部门提供材料）</w:t>
      </w:r>
      <w:bookmarkEnd w:id="44"/>
    </w:p>
    <w:p>
      <w:pPr>
        <w:pStyle w:val="4"/>
        <w:ind w:firstLine="602"/>
        <w:rPr>
          <w:rFonts w:ascii="Times New Roman"/>
        </w:rPr>
      </w:pPr>
      <w:r>
        <w:rPr>
          <w:rFonts w:hint="eastAsia" w:ascii="Times New Roman"/>
        </w:rPr>
        <w:t>环境信息公开</w:t>
      </w:r>
    </w:p>
    <w:p>
      <w:pPr>
        <w:pStyle w:val="30"/>
      </w:pPr>
      <w:r>
        <w:rPr>
          <w:rFonts w:hint="eastAsia"/>
        </w:rPr>
        <w:t>落实《水十条》规定的各项环境信息公开要求，自查统计各类信息公开内容是否达到国家有关要求。其中，</w:t>
      </w:r>
      <w:r>
        <w:t>“</w:t>
      </w:r>
      <w:r>
        <w:rPr>
          <w:rFonts w:hint="eastAsia"/>
        </w:rPr>
        <w:t>信息内容不完整</w:t>
      </w:r>
      <w:r>
        <w:t>”</w:t>
      </w:r>
      <w:r>
        <w:rPr>
          <w:rFonts w:hint="eastAsia"/>
        </w:rPr>
        <w:t>是指与《水十条》、《考核规定》和国家有关规定要求公开的内容进行对照，若缺（漏）项，则认定为</w:t>
      </w:r>
      <w:r>
        <w:t>“</w:t>
      </w:r>
      <w:r>
        <w:rPr>
          <w:rFonts w:hint="eastAsia"/>
        </w:rPr>
        <w:t>信息内容不完整</w:t>
      </w:r>
      <w:r>
        <w:t>”</w:t>
      </w:r>
      <w:r>
        <w:rPr>
          <w:rFonts w:hint="eastAsia"/>
        </w:rPr>
        <w:t>。</w:t>
      </w:r>
    </w:p>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4</w:t>
      </w:r>
      <w:r>
        <w:rPr>
          <w:rFonts w:eastAsia="黑体"/>
          <w:sz w:val="24"/>
          <w:szCs w:val="24"/>
        </w:rPr>
        <w:t xml:space="preserve"> </w:t>
      </w:r>
      <w:r>
        <w:rPr>
          <w:rFonts w:hint="eastAsia" w:eastAsia="黑体"/>
          <w:sz w:val="24"/>
          <w:szCs w:val="24"/>
        </w:rPr>
        <w:t>环境信息公开情况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209"/>
        <w:gridCol w:w="2255"/>
        <w:gridCol w:w="851"/>
        <w:gridCol w:w="1134"/>
        <w:gridCol w:w="659"/>
        <w:gridCol w:w="104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序号</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名称</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要求公开的内容</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公布层级</w:t>
            </w:r>
          </w:p>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（省</w:t>
            </w:r>
            <w:r>
              <w:rPr>
                <w:rFonts w:ascii="Times New Roman" w:hAnsi="Times New Roman" w:eastAsia="黑体" w:cs="Times New Roman"/>
                <w:color w:val="000000"/>
                <w:kern w:val="0"/>
                <w:sz w:val="15"/>
                <w:szCs w:val="15"/>
              </w:rPr>
              <w:t>/</w:t>
            </w:r>
            <w:r>
              <w:rPr>
                <w:rFonts w:hint="eastAsia" w:ascii="Times New Roman" w:hAnsi="Times New Roman" w:eastAsia="黑体" w:cs="Times New Roman"/>
                <w:color w:val="000000"/>
                <w:kern w:val="0"/>
                <w:sz w:val="15"/>
                <w:szCs w:val="15"/>
              </w:rPr>
              <w:t>市</w:t>
            </w:r>
            <w:r>
              <w:rPr>
                <w:rFonts w:ascii="Times New Roman" w:hAnsi="Times New Roman" w:eastAsia="黑体" w:cs="Times New Roman"/>
                <w:color w:val="000000"/>
                <w:kern w:val="0"/>
                <w:sz w:val="15"/>
                <w:szCs w:val="15"/>
              </w:rPr>
              <w:t>/</w:t>
            </w:r>
            <w:r>
              <w:rPr>
                <w:rFonts w:hint="eastAsia" w:ascii="Times New Roman" w:hAnsi="Times New Roman" w:eastAsia="黑体" w:cs="Times New Roman"/>
                <w:color w:val="000000"/>
                <w:kern w:val="0"/>
                <w:sz w:val="15"/>
                <w:szCs w:val="15"/>
              </w:rPr>
              <w:t>县）</w:t>
            </w: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公布渠道</w:t>
            </w:r>
          </w:p>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（如有网址，请提供）</w:t>
            </w: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信息公开截图</w:t>
            </w: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是否达到国家有关要求</w:t>
            </w: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公布</w:t>
            </w:r>
          </w:p>
          <w:p>
            <w:pPr>
              <w:widowControl/>
              <w:adjustRightInd w:val="0"/>
              <w:snapToGrid w:val="0"/>
              <w:spacing w:line="200" w:lineRule="exact"/>
              <w:jc w:val="center"/>
              <w:rPr>
                <w:rFonts w:ascii="Times New Roman" w:hAnsi="Times New Roman" w:eastAsia="黑体" w:cs="Times New Roman"/>
                <w:color w:val="000000"/>
                <w:kern w:val="0"/>
                <w:sz w:val="15"/>
                <w:szCs w:val="15"/>
              </w:rPr>
            </w:pPr>
            <w:r>
              <w:rPr>
                <w:rFonts w:hint="eastAsia" w:ascii="Times New Roman" w:hAnsi="Times New Roman" w:eastAsia="黑体" w:cs="Times New Roman"/>
                <w:color w:val="000000"/>
                <w:kern w:val="0"/>
                <w:sz w:val="15"/>
                <w:szCs w:val="15"/>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1</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环保</w:t>
            </w:r>
            <w:r>
              <w:rPr>
                <w:rFonts w:ascii="Times New Roman" w:hAnsi="Times New Roman" w:eastAsia="黑体" w:cs="Times New Roman"/>
                <w:color w:val="000000"/>
                <w:kern w:val="0"/>
                <w:sz w:val="18"/>
                <w:szCs w:val="18"/>
              </w:rPr>
              <w:t>“</w:t>
            </w:r>
            <w:r>
              <w:rPr>
                <w:rFonts w:hint="eastAsia" w:ascii="Times New Roman" w:hAnsi="Times New Roman" w:eastAsia="黑体" w:cs="Times New Roman"/>
                <w:color w:val="000000"/>
                <w:kern w:val="0"/>
                <w:sz w:val="18"/>
                <w:szCs w:val="18"/>
              </w:rPr>
              <w:t>黄牌</w:t>
            </w:r>
            <w:r>
              <w:rPr>
                <w:rFonts w:ascii="Times New Roman" w:hAnsi="Times New Roman" w:eastAsia="黑体" w:cs="Times New Roman"/>
                <w:color w:val="000000"/>
                <w:kern w:val="0"/>
                <w:sz w:val="18"/>
                <w:szCs w:val="18"/>
              </w:rPr>
              <w:t>”“</w:t>
            </w:r>
            <w:r>
              <w:rPr>
                <w:rFonts w:hint="eastAsia" w:ascii="Times New Roman" w:hAnsi="Times New Roman" w:eastAsia="黑体" w:cs="Times New Roman"/>
                <w:color w:val="000000"/>
                <w:kern w:val="0"/>
                <w:sz w:val="18"/>
                <w:szCs w:val="18"/>
              </w:rPr>
              <w:t>红牌</w:t>
            </w:r>
            <w:r>
              <w:rPr>
                <w:rFonts w:ascii="Times New Roman" w:hAnsi="Times New Roman" w:eastAsia="黑体" w:cs="Times New Roman"/>
                <w:color w:val="000000"/>
                <w:kern w:val="0"/>
                <w:sz w:val="18"/>
                <w:szCs w:val="18"/>
              </w:rPr>
              <w:t>”</w:t>
            </w:r>
            <w:r>
              <w:rPr>
                <w:rFonts w:hint="eastAsia" w:ascii="Times New Roman" w:hAnsi="Times New Roman" w:eastAsia="黑体" w:cs="Times New Roman"/>
                <w:color w:val="000000"/>
                <w:kern w:val="0"/>
                <w:sz w:val="18"/>
                <w:szCs w:val="18"/>
              </w:rPr>
              <w:t>企业</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企业名单</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2</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达标方案</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自</w:t>
            </w:r>
            <w:r>
              <w:rPr>
                <w:rFonts w:ascii="Times New Roman" w:hAnsi="Times New Roman" w:eastAsia="黑体" w:cs="Times New Roman"/>
                <w:color w:val="000000"/>
                <w:kern w:val="0"/>
                <w:sz w:val="18"/>
                <w:szCs w:val="18"/>
              </w:rPr>
              <w:t>2016</w:t>
            </w:r>
            <w:r>
              <w:rPr>
                <w:rFonts w:hint="eastAsia" w:ascii="Times New Roman" w:hAnsi="Times New Roman" w:eastAsia="黑体" w:cs="Times New Roman"/>
                <w:color w:val="000000"/>
                <w:kern w:val="0"/>
                <w:sz w:val="18"/>
                <w:szCs w:val="18"/>
              </w:rPr>
              <w:t>年起向社会公布编制和实施进展情况</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3</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饮水安全</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地级及以上城市自</w:t>
            </w:r>
            <w:r>
              <w:rPr>
                <w:rFonts w:ascii="Times New Roman" w:hAnsi="Times New Roman" w:eastAsia="黑体" w:cs="Times New Roman"/>
                <w:color w:val="000000"/>
                <w:kern w:val="0"/>
                <w:sz w:val="18"/>
                <w:szCs w:val="18"/>
              </w:rPr>
              <w:t>2016</w:t>
            </w:r>
            <w:r>
              <w:rPr>
                <w:rFonts w:hint="eastAsia" w:ascii="Times New Roman" w:hAnsi="Times New Roman" w:eastAsia="黑体" w:cs="Times New Roman"/>
                <w:color w:val="000000"/>
                <w:kern w:val="0"/>
                <w:sz w:val="18"/>
                <w:szCs w:val="18"/>
              </w:rPr>
              <w:t>年起每季度向社会公开。自</w:t>
            </w:r>
            <w:r>
              <w:rPr>
                <w:rFonts w:ascii="Times New Roman" w:hAnsi="Times New Roman" w:eastAsia="黑体" w:cs="Times New Roman"/>
                <w:color w:val="000000"/>
                <w:kern w:val="0"/>
                <w:sz w:val="18"/>
                <w:szCs w:val="18"/>
              </w:rPr>
              <w:t>2018</w:t>
            </w:r>
            <w:r>
              <w:rPr>
                <w:rFonts w:hint="eastAsia" w:ascii="Times New Roman" w:hAnsi="Times New Roman" w:eastAsia="黑体" w:cs="Times New Roman"/>
                <w:color w:val="000000"/>
                <w:kern w:val="0"/>
                <w:sz w:val="18"/>
                <w:szCs w:val="18"/>
              </w:rPr>
              <w:t>年起，所有县级及以上城市饮水安全状况信息都要向社会公开。</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4</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地下水污染场地清单</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5</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黑臭水体</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公布黑臭水体名称、责任人及达标期限。自</w:t>
            </w:r>
            <w:r>
              <w:rPr>
                <w:rFonts w:ascii="Times New Roman" w:hAnsi="Times New Roman" w:eastAsia="黑体" w:cs="Times New Roman"/>
                <w:color w:val="000000"/>
                <w:kern w:val="0"/>
                <w:sz w:val="18"/>
                <w:szCs w:val="18"/>
              </w:rPr>
              <w:t>2016</w:t>
            </w:r>
            <w:r>
              <w:rPr>
                <w:rFonts w:hint="eastAsia" w:ascii="Times New Roman" w:hAnsi="Times New Roman" w:eastAsia="黑体" w:cs="Times New Roman"/>
                <w:color w:val="000000"/>
                <w:kern w:val="0"/>
                <w:sz w:val="18"/>
                <w:szCs w:val="18"/>
              </w:rPr>
              <w:t>年起向社会公布治理情况。</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6</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水环境质量状况及其地市级排名（直辖市按区县排名）</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7</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重点排污单位</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主要污染物名称、排放方式、排放浓度和总量、超标排放情况、治污设施建设和运行等污染源环境信息</w:t>
            </w: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0"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ascii="Times New Roman" w:hAnsi="Times New Roman" w:eastAsia="黑体" w:cs="Times New Roman"/>
                <w:color w:val="000000"/>
                <w:kern w:val="0"/>
                <w:sz w:val="18"/>
                <w:szCs w:val="18"/>
              </w:rPr>
              <w:t>8</w:t>
            </w:r>
          </w:p>
        </w:tc>
        <w:tc>
          <w:tcPr>
            <w:tcW w:w="1209"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r>
              <w:rPr>
                <w:rFonts w:hint="eastAsia" w:ascii="Times New Roman" w:hAnsi="Times New Roman" w:eastAsia="黑体" w:cs="Times New Roman"/>
                <w:color w:val="000000"/>
                <w:kern w:val="0"/>
                <w:sz w:val="18"/>
                <w:szCs w:val="18"/>
              </w:rPr>
              <w:t>环境违法典型案件</w:t>
            </w:r>
          </w:p>
        </w:tc>
        <w:tc>
          <w:tcPr>
            <w:tcW w:w="2255" w:type="dxa"/>
            <w:vAlign w:val="center"/>
          </w:tcPr>
          <w:p>
            <w:pPr>
              <w:widowControl/>
              <w:adjustRightInd w:val="0"/>
              <w:snapToGrid w:val="0"/>
              <w:spacing w:line="200" w:lineRule="exact"/>
              <w:jc w:val="center"/>
              <w:rPr>
                <w:rFonts w:ascii="Times New Roman" w:hAnsi="Times New Roman" w:eastAsia="黑体" w:cs="Times New Roman"/>
                <w:color w:val="000000"/>
                <w:kern w:val="0"/>
                <w:sz w:val="18"/>
                <w:szCs w:val="18"/>
              </w:rPr>
            </w:pPr>
          </w:p>
        </w:tc>
        <w:tc>
          <w:tcPr>
            <w:tcW w:w="851"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134" w:type="dxa"/>
            <w:shd w:val="clear" w:color="auto" w:fill="auto"/>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59"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1042"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c>
          <w:tcPr>
            <w:tcW w:w="646" w:type="dxa"/>
            <w:vAlign w:val="center"/>
          </w:tcPr>
          <w:p>
            <w:pPr>
              <w:widowControl/>
              <w:adjustRightInd w:val="0"/>
              <w:snapToGrid w:val="0"/>
              <w:spacing w:line="200" w:lineRule="exact"/>
              <w:jc w:val="center"/>
              <w:rPr>
                <w:rFonts w:ascii="Times New Roman" w:hAnsi="Times New Roman" w:eastAsia="黑体" w:cs="Times New Roman"/>
                <w:color w:val="000000"/>
                <w:kern w:val="0"/>
                <w:sz w:val="15"/>
                <w:szCs w:val="15"/>
              </w:rPr>
            </w:pPr>
          </w:p>
        </w:tc>
      </w:tr>
    </w:tbl>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5</w:t>
      </w:r>
      <w:r>
        <w:rPr>
          <w:rFonts w:eastAsia="黑体"/>
          <w:sz w:val="24"/>
          <w:szCs w:val="24"/>
        </w:rPr>
        <w:t xml:space="preserve"> </w:t>
      </w:r>
      <w:r>
        <w:rPr>
          <w:rFonts w:hint="eastAsia" w:eastAsia="黑体"/>
          <w:sz w:val="24"/>
          <w:szCs w:val="24"/>
        </w:rPr>
        <w:t>饮用水安全信息按季度公开情况</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03"/>
        <w:gridCol w:w="4002"/>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10" w:type="dxa"/>
            <w:vAlign w:val="center"/>
          </w:tcPr>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分类</w:t>
            </w:r>
          </w:p>
        </w:tc>
        <w:tc>
          <w:tcPr>
            <w:tcW w:w="1103" w:type="dxa"/>
            <w:vAlign w:val="center"/>
          </w:tcPr>
          <w:p>
            <w:pPr>
              <w:adjustRightInd w:val="0"/>
              <w:snapToGrid w:val="0"/>
              <w:rPr>
                <w:rFonts w:ascii="Times New Roman" w:hAnsi="Times New Roman" w:eastAsia="黑体" w:cs="Times New Roman"/>
                <w:szCs w:val="21"/>
              </w:rPr>
            </w:pPr>
            <w:r>
              <w:rPr>
                <w:rFonts w:hint="eastAsia" w:ascii="Times New Roman" w:hAnsi="Times New Roman" w:eastAsia="黑体" w:cs="Times New Roman"/>
                <w:szCs w:val="21"/>
              </w:rPr>
              <w:t>城市总数</w:t>
            </w:r>
          </w:p>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（个）</w:t>
            </w:r>
          </w:p>
        </w:tc>
        <w:tc>
          <w:tcPr>
            <w:tcW w:w="4002" w:type="dxa"/>
            <w:vAlign w:val="center"/>
          </w:tcPr>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按季度公开饮用水水源、供水厂出水和用户龙头水等饮水安全状况的城市数（个）</w:t>
            </w:r>
          </w:p>
        </w:tc>
        <w:tc>
          <w:tcPr>
            <w:tcW w:w="1981" w:type="dxa"/>
            <w:vAlign w:val="center"/>
          </w:tcPr>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未公开的城市名单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210" w:type="dxa"/>
            <w:vAlign w:val="center"/>
          </w:tcPr>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地级及以上城市</w:t>
            </w:r>
          </w:p>
        </w:tc>
        <w:tc>
          <w:tcPr>
            <w:tcW w:w="1103" w:type="dxa"/>
            <w:vAlign w:val="center"/>
          </w:tcPr>
          <w:p>
            <w:pPr>
              <w:adjustRightInd w:val="0"/>
              <w:snapToGrid w:val="0"/>
              <w:jc w:val="center"/>
              <w:rPr>
                <w:rFonts w:ascii="Times New Roman" w:hAnsi="Times New Roman" w:eastAsia="黑体" w:cs="Times New Roman"/>
                <w:szCs w:val="21"/>
              </w:rPr>
            </w:pPr>
          </w:p>
        </w:tc>
        <w:tc>
          <w:tcPr>
            <w:tcW w:w="4002" w:type="dxa"/>
            <w:vAlign w:val="center"/>
          </w:tcPr>
          <w:p>
            <w:pPr>
              <w:adjustRightInd w:val="0"/>
              <w:snapToGrid w:val="0"/>
              <w:jc w:val="center"/>
              <w:rPr>
                <w:rFonts w:ascii="Times New Roman" w:hAnsi="Times New Roman" w:eastAsia="黑体" w:cs="Times New Roman"/>
                <w:szCs w:val="21"/>
              </w:rPr>
            </w:pPr>
          </w:p>
        </w:tc>
        <w:tc>
          <w:tcPr>
            <w:tcW w:w="1981" w:type="dxa"/>
            <w:vAlign w:val="center"/>
          </w:tcPr>
          <w:p>
            <w:pPr>
              <w:adjustRightInd w:val="0"/>
              <w:snapToGrid w:val="0"/>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10" w:type="dxa"/>
            <w:vAlign w:val="center"/>
          </w:tcPr>
          <w:p>
            <w:pPr>
              <w:adjustRightInd w:val="0"/>
              <w:snapToGrid w:val="0"/>
              <w:jc w:val="center"/>
              <w:rPr>
                <w:rFonts w:ascii="Times New Roman" w:hAnsi="Times New Roman" w:eastAsia="黑体" w:cs="Times New Roman"/>
                <w:szCs w:val="21"/>
              </w:rPr>
            </w:pPr>
            <w:r>
              <w:rPr>
                <w:rFonts w:hint="eastAsia" w:ascii="Times New Roman" w:hAnsi="Times New Roman" w:eastAsia="黑体" w:cs="Times New Roman"/>
                <w:szCs w:val="21"/>
              </w:rPr>
              <w:t>县级城市</w:t>
            </w:r>
          </w:p>
        </w:tc>
        <w:tc>
          <w:tcPr>
            <w:tcW w:w="1103" w:type="dxa"/>
            <w:vAlign w:val="center"/>
          </w:tcPr>
          <w:p>
            <w:pPr>
              <w:adjustRightInd w:val="0"/>
              <w:snapToGrid w:val="0"/>
              <w:jc w:val="center"/>
              <w:rPr>
                <w:rFonts w:ascii="Times New Roman" w:hAnsi="Times New Roman" w:eastAsia="黑体" w:cs="Times New Roman"/>
                <w:szCs w:val="21"/>
              </w:rPr>
            </w:pPr>
          </w:p>
        </w:tc>
        <w:tc>
          <w:tcPr>
            <w:tcW w:w="4002" w:type="dxa"/>
            <w:vAlign w:val="center"/>
          </w:tcPr>
          <w:p>
            <w:pPr>
              <w:adjustRightInd w:val="0"/>
              <w:snapToGrid w:val="0"/>
              <w:jc w:val="center"/>
              <w:rPr>
                <w:rFonts w:ascii="Times New Roman" w:hAnsi="Times New Roman" w:eastAsia="黑体" w:cs="Times New Roman"/>
                <w:szCs w:val="21"/>
              </w:rPr>
            </w:pPr>
          </w:p>
        </w:tc>
        <w:tc>
          <w:tcPr>
            <w:tcW w:w="1981" w:type="dxa"/>
            <w:vAlign w:val="center"/>
          </w:tcPr>
          <w:p>
            <w:pPr>
              <w:adjustRightInd w:val="0"/>
              <w:snapToGrid w:val="0"/>
              <w:jc w:val="center"/>
              <w:rPr>
                <w:rFonts w:ascii="Times New Roman" w:hAnsi="Times New Roman" w:eastAsia="黑体" w:cs="Times New Roman"/>
                <w:szCs w:val="21"/>
              </w:rPr>
            </w:pPr>
          </w:p>
        </w:tc>
      </w:tr>
    </w:tbl>
    <w:p>
      <w:pPr>
        <w:pStyle w:val="4"/>
        <w:ind w:firstLine="602"/>
        <w:rPr>
          <w:rFonts w:ascii="Times New Roman"/>
        </w:rPr>
      </w:pPr>
      <w:r>
        <w:rPr>
          <w:rFonts w:hint="eastAsia" w:ascii="Times New Roman"/>
        </w:rPr>
        <w:t>地方管理机制落实</w:t>
      </w:r>
    </w:p>
    <w:p>
      <w:pPr>
        <w:pStyle w:val="30"/>
      </w:pPr>
      <w:r>
        <w:rPr>
          <w:rFonts w:hint="eastAsia"/>
        </w:rPr>
        <w:t>自查环境质量达标方案的制定情况、重点工作管理台账建设情况（台账建设要求见附件</w:t>
      </w:r>
      <w:r>
        <w:t>3</w:t>
      </w:r>
      <w:r>
        <w:rPr>
          <w:rFonts w:hint="eastAsia"/>
        </w:rPr>
        <w:t>）、流域水生态环境功能分区管理体系研究进展及成果、信息报送情况。对未按时报送等情况的原因进行说明。</w:t>
      </w:r>
    </w:p>
    <w:p>
      <w:pPr>
        <w:pStyle w:val="30"/>
        <w:ind w:firstLine="480"/>
        <w:jc w:val="center"/>
        <w:rPr>
          <w:rFonts w:eastAsia="黑体"/>
          <w:sz w:val="24"/>
          <w:szCs w:val="24"/>
        </w:rPr>
      </w:pPr>
      <w:r>
        <w:rPr>
          <w:rFonts w:hint="eastAsia" w:eastAsia="黑体"/>
          <w:sz w:val="24"/>
          <w:szCs w:val="24"/>
        </w:rPr>
        <w:t>表</w:t>
      </w:r>
      <w:r>
        <w:rPr>
          <w:rFonts w:eastAsia="黑体"/>
          <w:sz w:val="24"/>
          <w:szCs w:val="24"/>
        </w:rPr>
        <w:t>1</w:t>
      </w:r>
      <w:r>
        <w:rPr>
          <w:rFonts w:hint="eastAsia" w:eastAsia="黑体"/>
          <w:sz w:val="24"/>
          <w:szCs w:val="24"/>
        </w:rPr>
        <w:t>6</w:t>
      </w:r>
      <w:r>
        <w:rPr>
          <w:rFonts w:eastAsia="黑体"/>
          <w:sz w:val="24"/>
          <w:szCs w:val="24"/>
        </w:rPr>
        <w:t xml:space="preserve"> </w:t>
      </w:r>
      <w:r>
        <w:rPr>
          <w:rFonts w:hint="eastAsia" w:eastAsia="黑体"/>
          <w:sz w:val="24"/>
          <w:szCs w:val="24"/>
        </w:rPr>
        <w:t>未达标水体达标方案编制、备案与公开情况</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072"/>
        <w:gridCol w:w="1072"/>
        <w:gridCol w:w="1077"/>
        <w:gridCol w:w="942"/>
        <w:gridCol w:w="1072"/>
        <w:gridCol w:w="82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4" w:type="dxa"/>
            <w:vMerge w:val="restart"/>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未达到责任书目标的水体数（个）</w:t>
            </w:r>
          </w:p>
        </w:tc>
        <w:tc>
          <w:tcPr>
            <w:tcW w:w="3221" w:type="dxa"/>
            <w:gridSpan w:val="3"/>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方案编制</w:t>
            </w:r>
          </w:p>
        </w:tc>
        <w:tc>
          <w:tcPr>
            <w:tcW w:w="942" w:type="dxa"/>
            <w:vMerge w:val="restart"/>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已备案的达标方案（个）</w:t>
            </w:r>
          </w:p>
        </w:tc>
        <w:tc>
          <w:tcPr>
            <w:tcW w:w="1072" w:type="dxa"/>
            <w:vMerge w:val="restart"/>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已向社会公开的达标方案（个）</w:t>
            </w:r>
          </w:p>
        </w:tc>
        <w:tc>
          <w:tcPr>
            <w:tcW w:w="1697" w:type="dxa"/>
            <w:gridSpan w:val="2"/>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364" w:type="dxa"/>
            <w:vMerge w:val="continue"/>
            <w:vAlign w:val="center"/>
          </w:tcPr>
          <w:p>
            <w:pPr>
              <w:widowControl/>
              <w:adjustRightInd w:val="0"/>
              <w:snapToGrid w:val="0"/>
              <w:jc w:val="center"/>
              <w:rPr>
                <w:rFonts w:ascii="Times New Roman" w:hAnsi="Times New Roman" w:eastAsia="黑体" w:cs="Times New Roman"/>
                <w:color w:val="000000"/>
                <w:kern w:val="0"/>
                <w:szCs w:val="21"/>
              </w:rPr>
            </w:pPr>
          </w:p>
        </w:tc>
        <w:tc>
          <w:tcPr>
            <w:tcW w:w="1072"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尚未编制的未达标水体数（个）</w:t>
            </w:r>
          </w:p>
        </w:tc>
        <w:tc>
          <w:tcPr>
            <w:tcW w:w="1072"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正在编制的未达标水体数（个）</w:t>
            </w:r>
          </w:p>
        </w:tc>
        <w:tc>
          <w:tcPr>
            <w:tcW w:w="1077"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完成方案的未达标水体数（个）</w:t>
            </w:r>
          </w:p>
        </w:tc>
        <w:tc>
          <w:tcPr>
            <w:tcW w:w="942" w:type="dxa"/>
            <w:vMerge w:val="continue"/>
            <w:vAlign w:val="center"/>
          </w:tcPr>
          <w:p>
            <w:pPr>
              <w:widowControl/>
              <w:adjustRightInd w:val="0"/>
              <w:snapToGrid w:val="0"/>
              <w:jc w:val="center"/>
              <w:rPr>
                <w:rFonts w:ascii="Times New Roman" w:hAnsi="Times New Roman" w:eastAsia="黑体" w:cs="Times New Roman"/>
                <w:color w:val="000000"/>
                <w:kern w:val="0"/>
                <w:szCs w:val="21"/>
              </w:rPr>
            </w:pPr>
          </w:p>
        </w:tc>
        <w:tc>
          <w:tcPr>
            <w:tcW w:w="1072" w:type="dxa"/>
            <w:vMerge w:val="continue"/>
            <w:vAlign w:val="center"/>
          </w:tcPr>
          <w:p>
            <w:pPr>
              <w:widowControl/>
              <w:adjustRightInd w:val="0"/>
              <w:snapToGrid w:val="0"/>
              <w:jc w:val="center"/>
              <w:rPr>
                <w:rFonts w:ascii="Times New Roman" w:hAnsi="Times New Roman" w:eastAsia="黑体" w:cs="Times New Roman"/>
                <w:color w:val="000000"/>
                <w:kern w:val="0"/>
                <w:szCs w:val="21"/>
              </w:rPr>
            </w:pPr>
          </w:p>
        </w:tc>
        <w:tc>
          <w:tcPr>
            <w:tcW w:w="821"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已完成工程量</w:t>
            </w:r>
          </w:p>
        </w:tc>
        <w:tc>
          <w:tcPr>
            <w:tcW w:w="876" w:type="dxa"/>
            <w:vAlign w:val="center"/>
          </w:tcPr>
          <w:p>
            <w:pPr>
              <w:widowControl/>
              <w:adjustRightInd w:val="0"/>
              <w:snapToGrid w:val="0"/>
              <w:jc w:val="center"/>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在建工程量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364" w:type="dxa"/>
            <w:vAlign w:val="center"/>
          </w:tcPr>
          <w:p>
            <w:pPr>
              <w:widowControl/>
              <w:jc w:val="center"/>
              <w:rPr>
                <w:rFonts w:ascii="Times New Roman" w:hAnsi="Times New Roman" w:cs="Times New Roman"/>
                <w:b/>
                <w:bCs/>
                <w:color w:val="000000"/>
                <w:kern w:val="0"/>
                <w:szCs w:val="21"/>
              </w:rPr>
            </w:pPr>
          </w:p>
        </w:tc>
        <w:tc>
          <w:tcPr>
            <w:tcW w:w="1072" w:type="dxa"/>
            <w:vAlign w:val="center"/>
          </w:tcPr>
          <w:p>
            <w:pPr>
              <w:widowControl/>
              <w:jc w:val="center"/>
              <w:rPr>
                <w:rFonts w:ascii="Times New Roman" w:hAnsi="Times New Roman" w:cs="Times New Roman"/>
                <w:b/>
                <w:bCs/>
                <w:color w:val="000000"/>
                <w:kern w:val="0"/>
                <w:szCs w:val="21"/>
              </w:rPr>
            </w:pPr>
          </w:p>
        </w:tc>
        <w:tc>
          <w:tcPr>
            <w:tcW w:w="1072" w:type="dxa"/>
            <w:vAlign w:val="center"/>
          </w:tcPr>
          <w:p>
            <w:pPr>
              <w:widowControl/>
              <w:jc w:val="center"/>
              <w:rPr>
                <w:rFonts w:ascii="Times New Roman" w:hAnsi="Times New Roman" w:cs="Times New Roman"/>
                <w:b/>
                <w:bCs/>
                <w:color w:val="000000"/>
                <w:kern w:val="0"/>
                <w:szCs w:val="21"/>
              </w:rPr>
            </w:pPr>
          </w:p>
        </w:tc>
        <w:tc>
          <w:tcPr>
            <w:tcW w:w="1077" w:type="dxa"/>
            <w:vAlign w:val="center"/>
          </w:tcPr>
          <w:p>
            <w:pPr>
              <w:widowControl/>
              <w:jc w:val="center"/>
              <w:rPr>
                <w:rFonts w:ascii="Times New Roman" w:hAnsi="Times New Roman" w:cs="Times New Roman"/>
                <w:b/>
                <w:bCs/>
                <w:color w:val="000000"/>
                <w:kern w:val="0"/>
                <w:szCs w:val="21"/>
              </w:rPr>
            </w:pPr>
          </w:p>
        </w:tc>
        <w:tc>
          <w:tcPr>
            <w:tcW w:w="942" w:type="dxa"/>
            <w:vAlign w:val="center"/>
          </w:tcPr>
          <w:p>
            <w:pPr>
              <w:widowControl/>
              <w:jc w:val="center"/>
              <w:rPr>
                <w:rFonts w:ascii="Times New Roman" w:hAnsi="Times New Roman" w:cs="Times New Roman"/>
                <w:b/>
                <w:bCs/>
                <w:color w:val="000000"/>
                <w:kern w:val="0"/>
                <w:szCs w:val="21"/>
              </w:rPr>
            </w:pPr>
          </w:p>
        </w:tc>
        <w:tc>
          <w:tcPr>
            <w:tcW w:w="1072" w:type="dxa"/>
            <w:vAlign w:val="center"/>
          </w:tcPr>
          <w:p>
            <w:pPr>
              <w:widowControl/>
              <w:jc w:val="center"/>
              <w:rPr>
                <w:rFonts w:ascii="Times New Roman" w:hAnsi="Times New Roman" w:cs="Times New Roman"/>
                <w:b/>
                <w:bCs/>
                <w:color w:val="000000"/>
                <w:kern w:val="0"/>
                <w:szCs w:val="21"/>
              </w:rPr>
            </w:pPr>
          </w:p>
        </w:tc>
        <w:tc>
          <w:tcPr>
            <w:tcW w:w="821" w:type="dxa"/>
            <w:vAlign w:val="center"/>
          </w:tcPr>
          <w:p>
            <w:pPr>
              <w:widowControl/>
              <w:jc w:val="center"/>
              <w:rPr>
                <w:rFonts w:ascii="Times New Roman" w:hAnsi="Times New Roman" w:cs="Times New Roman"/>
                <w:b/>
                <w:bCs/>
                <w:color w:val="000000"/>
                <w:kern w:val="0"/>
                <w:szCs w:val="21"/>
              </w:rPr>
            </w:pPr>
          </w:p>
        </w:tc>
        <w:tc>
          <w:tcPr>
            <w:tcW w:w="876" w:type="dxa"/>
            <w:vAlign w:val="center"/>
          </w:tcPr>
          <w:p>
            <w:pPr>
              <w:widowControl/>
              <w:jc w:val="center"/>
              <w:rPr>
                <w:rFonts w:ascii="Times New Roman" w:hAnsi="Times New Roman" w:cs="Times New Roman"/>
                <w:b/>
                <w:bCs/>
                <w:color w:val="000000"/>
                <w:kern w:val="0"/>
                <w:szCs w:val="21"/>
              </w:rPr>
            </w:pPr>
          </w:p>
        </w:tc>
      </w:tr>
    </w:tbl>
    <w:p>
      <w:pPr>
        <w:pStyle w:val="4"/>
        <w:ind w:firstLine="602"/>
        <w:rPr>
          <w:rFonts w:ascii="Times New Roman"/>
        </w:rPr>
      </w:pPr>
      <w:r>
        <w:rPr>
          <w:rFonts w:hint="eastAsia" w:ascii="Times New Roman"/>
        </w:rPr>
        <w:t>突发环境事件</w:t>
      </w:r>
    </w:p>
    <w:p>
      <w:pPr>
        <w:pStyle w:val="30"/>
      </w:pPr>
      <w:r>
        <w:rPr>
          <w:rFonts w:hint="eastAsia"/>
        </w:rPr>
        <w:t>根据《国家突发环境事件应急预案》，确定当年突发环境事件的等级，按环境事件等级进行自查扣分。</w:t>
      </w:r>
    </w:p>
    <w:p>
      <w:pPr>
        <w:pStyle w:val="30"/>
      </w:pPr>
      <w:r>
        <w:rPr>
          <w:rFonts w:hint="eastAsia"/>
        </w:rPr>
        <w:t>针对《水污染防治目标责任书》规定的各省（区、市）水污染防治重点任务，其他《水十条》有时限和目标要求的任务措施（如清洁化改造、农业面源、再生水利用等）的实施进展情况也要分别予以说明。</w:t>
      </w:r>
    </w:p>
    <w:p>
      <w:pPr>
        <w:pStyle w:val="2"/>
      </w:pPr>
      <w:bookmarkStart w:id="45" w:name="_Toc470183693"/>
      <w:bookmarkStart w:id="46" w:name="_Toc461612512"/>
      <w:bookmarkStart w:id="47" w:name="_Toc461612618"/>
      <w:r>
        <w:rPr>
          <w:rFonts w:hint="eastAsia"/>
        </w:rPr>
        <w:t>地方开展的特色工作、经验和主要成效</w:t>
      </w:r>
      <w:bookmarkEnd w:id="45"/>
      <w:bookmarkEnd w:id="46"/>
      <w:bookmarkEnd w:id="47"/>
    </w:p>
    <w:p>
      <w:pPr>
        <w:pStyle w:val="30"/>
      </w:pPr>
      <w:r>
        <w:rPr>
          <w:rFonts w:hint="eastAsia"/>
        </w:rPr>
        <w:t>总结实施《水十条》以来的成效和经验，以及各地为改善水环境质量采取的有效政策措施等。</w:t>
      </w:r>
    </w:p>
    <w:p>
      <w:pPr>
        <w:pStyle w:val="2"/>
      </w:pPr>
      <w:bookmarkStart w:id="48" w:name="_Toc470183694"/>
      <w:bookmarkStart w:id="49" w:name="_Toc461612513"/>
      <w:bookmarkStart w:id="50" w:name="_Toc461612619"/>
      <w:r>
        <w:rPr>
          <w:rFonts w:hint="eastAsia"/>
        </w:rPr>
        <w:t>存在的主要问题、困难及建议</w:t>
      </w:r>
      <w:bookmarkEnd w:id="48"/>
      <w:bookmarkEnd w:id="49"/>
      <w:bookmarkEnd w:id="50"/>
    </w:p>
    <w:p>
      <w:pPr>
        <w:pStyle w:val="30"/>
      </w:pPr>
      <w:r>
        <w:rPr>
          <w:rFonts w:hint="eastAsia"/>
        </w:rPr>
        <w:t>分析《水十条》实施过程中存在的问题、困难和不足，并提出相应的整改措施和建议。</w:t>
      </w:r>
    </w:p>
    <w:p>
      <w:pPr>
        <w:adjustRightInd w:val="0"/>
        <w:snapToGrid w:val="0"/>
        <w:spacing w:line="360" w:lineRule="auto"/>
        <w:ind w:firstLine="600" w:firstLineChars="200"/>
        <w:rPr>
          <w:rFonts w:ascii="Times New Roman" w:hAnsi="Times New Roman" w:eastAsia="仿宋_GB2312" w:cs="Times New Roman"/>
          <w:sz w:val="30"/>
          <w:szCs w:val="30"/>
        </w:rPr>
        <w:sectPr>
          <w:footerReference r:id="rId6" w:type="default"/>
          <w:pgSz w:w="11906" w:h="16838"/>
          <w:pgMar w:top="1440" w:right="1800" w:bottom="1440" w:left="1800" w:header="851" w:footer="992" w:gutter="0"/>
          <w:pgNumType w:start="1"/>
          <w:cols w:space="425" w:num="1"/>
          <w:docGrid w:type="lines" w:linePitch="312" w:charSpace="0"/>
        </w:sectPr>
      </w:pPr>
    </w:p>
    <w:p>
      <w:pPr>
        <w:pStyle w:val="3"/>
        <w:numPr>
          <w:ilvl w:val="0"/>
          <w:numId w:val="0"/>
        </w:numPr>
        <w:ind w:firstLine="200"/>
      </w:pPr>
      <w:bookmarkStart w:id="51" w:name="_Toc470183695"/>
      <w:bookmarkStart w:id="52" w:name="_Toc461612514"/>
      <w:r>
        <w:rPr>
          <w:rFonts w:hint="eastAsia"/>
        </w:rPr>
        <w:t>附件</w:t>
      </w:r>
      <w:r>
        <w:t>1</w:t>
      </w:r>
      <w:r>
        <w:rPr>
          <w:rFonts w:hint="eastAsia"/>
        </w:rPr>
        <w:t>：自查评分表</w:t>
      </w:r>
      <w:bookmarkEnd w:id="51"/>
      <w:bookmarkEnd w:id="52"/>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1-1</w:t>
      </w:r>
      <w:r>
        <w:rPr>
          <w:rFonts w:hint="eastAsia" w:ascii="华文中宋" w:hAnsi="华文中宋" w:eastAsia="华文中宋"/>
          <w:sz w:val="28"/>
          <w:szCs w:val="28"/>
        </w:rPr>
        <w:t>：</w:t>
      </w:r>
      <w:r>
        <w:rPr>
          <w:rFonts w:hint="eastAsia" w:ascii="华文中宋" w:hAnsi="华文中宋" w:eastAsia="华文中宋"/>
          <w:sz w:val="28"/>
          <w:szCs w:val="28"/>
          <w:u w:val="single"/>
        </w:rPr>
        <w:t xml:space="preserve">   </w:t>
      </w:r>
      <w:r>
        <w:rPr>
          <w:rFonts w:hint="eastAsia" w:ascii="华文中宋" w:hAnsi="华文中宋" w:eastAsia="华文中宋"/>
          <w:i/>
          <w:sz w:val="28"/>
          <w:szCs w:val="28"/>
          <w:u w:val="single"/>
        </w:rPr>
        <w:t xml:space="preserve"> </w:t>
      </w:r>
      <w:r>
        <w:rPr>
          <w:rFonts w:hint="eastAsia" w:ascii="华文中宋" w:hAnsi="华文中宋" w:eastAsia="华文中宋"/>
          <w:sz w:val="28"/>
          <w:szCs w:val="28"/>
        </w:rPr>
        <w:t>省（区、市）</w:t>
      </w:r>
      <w:r>
        <w:rPr>
          <w:rFonts w:hint="eastAsia" w:ascii="华文中宋" w:hAnsi="华文中宋" w:eastAsia="华文中宋"/>
          <w:sz w:val="28"/>
          <w:szCs w:val="28"/>
          <w:u w:val="single"/>
        </w:rPr>
        <w:t xml:space="preserve">    </w:t>
      </w:r>
      <w:r>
        <w:rPr>
          <w:rFonts w:hint="eastAsia" w:ascii="华文中宋" w:hAnsi="华文中宋" w:eastAsia="华文中宋"/>
          <w:sz w:val="28"/>
          <w:szCs w:val="28"/>
        </w:rPr>
        <w:t>年度水环境质量目标完成情况评分表</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81"/>
        <w:gridCol w:w="3618"/>
        <w:gridCol w:w="1266"/>
        <w:gridCol w:w="1200"/>
        <w:gridCol w:w="1052"/>
        <w:gridCol w:w="901"/>
        <w:gridCol w:w="750"/>
        <w:gridCol w:w="750"/>
        <w:gridCol w:w="120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679"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1481"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考核内容</w:t>
            </w:r>
          </w:p>
        </w:tc>
        <w:tc>
          <w:tcPr>
            <w:tcW w:w="3618"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考核事项</w:t>
            </w:r>
          </w:p>
        </w:tc>
        <w:tc>
          <w:tcPr>
            <w:tcW w:w="1266"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分值</w:t>
            </w:r>
          </w:p>
        </w:tc>
        <w:tc>
          <w:tcPr>
            <w:tcW w:w="1200"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年度目标要求</w:t>
            </w:r>
          </w:p>
        </w:tc>
        <w:tc>
          <w:tcPr>
            <w:tcW w:w="1052"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当年实际比例</w:t>
            </w:r>
          </w:p>
        </w:tc>
        <w:tc>
          <w:tcPr>
            <w:tcW w:w="3603" w:type="dxa"/>
            <w:gridSpan w:val="4"/>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自查</w:t>
            </w:r>
          </w:p>
        </w:tc>
        <w:tc>
          <w:tcPr>
            <w:tcW w:w="1049" w:type="dxa"/>
            <w:vMerge w:val="restart"/>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9"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1481"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3618"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1266"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1200"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1052"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c>
          <w:tcPr>
            <w:tcW w:w="901" w:type="dxa"/>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计分</w:t>
            </w:r>
          </w:p>
        </w:tc>
        <w:tc>
          <w:tcPr>
            <w:tcW w:w="750" w:type="dxa"/>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加分</w:t>
            </w:r>
          </w:p>
        </w:tc>
        <w:tc>
          <w:tcPr>
            <w:tcW w:w="750" w:type="dxa"/>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扣分</w:t>
            </w:r>
          </w:p>
        </w:tc>
        <w:tc>
          <w:tcPr>
            <w:tcW w:w="1202" w:type="dxa"/>
            <w:shd w:val="clear" w:color="000000" w:fill="FFFFFF"/>
            <w:vAlign w:val="center"/>
          </w:tcPr>
          <w:p>
            <w:pPr>
              <w:widowControl/>
              <w:spacing w:line="240" w:lineRule="exact"/>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实际得分</w:t>
            </w:r>
          </w:p>
        </w:tc>
        <w:tc>
          <w:tcPr>
            <w:tcW w:w="1049" w:type="dxa"/>
            <w:vMerge w:val="continue"/>
            <w:vAlign w:val="center"/>
          </w:tcPr>
          <w:p>
            <w:pPr>
              <w:widowControl/>
              <w:spacing w:line="240" w:lineRule="exact"/>
              <w:jc w:val="left"/>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9" w:type="dxa"/>
            <w:vMerge w:val="restart"/>
            <w:shd w:val="clear" w:color="000000" w:fill="FFFFFF"/>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一</w:t>
            </w:r>
          </w:p>
        </w:tc>
        <w:tc>
          <w:tcPr>
            <w:tcW w:w="1481" w:type="dxa"/>
            <w:vMerge w:val="restart"/>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地表水</w:t>
            </w:r>
          </w:p>
        </w:tc>
        <w:tc>
          <w:tcPr>
            <w:tcW w:w="3618" w:type="dxa"/>
            <w:shd w:val="clear" w:color="000000" w:fill="FFFFFF"/>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地表水水质优良比例</w:t>
            </w:r>
          </w:p>
        </w:tc>
        <w:tc>
          <w:tcPr>
            <w:tcW w:w="1266" w:type="dxa"/>
            <w:shd w:val="clear" w:color="000000" w:fill="FFFFFF"/>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30</w:t>
            </w:r>
            <w:r>
              <w:rPr>
                <w:rFonts w:hint="eastAsia" w:ascii="Times New Roman" w:hAnsi="Times New Roman" w:cs="Times New Roman"/>
                <w:color w:val="000000"/>
                <w:kern w:val="0"/>
                <w:szCs w:val="21"/>
              </w:rPr>
              <w:t>）</w:t>
            </w:r>
          </w:p>
        </w:tc>
        <w:tc>
          <w:tcPr>
            <w:tcW w:w="1200" w:type="dxa"/>
            <w:shd w:val="clear" w:color="auto" w:fill="auto"/>
            <w:vAlign w:val="center"/>
          </w:tcPr>
          <w:p>
            <w:pPr>
              <w:widowControl/>
              <w:jc w:val="center"/>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vMerge w:val="restart"/>
            <w:shd w:val="clear" w:color="auto" w:fill="auto"/>
            <w:vAlign w:val="center"/>
          </w:tcPr>
          <w:p>
            <w:pPr>
              <w:widowControl/>
              <w:jc w:val="center"/>
              <w:rPr>
                <w:rFonts w:ascii="Times New Roman" w:hAnsi="Times New Roman" w:cs="Times New Roman"/>
                <w:color w:val="000000"/>
                <w:kern w:val="0"/>
                <w:szCs w:val="21"/>
              </w:rPr>
            </w:pPr>
          </w:p>
        </w:tc>
        <w:tc>
          <w:tcPr>
            <w:tcW w:w="750" w:type="dxa"/>
            <w:vMerge w:val="restart"/>
            <w:shd w:val="clear" w:color="auto" w:fill="auto"/>
            <w:vAlign w:val="center"/>
          </w:tcPr>
          <w:p>
            <w:pPr>
              <w:widowControl/>
              <w:jc w:val="center"/>
              <w:rPr>
                <w:rFonts w:ascii="Times New Roman" w:hAnsi="Times New Roman" w:cs="Times New Roman"/>
                <w:color w:val="000000"/>
                <w:kern w:val="0"/>
                <w:szCs w:val="21"/>
              </w:rPr>
            </w:pPr>
          </w:p>
        </w:tc>
        <w:tc>
          <w:tcPr>
            <w:tcW w:w="1202" w:type="dxa"/>
            <w:vMerge w:val="restart"/>
            <w:shd w:val="clear" w:color="auto" w:fill="auto"/>
            <w:vAlign w:val="center"/>
          </w:tcPr>
          <w:p>
            <w:pPr>
              <w:widowControl/>
              <w:jc w:val="left"/>
              <w:rPr>
                <w:rFonts w:ascii="Times New Roman" w:hAnsi="Times New Roman" w:cs="Times New Roman"/>
                <w:color w:val="000000"/>
                <w:kern w:val="0"/>
                <w:szCs w:val="21"/>
              </w:rPr>
            </w:pPr>
          </w:p>
        </w:tc>
        <w:tc>
          <w:tcPr>
            <w:tcW w:w="1049" w:type="dxa"/>
            <w:vMerge w:val="restart"/>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9" w:type="dxa"/>
            <w:vMerge w:val="continue"/>
            <w:vAlign w:val="center"/>
          </w:tcPr>
          <w:p>
            <w:pPr>
              <w:widowControl/>
              <w:jc w:val="left"/>
              <w:rPr>
                <w:rFonts w:ascii="Times New Roman" w:hAnsi="Times New Roman" w:cs="Times New Roman"/>
                <w:color w:val="000000"/>
                <w:kern w:val="0"/>
                <w:szCs w:val="21"/>
              </w:rPr>
            </w:pPr>
          </w:p>
        </w:tc>
        <w:tc>
          <w:tcPr>
            <w:tcW w:w="1481" w:type="dxa"/>
            <w:vMerge w:val="continue"/>
            <w:vAlign w:val="center"/>
          </w:tcPr>
          <w:p>
            <w:pPr>
              <w:widowControl/>
              <w:jc w:val="left"/>
              <w:rPr>
                <w:rFonts w:ascii="Times New Roman" w:hAnsi="Times New Roman" w:cs="Times New Roman"/>
                <w:color w:val="000000"/>
                <w:kern w:val="0"/>
                <w:szCs w:val="21"/>
              </w:rPr>
            </w:pPr>
          </w:p>
        </w:tc>
        <w:tc>
          <w:tcPr>
            <w:tcW w:w="3618" w:type="dxa"/>
            <w:shd w:val="clear" w:color="000000" w:fill="FFFFFF"/>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地表水劣</w:t>
            </w:r>
            <w:r>
              <w:rPr>
                <w:rFonts w:hint="eastAsia" w:ascii="宋体" w:hAnsi="宋体" w:eastAsia="宋体" w:cs="宋体"/>
                <w:color w:val="000000"/>
                <w:kern w:val="0"/>
                <w:szCs w:val="21"/>
              </w:rPr>
              <w:t>Ⅴ</w:t>
            </w:r>
            <w:r>
              <w:rPr>
                <w:rFonts w:hint="eastAsia" w:ascii="Times New Roman" w:hAnsi="Times New Roman" w:cs="Times New Roman"/>
                <w:color w:val="000000"/>
                <w:kern w:val="0"/>
                <w:szCs w:val="21"/>
              </w:rPr>
              <w:t>类水体控制比例</w:t>
            </w:r>
          </w:p>
        </w:tc>
        <w:tc>
          <w:tcPr>
            <w:tcW w:w="1266" w:type="dxa"/>
            <w:shd w:val="clear" w:color="000000" w:fill="FFFFFF"/>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200" w:type="dxa"/>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vMerge w:val="continue"/>
            <w:vAlign w:val="center"/>
          </w:tcPr>
          <w:p>
            <w:pPr>
              <w:widowControl/>
              <w:jc w:val="left"/>
              <w:rPr>
                <w:rFonts w:ascii="Times New Roman" w:hAnsi="Times New Roman" w:cs="Times New Roman"/>
                <w:color w:val="000000"/>
                <w:kern w:val="0"/>
                <w:szCs w:val="21"/>
              </w:rPr>
            </w:pPr>
          </w:p>
        </w:tc>
        <w:tc>
          <w:tcPr>
            <w:tcW w:w="750" w:type="dxa"/>
            <w:vMerge w:val="continue"/>
            <w:vAlign w:val="center"/>
          </w:tcPr>
          <w:p>
            <w:pPr>
              <w:widowControl/>
              <w:jc w:val="left"/>
              <w:rPr>
                <w:rFonts w:ascii="Times New Roman" w:hAnsi="Times New Roman" w:cs="Times New Roman"/>
                <w:color w:val="000000"/>
                <w:kern w:val="0"/>
                <w:szCs w:val="21"/>
              </w:rPr>
            </w:pPr>
          </w:p>
        </w:tc>
        <w:tc>
          <w:tcPr>
            <w:tcW w:w="1202" w:type="dxa"/>
            <w:vMerge w:val="continue"/>
            <w:shd w:val="clear" w:color="auto" w:fill="auto"/>
            <w:vAlign w:val="center"/>
          </w:tcPr>
          <w:p>
            <w:pPr>
              <w:widowControl/>
              <w:jc w:val="left"/>
              <w:rPr>
                <w:rFonts w:ascii="Times New Roman" w:hAnsi="Times New Roman" w:cs="Times New Roman"/>
                <w:color w:val="000000"/>
                <w:kern w:val="0"/>
                <w:szCs w:val="21"/>
              </w:rPr>
            </w:pPr>
          </w:p>
        </w:tc>
        <w:tc>
          <w:tcPr>
            <w:tcW w:w="1049" w:type="dxa"/>
            <w:vMerge w:val="continue"/>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67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二</w:t>
            </w:r>
          </w:p>
        </w:tc>
        <w:tc>
          <w:tcPr>
            <w:tcW w:w="148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黑臭水体</w:t>
            </w:r>
          </w:p>
        </w:tc>
        <w:tc>
          <w:tcPr>
            <w:tcW w:w="361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地级及以上城市建成区黑臭水体控制比例</w:t>
            </w:r>
          </w:p>
        </w:tc>
        <w:tc>
          <w:tcPr>
            <w:tcW w:w="1266"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200" w:type="dxa"/>
            <w:shd w:val="clear" w:color="auto" w:fill="auto"/>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1202" w:type="dxa"/>
            <w:shd w:val="clear" w:color="auto" w:fill="auto"/>
            <w:vAlign w:val="center"/>
          </w:tcPr>
          <w:p>
            <w:pPr>
              <w:widowControl/>
              <w:jc w:val="left"/>
              <w:rPr>
                <w:rFonts w:ascii="Times New Roman" w:hAnsi="Times New Roman" w:cs="Times New Roman"/>
                <w:color w:val="000000"/>
                <w:kern w:val="0"/>
                <w:szCs w:val="21"/>
              </w:rPr>
            </w:pPr>
          </w:p>
        </w:tc>
        <w:tc>
          <w:tcPr>
            <w:tcW w:w="1049" w:type="dxa"/>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67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三</w:t>
            </w:r>
          </w:p>
        </w:tc>
        <w:tc>
          <w:tcPr>
            <w:tcW w:w="148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饮用水水源</w:t>
            </w:r>
          </w:p>
        </w:tc>
        <w:tc>
          <w:tcPr>
            <w:tcW w:w="361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地级及以上城市集中式饮用水水源水质达到或优于</w:t>
            </w:r>
            <w:r>
              <w:rPr>
                <w:rFonts w:hint="eastAsia" w:ascii="宋体" w:hAnsi="宋体" w:eastAsia="宋体" w:cs="宋体"/>
                <w:color w:val="000000"/>
                <w:kern w:val="0"/>
                <w:szCs w:val="21"/>
              </w:rPr>
              <w:t>Ⅲ</w:t>
            </w:r>
            <w:r>
              <w:rPr>
                <w:rFonts w:hint="eastAsia" w:ascii="Times New Roman" w:hAnsi="Times New Roman" w:cs="Times New Roman"/>
                <w:color w:val="000000"/>
                <w:kern w:val="0"/>
                <w:szCs w:val="21"/>
              </w:rPr>
              <w:t>类比例</w:t>
            </w:r>
          </w:p>
        </w:tc>
        <w:tc>
          <w:tcPr>
            <w:tcW w:w="1266"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00" w:type="dxa"/>
            <w:shd w:val="clear" w:color="auto" w:fill="auto"/>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1202" w:type="dxa"/>
            <w:shd w:val="clear" w:color="auto" w:fill="auto"/>
            <w:vAlign w:val="center"/>
          </w:tcPr>
          <w:p>
            <w:pPr>
              <w:widowControl/>
              <w:jc w:val="left"/>
              <w:rPr>
                <w:rFonts w:ascii="Times New Roman" w:hAnsi="Times New Roman" w:cs="Times New Roman"/>
                <w:color w:val="000000"/>
                <w:kern w:val="0"/>
                <w:szCs w:val="21"/>
              </w:rPr>
            </w:pPr>
          </w:p>
        </w:tc>
        <w:tc>
          <w:tcPr>
            <w:tcW w:w="1049" w:type="dxa"/>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四</w:t>
            </w:r>
          </w:p>
        </w:tc>
        <w:tc>
          <w:tcPr>
            <w:tcW w:w="148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地下水</w:t>
            </w:r>
          </w:p>
        </w:tc>
        <w:tc>
          <w:tcPr>
            <w:tcW w:w="361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地下水质量极差控制比例</w:t>
            </w:r>
          </w:p>
        </w:tc>
        <w:tc>
          <w:tcPr>
            <w:tcW w:w="1266"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200" w:type="dxa"/>
            <w:shd w:val="clear" w:color="auto" w:fill="auto"/>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1202" w:type="dxa"/>
            <w:shd w:val="clear" w:color="auto" w:fill="auto"/>
            <w:vAlign w:val="center"/>
          </w:tcPr>
          <w:p>
            <w:pPr>
              <w:widowControl/>
              <w:jc w:val="left"/>
              <w:rPr>
                <w:rFonts w:ascii="Times New Roman" w:hAnsi="Times New Roman" w:cs="Times New Roman"/>
                <w:color w:val="000000"/>
                <w:kern w:val="0"/>
                <w:szCs w:val="21"/>
              </w:rPr>
            </w:pPr>
          </w:p>
        </w:tc>
        <w:tc>
          <w:tcPr>
            <w:tcW w:w="1049" w:type="dxa"/>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79"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五</w:t>
            </w:r>
          </w:p>
        </w:tc>
        <w:tc>
          <w:tcPr>
            <w:tcW w:w="1481"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近岸海域</w:t>
            </w:r>
          </w:p>
        </w:tc>
        <w:tc>
          <w:tcPr>
            <w:tcW w:w="3618"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近岸海域水质状况</w:t>
            </w:r>
          </w:p>
        </w:tc>
        <w:tc>
          <w:tcPr>
            <w:tcW w:w="1266"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10</w:t>
            </w:r>
            <w:r>
              <w:rPr>
                <w:rFonts w:hint="eastAsia" w:ascii="Times New Roman" w:hAnsi="Times New Roman" w:cs="Times New Roman"/>
                <w:color w:val="000000"/>
                <w:kern w:val="0"/>
                <w:szCs w:val="21"/>
              </w:rPr>
              <w:t>）</w:t>
            </w:r>
          </w:p>
        </w:tc>
        <w:tc>
          <w:tcPr>
            <w:tcW w:w="1200" w:type="dxa"/>
            <w:shd w:val="clear" w:color="auto" w:fill="auto"/>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1202" w:type="dxa"/>
            <w:shd w:val="clear" w:color="auto" w:fill="auto"/>
            <w:vAlign w:val="center"/>
          </w:tcPr>
          <w:p>
            <w:pPr>
              <w:widowControl/>
              <w:jc w:val="left"/>
              <w:rPr>
                <w:rFonts w:ascii="Times New Roman" w:hAnsi="Times New Roman" w:cs="Times New Roman"/>
                <w:color w:val="000000"/>
                <w:kern w:val="0"/>
                <w:szCs w:val="21"/>
              </w:rPr>
            </w:pPr>
          </w:p>
        </w:tc>
        <w:tc>
          <w:tcPr>
            <w:tcW w:w="1049" w:type="dxa"/>
            <w:shd w:val="clear" w:color="auto" w:fill="auto"/>
            <w:vAlign w:val="center"/>
          </w:tcPr>
          <w:p>
            <w:pPr>
              <w:widowControl/>
              <w:jc w:val="left"/>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778" w:type="dxa"/>
            <w:gridSpan w:val="3"/>
            <w:shd w:val="clear" w:color="auto" w:fill="auto"/>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合计</w:t>
            </w:r>
          </w:p>
        </w:tc>
        <w:tc>
          <w:tcPr>
            <w:tcW w:w="1266"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100</w:t>
            </w:r>
          </w:p>
        </w:tc>
        <w:tc>
          <w:tcPr>
            <w:tcW w:w="1200" w:type="dxa"/>
            <w:shd w:val="clear" w:color="auto" w:fill="auto"/>
            <w:vAlign w:val="center"/>
          </w:tcPr>
          <w:p>
            <w:pPr>
              <w:widowControl/>
              <w:jc w:val="left"/>
              <w:rPr>
                <w:rFonts w:ascii="Times New Roman" w:hAnsi="Times New Roman" w:cs="Times New Roman"/>
                <w:color w:val="000000"/>
                <w:kern w:val="0"/>
                <w:szCs w:val="21"/>
              </w:rPr>
            </w:pPr>
          </w:p>
        </w:tc>
        <w:tc>
          <w:tcPr>
            <w:tcW w:w="1052" w:type="dxa"/>
            <w:shd w:val="clear" w:color="auto" w:fill="auto"/>
            <w:vAlign w:val="center"/>
          </w:tcPr>
          <w:p>
            <w:pPr>
              <w:widowControl/>
              <w:jc w:val="left"/>
              <w:rPr>
                <w:rFonts w:ascii="Times New Roman" w:hAnsi="Times New Roman" w:cs="Times New Roman"/>
                <w:color w:val="000000"/>
                <w:kern w:val="0"/>
                <w:szCs w:val="21"/>
              </w:rPr>
            </w:pPr>
          </w:p>
        </w:tc>
        <w:tc>
          <w:tcPr>
            <w:tcW w:w="901"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750" w:type="dxa"/>
            <w:shd w:val="clear" w:color="auto" w:fill="auto"/>
            <w:vAlign w:val="center"/>
          </w:tcPr>
          <w:p>
            <w:pPr>
              <w:widowControl/>
              <w:jc w:val="left"/>
              <w:rPr>
                <w:rFonts w:ascii="Times New Roman" w:hAnsi="Times New Roman" w:cs="Times New Roman"/>
                <w:color w:val="000000"/>
                <w:kern w:val="0"/>
                <w:szCs w:val="21"/>
              </w:rPr>
            </w:pPr>
          </w:p>
        </w:tc>
        <w:tc>
          <w:tcPr>
            <w:tcW w:w="1202" w:type="dxa"/>
            <w:shd w:val="clear" w:color="auto" w:fill="auto"/>
            <w:vAlign w:val="center"/>
          </w:tcPr>
          <w:p>
            <w:pPr>
              <w:widowControl/>
              <w:jc w:val="left"/>
              <w:rPr>
                <w:rFonts w:ascii="Times New Roman" w:hAnsi="Times New Roman" w:cs="Times New Roman"/>
                <w:color w:val="000000"/>
                <w:kern w:val="0"/>
                <w:szCs w:val="21"/>
              </w:rPr>
            </w:pPr>
          </w:p>
        </w:tc>
        <w:tc>
          <w:tcPr>
            <w:tcW w:w="1049" w:type="dxa"/>
            <w:shd w:val="clear" w:color="auto" w:fill="auto"/>
            <w:vAlign w:val="center"/>
          </w:tcPr>
          <w:p>
            <w:pPr>
              <w:widowControl/>
              <w:jc w:val="left"/>
              <w:rPr>
                <w:rFonts w:ascii="Times New Roman" w:hAnsi="Times New Roman" w:cs="Times New Roman"/>
                <w:color w:val="000000"/>
                <w:kern w:val="0"/>
                <w:szCs w:val="21"/>
              </w:rPr>
            </w:pPr>
          </w:p>
        </w:tc>
      </w:tr>
    </w:tbl>
    <w:p>
      <w:pPr>
        <w:adjustRightInd w:val="0"/>
        <w:snapToGrid w:val="0"/>
        <w:ind w:firstLine="420" w:firstLineChars="200"/>
        <w:rPr>
          <w:rFonts w:ascii="Times New Roman" w:hAnsi="Times New Roman" w:cs="Times New Roman"/>
          <w:szCs w:val="30"/>
        </w:rPr>
      </w:pPr>
      <w:r>
        <w:rPr>
          <w:rFonts w:hint="eastAsia" w:ascii="Times New Roman" w:hAnsi="Times New Roman" w:cs="Times New Roman"/>
          <w:szCs w:val="30"/>
        </w:rPr>
        <w:t>注：</w:t>
      </w:r>
      <w:r>
        <w:rPr>
          <w:rFonts w:ascii="Times New Roman" w:hAnsi="Times New Roman" w:cs="Times New Roman"/>
          <w:szCs w:val="30"/>
        </w:rPr>
        <w:t>1</w:t>
      </w:r>
      <w:r>
        <w:rPr>
          <w:rFonts w:hint="eastAsia" w:ascii="Times New Roman" w:hAnsi="Times New Roman" w:cs="Times New Roman"/>
          <w:szCs w:val="30"/>
        </w:rPr>
        <w:t>、分值中括号内为沿海</w:t>
      </w:r>
      <w:r>
        <w:rPr>
          <w:rFonts w:ascii="Times New Roman" w:hAnsi="Times New Roman" w:cs="Times New Roman"/>
          <w:szCs w:val="30"/>
        </w:rPr>
        <w:t>11</w:t>
      </w:r>
      <w:r>
        <w:rPr>
          <w:rFonts w:hint="eastAsia" w:ascii="Times New Roman" w:hAnsi="Times New Roman" w:cs="Times New Roman"/>
          <w:szCs w:val="30"/>
        </w:rPr>
        <w:t>个省份（辽宁、天津、河北、山东、江苏、上海、浙江、福建、广东、广西、海南）的考核分值。</w:t>
      </w:r>
    </w:p>
    <w:p>
      <w:pPr>
        <w:adjustRightInd w:val="0"/>
        <w:snapToGrid w:val="0"/>
        <w:ind w:firstLine="420" w:firstLineChars="200"/>
        <w:rPr>
          <w:rFonts w:ascii="Times New Roman" w:hAnsi="Times New Roman" w:cs="Times New Roman"/>
          <w:szCs w:val="30"/>
        </w:rPr>
      </w:pPr>
      <w:r>
        <w:rPr>
          <w:rFonts w:ascii="Times New Roman" w:hAnsi="Times New Roman" w:cs="Times New Roman"/>
          <w:szCs w:val="30"/>
        </w:rPr>
        <w:t>2</w:t>
      </w:r>
      <w:r>
        <w:rPr>
          <w:rFonts w:hint="eastAsia" w:ascii="Times New Roman" w:hAnsi="Times New Roman" w:cs="Times New Roman"/>
          <w:szCs w:val="30"/>
        </w:rPr>
        <w:t>、年度目标要求：根据《目标责任书》</w:t>
      </w:r>
      <w:r>
        <w:rPr>
          <w:rFonts w:ascii="Times New Roman" w:hAnsi="Times New Roman" w:cs="Times New Roman"/>
          <w:szCs w:val="30"/>
        </w:rPr>
        <w:t>“</w:t>
      </w:r>
      <w:r>
        <w:rPr>
          <w:rFonts w:hint="eastAsia" w:ascii="Times New Roman" w:hAnsi="Times New Roman" w:cs="Times New Roman"/>
          <w:szCs w:val="30"/>
        </w:rPr>
        <w:t>附表</w:t>
      </w:r>
      <w:r>
        <w:rPr>
          <w:rFonts w:ascii="Times New Roman" w:hAnsi="Times New Roman" w:cs="Times New Roman"/>
          <w:szCs w:val="30"/>
        </w:rPr>
        <w:t>1-1</w:t>
      </w:r>
      <w:r>
        <w:rPr>
          <w:rFonts w:hint="eastAsia" w:ascii="Times New Roman" w:hAnsi="Times New Roman" w:cs="Times New Roman"/>
          <w:szCs w:val="30"/>
        </w:rPr>
        <w:t>地表水水质优良</w:t>
      </w:r>
      <w:r>
        <w:rPr>
          <w:rFonts w:ascii="Times New Roman" w:hAnsi="Times New Roman" w:cs="Times New Roman"/>
          <w:szCs w:val="30"/>
        </w:rPr>
        <w:t>(</w:t>
      </w:r>
      <w:r>
        <w:rPr>
          <w:rFonts w:hint="eastAsia" w:ascii="Times New Roman" w:hAnsi="Times New Roman" w:cs="Times New Roman"/>
          <w:szCs w:val="30"/>
        </w:rPr>
        <w:t>达到或优于</w:t>
      </w:r>
      <w:r>
        <w:rPr>
          <w:rFonts w:hint="eastAsia" w:ascii="宋体" w:hAnsi="宋体" w:eastAsia="宋体" w:cs="宋体"/>
          <w:szCs w:val="30"/>
        </w:rPr>
        <w:t>Ⅲ</w:t>
      </w:r>
      <w:r>
        <w:rPr>
          <w:rFonts w:hint="eastAsia" w:ascii="Times New Roman" w:hAnsi="Times New Roman" w:cs="Times New Roman"/>
          <w:szCs w:val="30"/>
        </w:rPr>
        <w:t>类</w:t>
      </w:r>
      <w:r>
        <w:rPr>
          <w:rFonts w:ascii="Times New Roman" w:hAnsi="Times New Roman" w:cs="Times New Roman"/>
          <w:szCs w:val="30"/>
        </w:rPr>
        <w:t>)</w:t>
      </w:r>
      <w:r>
        <w:rPr>
          <w:rFonts w:hint="eastAsia" w:ascii="Times New Roman" w:hAnsi="Times New Roman" w:cs="Times New Roman"/>
          <w:szCs w:val="30"/>
        </w:rPr>
        <w:t>比例目标和附表</w:t>
      </w:r>
      <w:r>
        <w:rPr>
          <w:rFonts w:ascii="Times New Roman" w:hAnsi="Times New Roman" w:cs="Times New Roman"/>
          <w:szCs w:val="30"/>
        </w:rPr>
        <w:t>1-2</w:t>
      </w:r>
      <w:r>
        <w:rPr>
          <w:rFonts w:hint="eastAsia" w:ascii="Times New Roman" w:hAnsi="Times New Roman" w:cs="Times New Roman"/>
          <w:szCs w:val="30"/>
        </w:rPr>
        <w:t>地表水丧失使用功能（劣于</w:t>
      </w:r>
      <w:r>
        <w:rPr>
          <w:rFonts w:ascii="Times New Roman" w:hAnsi="Times New Roman" w:cs="Times New Roman"/>
          <w:szCs w:val="30"/>
        </w:rPr>
        <w:t>V</w:t>
      </w:r>
      <w:r>
        <w:rPr>
          <w:rFonts w:hint="eastAsia" w:ascii="Times New Roman" w:hAnsi="Times New Roman" w:cs="Times New Roman"/>
          <w:szCs w:val="30"/>
        </w:rPr>
        <w:t>类）比例目标</w:t>
      </w:r>
      <w:r>
        <w:rPr>
          <w:rFonts w:ascii="Times New Roman" w:hAnsi="Times New Roman" w:cs="Times New Roman"/>
          <w:szCs w:val="30"/>
        </w:rPr>
        <w:t>”</w:t>
      </w:r>
      <w:r>
        <w:rPr>
          <w:rFonts w:hint="eastAsia" w:ascii="Times New Roman" w:hAnsi="Times New Roman" w:cs="Times New Roman"/>
          <w:szCs w:val="30"/>
        </w:rPr>
        <w:t>确定地表水的年度目标；根据《考核规定》确定年度的目标要求；根据《目标责任书》的</w:t>
      </w:r>
      <w:r>
        <w:rPr>
          <w:rFonts w:ascii="Times New Roman" w:hAnsi="Times New Roman" w:cs="Times New Roman"/>
          <w:szCs w:val="30"/>
        </w:rPr>
        <w:t>“</w:t>
      </w:r>
      <w:r>
        <w:rPr>
          <w:rFonts w:hint="eastAsia" w:ascii="Times New Roman" w:hAnsi="Times New Roman" w:cs="Times New Roman"/>
          <w:szCs w:val="30"/>
        </w:rPr>
        <w:t>一、工作目标</w:t>
      </w:r>
      <w:r>
        <w:rPr>
          <w:rFonts w:ascii="Times New Roman" w:hAnsi="Times New Roman" w:cs="Times New Roman"/>
          <w:szCs w:val="30"/>
        </w:rPr>
        <w:t>”</w:t>
      </w:r>
      <w:r>
        <w:rPr>
          <w:rFonts w:hint="eastAsia" w:ascii="Times New Roman" w:hAnsi="Times New Roman" w:cs="Times New Roman"/>
          <w:szCs w:val="30"/>
        </w:rPr>
        <w:t>确定饮用水水源、地下水的目标比例。</w:t>
      </w:r>
    </w:p>
    <w:p>
      <w:pPr>
        <w:adjustRightInd w:val="0"/>
        <w:snapToGrid w:val="0"/>
        <w:ind w:firstLine="420" w:firstLineChars="200"/>
        <w:rPr>
          <w:rFonts w:ascii="Times New Roman" w:hAnsi="Times New Roman" w:cs="Times New Roman"/>
          <w:szCs w:val="30"/>
        </w:rPr>
      </w:pPr>
      <w:r>
        <w:rPr>
          <w:rFonts w:ascii="Times New Roman" w:hAnsi="Times New Roman" w:cs="Times New Roman"/>
          <w:szCs w:val="30"/>
        </w:rPr>
        <w:t>3</w:t>
      </w:r>
      <w:r>
        <w:rPr>
          <w:rFonts w:hint="eastAsia" w:ascii="Times New Roman" w:hAnsi="Times New Roman" w:cs="Times New Roman"/>
          <w:szCs w:val="30"/>
        </w:rPr>
        <w:t>、加分、扣分：根据正文中表</w:t>
      </w:r>
      <w:r>
        <w:rPr>
          <w:rFonts w:ascii="Times New Roman" w:hAnsi="Times New Roman" w:cs="Times New Roman"/>
          <w:szCs w:val="30"/>
        </w:rPr>
        <w:t>1</w:t>
      </w:r>
      <w:r>
        <w:rPr>
          <w:rFonts w:hint="eastAsia" w:ascii="Times New Roman" w:hAnsi="Times New Roman" w:cs="Times New Roman"/>
          <w:szCs w:val="30"/>
        </w:rPr>
        <w:t>的断面个数统计情况进行计分。</w:t>
      </w:r>
    </w:p>
    <w:p>
      <w:pPr>
        <w:adjustRightInd w:val="0"/>
        <w:snapToGrid w:val="0"/>
        <w:ind w:firstLine="420" w:firstLineChars="200"/>
        <w:rPr>
          <w:rFonts w:ascii="Times New Roman" w:hAnsi="Times New Roman" w:cs="Times New Roman"/>
          <w:szCs w:val="30"/>
        </w:rPr>
      </w:pPr>
      <w:r>
        <w:rPr>
          <w:rFonts w:ascii="Times New Roman" w:hAnsi="Times New Roman" w:cs="Times New Roman"/>
          <w:szCs w:val="30"/>
        </w:rPr>
        <w:t>4</w:t>
      </w:r>
      <w:r>
        <w:rPr>
          <w:rFonts w:hint="eastAsia" w:ascii="Times New Roman" w:hAnsi="Times New Roman" w:cs="Times New Roman"/>
          <w:szCs w:val="30"/>
        </w:rPr>
        <w:t>、实际得分：实际得分</w:t>
      </w:r>
      <w:r>
        <w:rPr>
          <w:rFonts w:ascii="Times New Roman" w:hAnsi="Times New Roman" w:cs="Times New Roman"/>
          <w:szCs w:val="30"/>
        </w:rPr>
        <w:t>=</w:t>
      </w:r>
      <w:r>
        <w:rPr>
          <w:rFonts w:hint="eastAsia" w:ascii="Times New Roman" w:hAnsi="Times New Roman" w:cs="Times New Roman"/>
          <w:szCs w:val="30"/>
        </w:rPr>
        <w:t>计分</w:t>
      </w:r>
      <w:r>
        <w:rPr>
          <w:rFonts w:ascii="Times New Roman" w:hAnsi="Times New Roman" w:cs="Times New Roman"/>
          <w:szCs w:val="30"/>
        </w:rPr>
        <w:t>+</w:t>
      </w:r>
      <w:r>
        <w:rPr>
          <w:rFonts w:hint="eastAsia" w:ascii="Times New Roman" w:hAnsi="Times New Roman" w:cs="Times New Roman"/>
          <w:szCs w:val="30"/>
        </w:rPr>
        <w:t>加分</w:t>
      </w:r>
      <w:r>
        <w:rPr>
          <w:rFonts w:ascii="Times New Roman" w:hAnsi="Times New Roman" w:cs="Times New Roman"/>
          <w:szCs w:val="30"/>
        </w:rPr>
        <w:t>-</w:t>
      </w:r>
      <w:r>
        <w:rPr>
          <w:rFonts w:hint="eastAsia" w:ascii="Times New Roman" w:hAnsi="Times New Roman" w:cs="Times New Roman"/>
          <w:szCs w:val="30"/>
        </w:rPr>
        <w:t>扣分。</w:t>
      </w:r>
    </w:p>
    <w:p>
      <w:pPr>
        <w:adjustRightInd w:val="0"/>
        <w:snapToGrid w:val="0"/>
        <w:ind w:firstLine="420" w:firstLineChars="200"/>
        <w:rPr>
          <w:rFonts w:ascii="Times New Roman" w:hAnsi="Times New Roman" w:cs="Times New Roman"/>
          <w:sz w:val="24"/>
          <w:szCs w:val="30"/>
        </w:rPr>
      </w:pPr>
      <w:r>
        <w:rPr>
          <w:rFonts w:ascii="Times New Roman" w:hAnsi="Times New Roman" w:cs="Times New Roman"/>
          <w:szCs w:val="30"/>
        </w:rPr>
        <w:t>5</w:t>
      </w:r>
      <w:r>
        <w:rPr>
          <w:rFonts w:hint="eastAsia" w:ascii="Times New Roman" w:hAnsi="Times New Roman" w:cs="Times New Roman"/>
          <w:szCs w:val="30"/>
        </w:rPr>
        <w:t>、扣分情况说明：按《考核规定》，对各类水体的扣分情况和扣分分值，分别进行说明。</w:t>
      </w:r>
    </w:p>
    <w:p>
      <w:pPr>
        <w:adjustRightInd w:val="0"/>
        <w:snapToGrid w:val="0"/>
        <w:spacing w:line="360" w:lineRule="auto"/>
        <w:ind w:firstLine="480" w:firstLineChars="200"/>
        <w:rPr>
          <w:rFonts w:ascii="Times New Roman" w:hAnsi="Times New Roman" w:cs="Times New Roman"/>
          <w:sz w:val="24"/>
          <w:szCs w:val="30"/>
        </w:rPr>
        <w:sectPr>
          <w:pgSz w:w="16838" w:h="11906" w:orient="landscape"/>
          <w:pgMar w:top="1800" w:right="1440" w:bottom="1800" w:left="1440" w:header="851" w:footer="992" w:gutter="0"/>
          <w:cols w:space="425" w:num="1"/>
          <w:docGrid w:type="lines" w:linePitch="312" w:charSpace="0"/>
        </w:sect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1-2</w:t>
      </w:r>
      <w:r>
        <w:rPr>
          <w:rFonts w:hint="eastAsia" w:ascii="华文中宋" w:hAnsi="华文中宋" w:eastAsia="华文中宋"/>
          <w:sz w:val="28"/>
          <w:szCs w:val="28"/>
        </w:rPr>
        <w:t>：</w:t>
      </w:r>
      <w:r>
        <w:rPr>
          <w:rFonts w:hint="eastAsia" w:ascii="华文中宋" w:hAnsi="华文中宋" w:eastAsia="华文中宋"/>
          <w:sz w:val="28"/>
          <w:szCs w:val="28"/>
          <w:u w:val="single"/>
        </w:rPr>
        <w:t xml:space="preserve">    </w:t>
      </w:r>
      <w:r>
        <w:rPr>
          <w:rFonts w:hint="eastAsia" w:ascii="华文中宋" w:hAnsi="华文中宋" w:eastAsia="华文中宋"/>
          <w:sz w:val="28"/>
          <w:szCs w:val="28"/>
        </w:rPr>
        <w:t>省（区、市）</w:t>
      </w:r>
      <w:r>
        <w:rPr>
          <w:rFonts w:hint="eastAsia" w:ascii="华文中宋" w:hAnsi="华文中宋" w:eastAsia="华文中宋"/>
          <w:sz w:val="28"/>
          <w:szCs w:val="28"/>
          <w:u w:val="single"/>
        </w:rPr>
        <w:t xml:space="preserve">    </w:t>
      </w:r>
      <w:r>
        <w:rPr>
          <w:rFonts w:hint="eastAsia" w:ascii="华文中宋" w:hAnsi="华文中宋" w:eastAsia="华文中宋"/>
          <w:sz w:val="28"/>
          <w:szCs w:val="28"/>
        </w:rPr>
        <w:t>年度水污染防治重点工作完成情况评分表</w:t>
      </w:r>
    </w:p>
    <w:tbl>
      <w:tblPr>
        <w:tblStyle w:val="23"/>
        <w:tblW w:w="13948" w:type="dxa"/>
        <w:tblInd w:w="0" w:type="dxa"/>
        <w:tblLayout w:type="fixed"/>
        <w:tblCellMar>
          <w:top w:w="0" w:type="dxa"/>
          <w:left w:w="108" w:type="dxa"/>
          <w:bottom w:w="0" w:type="dxa"/>
          <w:right w:w="108" w:type="dxa"/>
        </w:tblCellMar>
      </w:tblPr>
      <w:tblGrid>
        <w:gridCol w:w="771"/>
        <w:gridCol w:w="1266"/>
        <w:gridCol w:w="2597"/>
        <w:gridCol w:w="1950"/>
        <w:gridCol w:w="2614"/>
        <w:gridCol w:w="1054"/>
        <w:gridCol w:w="982"/>
        <w:gridCol w:w="1060"/>
        <w:gridCol w:w="1654"/>
      </w:tblGrid>
      <w:tr>
        <w:tblPrEx>
          <w:tblLayout w:type="fixed"/>
          <w:tblCellMar>
            <w:top w:w="0" w:type="dxa"/>
            <w:left w:w="108" w:type="dxa"/>
            <w:bottom w:w="0" w:type="dxa"/>
            <w:right w:w="108" w:type="dxa"/>
          </w:tblCellMar>
        </w:tblPrEx>
        <w:trPr>
          <w:trHeight w:val="285" w:hRule="atLeast"/>
          <w:tblHeader/>
        </w:trPr>
        <w:tc>
          <w:tcPr>
            <w:tcW w:w="771" w:type="dxa"/>
            <w:vMerge w:val="restart"/>
            <w:tcBorders>
              <w:top w:val="single" w:color="auto" w:sz="4" w:space="0"/>
              <w:left w:val="single" w:color="auto" w:sz="4" w:space="0"/>
              <w:right w:val="single" w:color="auto" w:sz="4" w:space="0"/>
            </w:tcBorders>
            <w:shd w:val="clear" w:color="auto" w:fill="auto"/>
            <w:vAlign w:val="center"/>
          </w:tcPr>
          <w:p>
            <w:pPr>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序</w:t>
            </w:r>
          </w:p>
          <w:p>
            <w:pPr>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号</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考核内容</w:t>
            </w:r>
          </w:p>
        </w:tc>
        <w:tc>
          <w:tcPr>
            <w:tcW w:w="2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考核事项</w:t>
            </w:r>
          </w:p>
        </w:tc>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分值</w:t>
            </w:r>
          </w:p>
        </w:tc>
        <w:tc>
          <w:tcPr>
            <w:tcW w:w="571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自查</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扣分说明（发现的问题，详述扣分情况）</w:t>
            </w:r>
          </w:p>
        </w:tc>
      </w:tr>
      <w:tr>
        <w:tblPrEx>
          <w:tblLayout w:type="fixed"/>
          <w:tblCellMar>
            <w:top w:w="0" w:type="dxa"/>
            <w:left w:w="108" w:type="dxa"/>
            <w:bottom w:w="0" w:type="dxa"/>
            <w:right w:w="108" w:type="dxa"/>
          </w:tblCellMar>
        </w:tblPrEx>
        <w:trPr>
          <w:trHeight w:val="347" w:hRule="atLeast"/>
          <w:tblHeader/>
        </w:trPr>
        <w:tc>
          <w:tcPr>
            <w:tcW w:w="771" w:type="dxa"/>
            <w:vMerge w:val="continue"/>
            <w:tcBorders>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黑体" w:cs="Times New Roman"/>
                <w:b/>
                <w:bCs/>
                <w:color w:val="000000"/>
                <w:kern w:val="0"/>
                <w:sz w:val="18"/>
                <w:szCs w:val="18"/>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eastAsia="黑体" w:cs="Times New Roman"/>
                <w:b/>
                <w:bCs/>
                <w:color w:val="000000"/>
                <w:kern w:val="0"/>
                <w:sz w:val="18"/>
                <w:szCs w:val="18"/>
              </w:rPr>
            </w:pP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eastAsia="黑体" w:cs="Times New Roman"/>
                <w:b/>
                <w:bCs/>
                <w:color w:val="000000"/>
                <w:kern w:val="0"/>
                <w:sz w:val="18"/>
                <w:szCs w:val="18"/>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eastAsia="黑体" w:cs="Times New Roman"/>
                <w:b/>
                <w:bCs/>
                <w:color w:val="000000"/>
                <w:kern w:val="0"/>
                <w:sz w:val="18"/>
                <w:szCs w:val="18"/>
              </w:rPr>
            </w:pPr>
          </w:p>
        </w:tc>
        <w:tc>
          <w:tcPr>
            <w:tcW w:w="261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自查说明（说明相关数据）</w:t>
            </w:r>
          </w:p>
        </w:tc>
        <w:tc>
          <w:tcPr>
            <w:tcW w:w="1054"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计分</w:t>
            </w:r>
          </w:p>
        </w:tc>
        <w:tc>
          <w:tcPr>
            <w:tcW w:w="982"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扣分</w:t>
            </w:r>
          </w:p>
        </w:tc>
        <w:tc>
          <w:tcPr>
            <w:tcW w:w="1060"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得分</w:t>
            </w: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eastAsia="黑体" w:cs="Times New Roman"/>
                <w:b/>
                <w:bCs/>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一</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工业污染防治（</w:t>
            </w:r>
            <w:r>
              <w:rPr>
                <w:rFonts w:ascii="Times New Roman" w:hAnsi="Times New Roman" w:cs="Times New Roman"/>
                <w:color w:val="000000"/>
                <w:kern w:val="0"/>
                <w:sz w:val="18"/>
                <w:szCs w:val="18"/>
              </w:rPr>
              <w:t>13</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取缔</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十小</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企业</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r>
              <w:rPr>
                <w:rFonts w:ascii="Times New Roman" w:hAnsi="Times New Roman" w:cs="Times New Roman"/>
                <w:color w:val="000000"/>
                <w:kern w:val="0"/>
                <w:sz w:val="18"/>
                <w:szCs w:val="18"/>
                <w:vertAlign w:val="superscript"/>
              </w:rPr>
              <w:t>1</w:t>
            </w:r>
            <w:r>
              <w:rPr>
                <w:rFonts w:ascii="Times New Roman" w:hAnsi="Times New Roman" w:cs="Times New Roman"/>
                <w:color w:val="000000"/>
                <w:kern w:val="0"/>
                <w:sz w:val="18"/>
                <w:szCs w:val="18"/>
              </w:rPr>
              <w:t>(7)</w:t>
            </w:r>
            <w:r>
              <w:rPr>
                <w:rFonts w:ascii="Times New Roman" w:hAnsi="Times New Roman" w:cs="Times New Roman"/>
                <w:color w:val="000000"/>
                <w:kern w:val="0"/>
                <w:sz w:val="18"/>
                <w:szCs w:val="18"/>
                <w:vertAlign w:val="superscript"/>
              </w:rPr>
              <w:t>2</w:t>
            </w:r>
            <w:r>
              <w:rPr>
                <w:rFonts w:ascii="Times New Roman" w:hAnsi="Times New Roman" w:cs="Times New Roman"/>
                <w:color w:val="000000"/>
                <w:kern w:val="0"/>
                <w:sz w:val="18"/>
                <w:szCs w:val="18"/>
              </w:rPr>
              <w:t>(9)</w:t>
            </w:r>
            <w:r>
              <w:rPr>
                <w:rFonts w:ascii="Times New Roman" w:hAnsi="Times New Roman" w:cs="Times New Roman"/>
                <w:color w:val="000000"/>
                <w:kern w:val="0"/>
                <w:sz w:val="18"/>
                <w:szCs w:val="18"/>
                <w:vertAlign w:val="superscript"/>
              </w:rPr>
              <w:t>3</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总个数、完成比重</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集中治理工业集聚区水污染</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r>
              <w:rPr>
                <w:rFonts w:ascii="Times New Roman" w:hAnsi="Times New Roman" w:cs="Times New Roman"/>
                <w:color w:val="000000"/>
                <w:kern w:val="0"/>
                <w:sz w:val="18"/>
                <w:szCs w:val="18"/>
                <w:vertAlign w:val="superscript"/>
              </w:rPr>
              <w:t>1</w:t>
            </w:r>
            <w:r>
              <w:rPr>
                <w:rFonts w:ascii="Times New Roman" w:hAnsi="Times New Roman" w:cs="Times New Roman"/>
                <w:color w:val="000000"/>
                <w:kern w:val="0"/>
                <w:sz w:val="18"/>
                <w:szCs w:val="18"/>
              </w:rPr>
              <w:t>(6)</w:t>
            </w:r>
            <w:r>
              <w:rPr>
                <w:rFonts w:ascii="Times New Roman" w:hAnsi="Times New Roman" w:cs="Times New Roman"/>
                <w:color w:val="000000"/>
                <w:kern w:val="0"/>
                <w:sz w:val="18"/>
                <w:szCs w:val="18"/>
                <w:vertAlign w:val="superscript"/>
              </w:rPr>
              <w:t>2</w:t>
            </w:r>
            <w:r>
              <w:rPr>
                <w:rFonts w:ascii="Times New Roman" w:hAnsi="Times New Roman" w:cs="Times New Roman"/>
                <w:color w:val="000000"/>
                <w:kern w:val="0"/>
                <w:sz w:val="18"/>
                <w:szCs w:val="18"/>
              </w:rPr>
              <w:t>(4)</w:t>
            </w:r>
            <w:r>
              <w:rPr>
                <w:rFonts w:ascii="Times New Roman" w:hAnsi="Times New Roman" w:cs="Times New Roman"/>
                <w:color w:val="000000"/>
                <w:kern w:val="0"/>
                <w:sz w:val="18"/>
                <w:szCs w:val="18"/>
                <w:vertAlign w:val="superscript"/>
              </w:rPr>
              <w:t>3</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总个数、完成比重</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二</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城镇污染治理（</w:t>
            </w:r>
            <w:r>
              <w:rPr>
                <w:rFonts w:ascii="Times New Roman" w:hAnsi="Times New Roman" w:cs="Times New Roman"/>
                <w:color w:val="000000"/>
                <w:kern w:val="0"/>
                <w:sz w:val="18"/>
                <w:szCs w:val="18"/>
              </w:rPr>
              <w:t>20</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城镇污水处理及配套管网</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r>
              <w:rPr>
                <w:rFonts w:hint="eastAsia" w:ascii="Times New Roman" w:hAnsi="Times New Roman" w:cs="Times New Roman"/>
                <w:color w:val="000000"/>
                <w:kern w:val="0"/>
                <w:sz w:val="18"/>
                <w:szCs w:val="18"/>
              </w:rPr>
              <w:t>；本项加分值</w:t>
            </w:r>
            <w:r>
              <w:rPr>
                <w:rFonts w:ascii="Times New Roman" w:hAnsi="Times New Roman" w:cs="Times New Roman"/>
                <w:color w:val="000000"/>
                <w:kern w:val="0"/>
                <w:sz w:val="18"/>
                <w:szCs w:val="18"/>
              </w:rPr>
              <w:t>5</w:t>
            </w:r>
            <w:r>
              <w:rPr>
                <w:rFonts w:hint="eastAsia" w:ascii="Times New Roman" w:hAnsi="Times New Roman" w:cs="Times New Roman"/>
                <w:color w:val="000000"/>
                <w:kern w:val="0"/>
                <w:sz w:val="18"/>
                <w:szCs w:val="18"/>
              </w:rPr>
              <w:t>分</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分两项说明得分、加分</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污泥处理处置</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给出污泥处理处置率</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城市节水</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达到节水标准的城市个数</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62"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三</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农业农村污染防治（</w:t>
            </w:r>
            <w:r>
              <w:rPr>
                <w:rFonts w:ascii="Times New Roman" w:hAnsi="Times New Roman" w:cs="Times New Roman"/>
                <w:color w:val="000000"/>
                <w:kern w:val="0"/>
                <w:sz w:val="18"/>
                <w:szCs w:val="18"/>
              </w:rPr>
              <w:t>15</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防治畜禽养殖污染</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给出废弃物处理利用设施比例</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农村环境综合整治</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年度应完成个数、完成个数</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四</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船舶港口污染控制（</w:t>
            </w:r>
            <w:r>
              <w:rPr>
                <w:rFonts w:ascii="Times New Roman" w:hAnsi="Times New Roman" w:cs="Times New Roman"/>
                <w:color w:val="000000"/>
                <w:kern w:val="0"/>
                <w:sz w:val="18"/>
                <w:szCs w:val="18"/>
              </w:rPr>
              <w:t>10</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治理船舶污染</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港口码头污染防治</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五</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水资源节约保护（</w:t>
            </w:r>
            <w:r>
              <w:rPr>
                <w:rFonts w:ascii="Times New Roman" w:hAnsi="Times New Roman" w:cs="Times New Roman"/>
                <w:color w:val="000000"/>
                <w:kern w:val="0"/>
                <w:sz w:val="18"/>
                <w:szCs w:val="18"/>
              </w:rPr>
              <w:t>25</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水资源节约</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水功能区限制纳污制度建设和措施落实</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水源地达标建设及生态流量试点</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r>
              <w:rPr>
                <w:rFonts w:ascii="Times New Roman" w:hAnsi="Times New Roman" w:cs="Times New Roman"/>
                <w:color w:val="000000"/>
                <w:kern w:val="0"/>
                <w:sz w:val="18"/>
                <w:szCs w:val="18"/>
                <w:vertAlign w:val="superscript"/>
              </w:rPr>
              <w:t>4</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六</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水生态环境保护（</w:t>
            </w:r>
            <w:r>
              <w:rPr>
                <w:rFonts w:ascii="Times New Roman" w:hAnsi="Times New Roman" w:cs="Times New Roman"/>
                <w:color w:val="000000"/>
                <w:kern w:val="0"/>
                <w:sz w:val="18"/>
                <w:szCs w:val="18"/>
              </w:rPr>
              <w:t>10</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饮用水水源环境保护规范化建设</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按自查报告的正文分别说明</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5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地下水环境状况调查、加油站地下油罐更新改造</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总个数、完成比重</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入海河流、入海排污口整治</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年度应完成个数、完成比重</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5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水体污染控制与治理科技重大专项落实情况</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示范工程总个数、完成比重</w:t>
            </w: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七</w:t>
            </w:r>
          </w:p>
        </w:tc>
        <w:tc>
          <w:tcPr>
            <w:tcW w:w="126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强化科技支撑（</w:t>
            </w:r>
            <w:r>
              <w:rPr>
                <w:rFonts w:ascii="Times New Roman" w:hAnsi="Times New Roman" w:cs="Times New Roman"/>
                <w:color w:val="000000"/>
                <w:kern w:val="0"/>
                <w:sz w:val="18"/>
                <w:szCs w:val="18"/>
              </w:rPr>
              <w:t>2</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先进适用技术推广应用</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570" w:hRule="atLeast"/>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八</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各方责任及公众参与（</w:t>
            </w:r>
            <w:r>
              <w:rPr>
                <w:rFonts w:ascii="Times New Roman" w:hAnsi="Times New Roman" w:cs="Times New Roman"/>
                <w:color w:val="000000"/>
                <w:kern w:val="0"/>
                <w:sz w:val="18"/>
                <w:szCs w:val="18"/>
              </w:rPr>
              <w:t>7</w:t>
            </w:r>
            <w:r>
              <w:rPr>
                <w:rFonts w:hint="eastAsia" w:ascii="Times New Roman" w:hAnsi="Times New Roman" w:cs="Times New Roman"/>
                <w:color w:val="000000"/>
                <w:kern w:val="0"/>
                <w:sz w:val="18"/>
                <w:szCs w:val="18"/>
              </w:rPr>
              <w:t>分）</w:t>
            </w: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环境信息公开</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31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地方管理机制落实</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126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p>
        </w:tc>
        <w:tc>
          <w:tcPr>
            <w:tcW w:w="259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突发环境事件</w:t>
            </w:r>
          </w:p>
        </w:tc>
        <w:tc>
          <w:tcPr>
            <w:tcW w:w="19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扣分项</w:t>
            </w: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4634"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kern w:val="0"/>
                <w:sz w:val="18"/>
                <w:szCs w:val="18"/>
              </w:rPr>
            </w:pPr>
            <w:r>
              <w:rPr>
                <w:rFonts w:hint="eastAsia" w:ascii="Times New Roman" w:hAnsi="Times New Roman" w:cs="Times New Roman"/>
                <w:b/>
                <w:color w:val="000000"/>
                <w:kern w:val="0"/>
                <w:sz w:val="18"/>
                <w:szCs w:val="18"/>
              </w:rPr>
              <w:t>合计</w:t>
            </w:r>
          </w:p>
        </w:tc>
        <w:tc>
          <w:tcPr>
            <w:tcW w:w="195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kern w:val="0"/>
                <w:sz w:val="18"/>
                <w:szCs w:val="18"/>
              </w:rPr>
            </w:pPr>
          </w:p>
        </w:tc>
        <w:tc>
          <w:tcPr>
            <w:tcW w:w="261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kern w:val="0"/>
                <w:sz w:val="18"/>
                <w:szCs w:val="18"/>
              </w:rPr>
            </w:pPr>
          </w:p>
        </w:tc>
        <w:tc>
          <w:tcPr>
            <w:tcW w:w="105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kern w:val="0"/>
                <w:sz w:val="18"/>
                <w:szCs w:val="18"/>
              </w:rPr>
            </w:pPr>
          </w:p>
        </w:tc>
        <w:tc>
          <w:tcPr>
            <w:tcW w:w="98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kern w:val="0"/>
                <w:sz w:val="18"/>
                <w:szCs w:val="18"/>
              </w:rPr>
            </w:pPr>
          </w:p>
        </w:tc>
        <w:tc>
          <w:tcPr>
            <w:tcW w:w="10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kern w:val="0"/>
                <w:sz w:val="18"/>
                <w:szCs w:val="18"/>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kern w:val="0"/>
                <w:sz w:val="18"/>
                <w:szCs w:val="18"/>
              </w:rPr>
            </w:pP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1</w:t>
      </w:r>
      <w:r>
        <w:rPr>
          <w:rFonts w:hint="eastAsia" w:ascii="Times New Roman" w:hAnsi="Times New Roman" w:cs="Times New Roman"/>
          <w:szCs w:val="21"/>
        </w:rPr>
        <w:t>、自查说明：按《考核规定》，重点说明绝对数、以及完成情况、或相关政府性文件等。</w:t>
      </w:r>
    </w:p>
    <w:p>
      <w:pP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、扣分说明：按《考核规定》，说明扣分的分值、发现的问题及问题个数等。</w:t>
      </w:r>
    </w:p>
    <w:p>
      <w:pPr>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、实际得分</w:t>
      </w:r>
      <w:r>
        <w:rPr>
          <w:rFonts w:ascii="Times New Roman" w:hAnsi="Times New Roman" w:cs="Times New Roman"/>
          <w:szCs w:val="21"/>
        </w:rPr>
        <w:t>=</w:t>
      </w:r>
      <w:r>
        <w:rPr>
          <w:rFonts w:hint="eastAsia" w:ascii="Times New Roman" w:hAnsi="Times New Roman" w:cs="Times New Roman"/>
          <w:szCs w:val="21"/>
        </w:rPr>
        <w:t>计分</w:t>
      </w:r>
      <w:r>
        <w:rPr>
          <w:rFonts w:ascii="Times New Roman" w:hAnsi="Times New Roman" w:cs="Times New Roman"/>
          <w:szCs w:val="21"/>
        </w:rPr>
        <w:t>-</w:t>
      </w:r>
      <w:r>
        <w:rPr>
          <w:rFonts w:hint="eastAsia" w:ascii="Times New Roman" w:hAnsi="Times New Roman" w:cs="Times New Roman"/>
          <w:szCs w:val="21"/>
        </w:rPr>
        <w:t>扣分。</w:t>
      </w:r>
    </w:p>
    <w:p>
      <w:pPr>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、各项指标</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w:t>
      </w:r>
      <w:r>
        <w:rPr>
          <w:rFonts w:hint="eastAsia" w:ascii="Times New Roman" w:hAnsi="Times New Roman" w:cs="Times New Roman"/>
          <w:szCs w:val="21"/>
        </w:rPr>
        <w:t>内的分值取值，说明如下：</w:t>
      </w:r>
    </w:p>
    <w:p>
      <w:pPr>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 )</w:t>
      </w:r>
      <w:r>
        <w:rPr>
          <w:rFonts w:ascii="Times New Roman" w:hAnsi="Times New Roman" w:cs="Times New Roman"/>
          <w:szCs w:val="21"/>
          <w:vertAlign w:val="superscript"/>
        </w:rPr>
        <w:t>1</w:t>
      </w:r>
      <w:r>
        <w:rPr>
          <w:rFonts w:hint="eastAsia" w:ascii="Times New Roman" w:hAnsi="Times New Roman" w:cs="Times New Roman"/>
          <w:szCs w:val="21"/>
        </w:rPr>
        <w:t>、</w:t>
      </w:r>
      <w:r>
        <w:rPr>
          <w:rFonts w:ascii="Times New Roman" w:hAnsi="Times New Roman" w:cs="Times New Roman"/>
          <w:szCs w:val="21"/>
        </w:rPr>
        <w:t>( )</w:t>
      </w:r>
      <w:r>
        <w:rPr>
          <w:rFonts w:ascii="Times New Roman" w:hAnsi="Times New Roman" w:cs="Times New Roman"/>
          <w:szCs w:val="21"/>
          <w:vertAlign w:val="superscript"/>
        </w:rPr>
        <w:t>2</w:t>
      </w:r>
      <w:r>
        <w:rPr>
          <w:rFonts w:hint="eastAsia" w:ascii="Times New Roman" w:hAnsi="Times New Roman" w:cs="Times New Roman"/>
          <w:szCs w:val="21"/>
        </w:rPr>
        <w:t>、</w:t>
      </w:r>
      <w:r>
        <w:rPr>
          <w:rFonts w:ascii="Times New Roman" w:hAnsi="Times New Roman" w:cs="Times New Roman"/>
          <w:szCs w:val="21"/>
        </w:rPr>
        <w:t>( )</w:t>
      </w:r>
      <w:r>
        <w:rPr>
          <w:rFonts w:ascii="Times New Roman" w:hAnsi="Times New Roman" w:cs="Times New Roman"/>
          <w:szCs w:val="21"/>
          <w:vertAlign w:val="superscript"/>
        </w:rPr>
        <w:t>3</w:t>
      </w:r>
      <w:r>
        <w:rPr>
          <w:rFonts w:hint="eastAsia" w:ascii="Times New Roman" w:hAnsi="Times New Roman" w:cs="Times New Roman"/>
          <w:szCs w:val="21"/>
        </w:rPr>
        <w:t>内分别为东部、中部和西部分值。</w:t>
      </w:r>
    </w:p>
    <w:p>
      <w:pPr>
        <w:ind w:firstLine="420"/>
        <w:rPr>
          <w:rFonts w:ascii="Times New Roman" w:hAnsi="Times New Roman" w:cs="Times New Roman"/>
          <w:szCs w:val="21"/>
        </w:rPr>
      </w:pPr>
      <w:r>
        <w:rPr>
          <w:rFonts w:hint="eastAsia" w:ascii="Times New Roman" w:hAnsi="Times New Roman" w:cs="Times New Roman"/>
          <w:szCs w:val="21"/>
        </w:rPr>
        <w:t>东部：北京、天津、河北、辽宁、上海、江苏、浙江、福建、山东、广东、海南等</w:t>
      </w:r>
      <w:r>
        <w:rPr>
          <w:rFonts w:ascii="Times New Roman" w:hAnsi="Times New Roman" w:cs="Times New Roman"/>
          <w:szCs w:val="21"/>
        </w:rPr>
        <w:t>11</w:t>
      </w:r>
      <w:r>
        <w:rPr>
          <w:rFonts w:hint="eastAsia" w:ascii="Times New Roman" w:hAnsi="Times New Roman" w:cs="Times New Roman"/>
          <w:szCs w:val="21"/>
        </w:rPr>
        <w:t>个省（市）。</w:t>
      </w:r>
    </w:p>
    <w:p>
      <w:pPr>
        <w:ind w:firstLine="420"/>
        <w:rPr>
          <w:rFonts w:ascii="Times New Roman" w:hAnsi="Times New Roman" w:cs="Times New Roman"/>
          <w:szCs w:val="21"/>
        </w:rPr>
      </w:pPr>
      <w:r>
        <w:rPr>
          <w:rFonts w:hint="eastAsia" w:ascii="Times New Roman" w:hAnsi="Times New Roman" w:cs="Times New Roman"/>
          <w:szCs w:val="21"/>
        </w:rPr>
        <w:t>中部：山西、吉林、黑龙江、安徽、江西、河南、湖北、湖南等</w:t>
      </w:r>
      <w:r>
        <w:rPr>
          <w:rFonts w:ascii="Times New Roman" w:hAnsi="Times New Roman" w:cs="Times New Roman"/>
          <w:szCs w:val="21"/>
        </w:rPr>
        <w:t>8</w:t>
      </w:r>
      <w:r>
        <w:rPr>
          <w:rFonts w:hint="eastAsia" w:ascii="Times New Roman" w:hAnsi="Times New Roman" w:cs="Times New Roman"/>
          <w:szCs w:val="21"/>
        </w:rPr>
        <w:t>个省。</w:t>
      </w:r>
    </w:p>
    <w:p>
      <w:pPr>
        <w:ind w:firstLine="420"/>
        <w:rPr>
          <w:rFonts w:ascii="Times New Roman" w:hAnsi="Times New Roman" w:cs="Times New Roman"/>
          <w:szCs w:val="21"/>
        </w:rPr>
      </w:pPr>
      <w:r>
        <w:rPr>
          <w:rFonts w:hint="eastAsia" w:ascii="Times New Roman" w:hAnsi="Times New Roman" w:cs="Times New Roman"/>
          <w:szCs w:val="21"/>
        </w:rPr>
        <w:t>西部：内蒙古、广西、重庆、四川、贵州、云南、西藏、陕西、甘肃、宁夏、青海、新疆等</w:t>
      </w:r>
      <w:r>
        <w:rPr>
          <w:rFonts w:ascii="Times New Roman" w:hAnsi="Times New Roman" w:cs="Times New Roman"/>
          <w:szCs w:val="21"/>
        </w:rPr>
        <w:t>12</w:t>
      </w:r>
      <w:r>
        <w:rPr>
          <w:rFonts w:hint="eastAsia" w:ascii="Times New Roman" w:hAnsi="Times New Roman" w:cs="Times New Roman"/>
          <w:szCs w:val="21"/>
        </w:rPr>
        <w:t>个省（区、市）。</w:t>
      </w:r>
    </w:p>
    <w:p>
      <w:pPr>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 )</w:t>
      </w:r>
      <w:r>
        <w:rPr>
          <w:rFonts w:ascii="Times New Roman" w:hAnsi="Times New Roman" w:cs="Times New Roman"/>
          <w:szCs w:val="21"/>
          <w:vertAlign w:val="superscript"/>
        </w:rPr>
        <w:t>4</w:t>
      </w:r>
      <w:r>
        <w:rPr>
          <w:rFonts w:hint="eastAsia" w:ascii="Times New Roman" w:hAnsi="Times New Roman" w:cs="Times New Roman"/>
          <w:szCs w:val="21"/>
        </w:rPr>
        <w:t>内</w:t>
      </w:r>
      <w:r>
        <w:rPr>
          <w:rFonts w:ascii="Times New Roman" w:hAnsi="Times New Roman" w:cs="Times New Roman"/>
          <w:szCs w:val="21"/>
        </w:rPr>
        <w:t>4</w:t>
      </w:r>
      <w:r>
        <w:rPr>
          <w:rFonts w:hint="eastAsia" w:ascii="Times New Roman" w:hAnsi="Times New Roman" w:cs="Times New Roman"/>
          <w:szCs w:val="21"/>
        </w:rPr>
        <w:t>为黄河、淮河流域生态流量试点地区（</w:t>
      </w:r>
      <w:r>
        <w:rPr>
          <w:rFonts w:hint="eastAsia" w:ascii="Times New Roman" w:hAnsi="Times New Roman" w:cs="Times New Roman"/>
          <w:kern w:val="0"/>
          <w:szCs w:val="21"/>
        </w:rPr>
        <w:t>山西、内蒙古、河南、陕西、甘肃、青海、宁夏、江苏、安徽、山东</w:t>
      </w:r>
      <w:r>
        <w:rPr>
          <w:rFonts w:hint="eastAsia" w:ascii="Times New Roman" w:hAnsi="Times New Roman" w:cs="Times New Roman"/>
          <w:szCs w:val="21"/>
        </w:rPr>
        <w:t>）水源地达标建设分值，</w:t>
      </w:r>
      <w:r>
        <w:rPr>
          <w:rFonts w:ascii="Times New Roman" w:hAnsi="Times New Roman" w:cs="Times New Roman"/>
          <w:szCs w:val="21"/>
        </w:rPr>
        <w:t>1</w:t>
      </w:r>
      <w:r>
        <w:rPr>
          <w:rFonts w:hint="eastAsia" w:ascii="Times New Roman" w:hAnsi="Times New Roman" w:cs="Times New Roman"/>
          <w:szCs w:val="21"/>
        </w:rPr>
        <w:t>为生态流量试点分值；其他地区水源地达标建设分值为</w:t>
      </w:r>
      <w:r>
        <w:rPr>
          <w:rFonts w:ascii="Times New Roman" w:hAnsi="Times New Roman" w:cs="Times New Roman"/>
          <w:szCs w:val="21"/>
        </w:rPr>
        <w:t>5</w:t>
      </w:r>
      <w:r>
        <w:rPr>
          <w:rFonts w:hint="eastAsia" w:ascii="Times New Roman" w:hAnsi="Times New Roman" w:cs="Times New Roman"/>
          <w:szCs w:val="21"/>
        </w:rPr>
        <w:t>。</w:t>
      </w:r>
    </w:p>
    <w:p>
      <w:pPr>
        <w:ind w:firstLine="42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3</w:t>
      </w:r>
      <w:r>
        <w:rPr>
          <w:rFonts w:hint="eastAsia" w:ascii="Times New Roman" w:hAnsi="Times New Roman" w:cs="Times New Roman"/>
          <w:szCs w:val="21"/>
        </w:rPr>
        <w:t>）部分省份因不涉及港口船舶污染控制、水专项、入海河流等工作，满分不足</w:t>
      </w:r>
      <w:r>
        <w:rPr>
          <w:rFonts w:ascii="Times New Roman" w:hAnsi="Times New Roman" w:cs="Times New Roman"/>
          <w:szCs w:val="21"/>
        </w:rPr>
        <w:t>100</w:t>
      </w:r>
      <w:r>
        <w:rPr>
          <w:rFonts w:hint="eastAsia" w:ascii="Times New Roman" w:hAnsi="Times New Roman" w:cs="Times New Roman"/>
          <w:szCs w:val="21"/>
        </w:rPr>
        <w:t>分的，按实际得分乘以</w:t>
      </w:r>
      <w:r>
        <w:rPr>
          <w:rFonts w:ascii="Times New Roman" w:hAnsi="Times New Roman" w:cs="Times New Roman"/>
          <w:szCs w:val="21"/>
        </w:rPr>
        <w:t>100</w:t>
      </w:r>
      <w:r>
        <w:rPr>
          <w:rFonts w:hint="eastAsia" w:ascii="Times New Roman" w:hAnsi="Times New Roman" w:cs="Times New Roman"/>
          <w:szCs w:val="21"/>
        </w:rPr>
        <w:t>分除以实际满分进行折算。</w:t>
      </w:r>
    </w:p>
    <w:p>
      <w:pPr>
        <w:rPr>
          <w:rFonts w:ascii="Times New Roman" w:hAnsi="Times New Roman" w:cs="Times New Roman"/>
          <w:szCs w:val="21"/>
        </w:rPr>
      </w:pPr>
    </w:p>
    <w:bookmarkEnd w:id="11"/>
    <w:p>
      <w:pPr>
        <w:rPr>
          <w:rFonts w:ascii="Times New Roman" w:hAnsi="Times New Roman" w:cs="Times New Roman"/>
        </w:rPr>
      </w:pPr>
    </w:p>
    <w:p>
      <w:pPr>
        <w:tabs>
          <w:tab w:val="left" w:pos="7874"/>
        </w:tabs>
        <w:rPr>
          <w:rFonts w:ascii="Times New Roman" w:hAnsi="Times New Roman" w:cs="Times New Roman"/>
        </w:rPr>
      </w:pPr>
      <w:r>
        <w:rPr>
          <w:rFonts w:ascii="Times New Roman" w:hAnsi="Times New Roman" w:cs="Times New Roman"/>
        </w:rPr>
        <w:tab/>
      </w:r>
    </w:p>
    <w:p>
      <w:pPr>
        <w:rPr>
          <w:rFonts w:ascii="Times New Roman" w:hAnsi="Times New Roman" w:cs="Times New Roman"/>
        </w:rPr>
      </w:pPr>
    </w:p>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pStyle w:val="3"/>
        <w:numPr>
          <w:ilvl w:val="0"/>
          <w:numId w:val="0"/>
        </w:numPr>
        <w:ind w:firstLine="200"/>
      </w:pPr>
      <w:bookmarkStart w:id="53" w:name="_Toc461612515"/>
      <w:bookmarkStart w:id="54" w:name="_Toc470183696"/>
      <w:r>
        <w:rPr>
          <w:rFonts w:hint="eastAsia"/>
        </w:rPr>
        <w:t>附件</w:t>
      </w:r>
      <w:r>
        <w:t>2</w:t>
      </w:r>
      <w:r>
        <w:rPr>
          <w:rFonts w:hint="eastAsia"/>
        </w:rPr>
        <w:t>：重点工作项目清单</w:t>
      </w:r>
      <w:bookmarkEnd w:id="53"/>
      <w:bookmarkEnd w:id="54"/>
    </w:p>
    <w:p>
      <w:pPr>
        <w:pStyle w:val="4"/>
        <w:numPr>
          <w:ilvl w:val="0"/>
          <w:numId w:val="0"/>
        </w:numPr>
        <w:ind w:firstLine="561" w:firstLineChars="200"/>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2-1 “</w:t>
      </w:r>
      <w:r>
        <w:rPr>
          <w:rFonts w:hint="eastAsia" w:ascii="华文中宋" w:hAnsi="华文中宋" w:eastAsia="华文中宋"/>
          <w:sz w:val="28"/>
          <w:szCs w:val="28"/>
        </w:rPr>
        <w:t>十小</w:t>
      </w:r>
      <w:r>
        <w:rPr>
          <w:rFonts w:ascii="华文中宋" w:hAnsi="华文中宋" w:eastAsia="华文中宋"/>
          <w:sz w:val="28"/>
          <w:szCs w:val="28"/>
        </w:rPr>
        <w:t>”</w:t>
      </w:r>
      <w:r>
        <w:rPr>
          <w:rFonts w:hint="eastAsia" w:ascii="华文中宋" w:hAnsi="华文中宋" w:eastAsia="华文中宋"/>
          <w:sz w:val="28"/>
          <w:szCs w:val="28"/>
        </w:rPr>
        <w:t>取缔清单</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651"/>
        <w:gridCol w:w="647"/>
        <w:gridCol w:w="647"/>
        <w:gridCol w:w="1911"/>
        <w:gridCol w:w="1280"/>
        <w:gridCol w:w="1280"/>
        <w:gridCol w:w="647"/>
        <w:gridCol w:w="1983"/>
        <w:gridCol w:w="1356"/>
        <w:gridCol w:w="566"/>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51"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651"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647"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2558" w:type="dxa"/>
            <w:gridSpan w:val="2"/>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1280"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企业名称</w:t>
            </w:r>
          </w:p>
        </w:tc>
        <w:tc>
          <w:tcPr>
            <w:tcW w:w="1280"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所属行业</w:t>
            </w:r>
          </w:p>
        </w:tc>
        <w:tc>
          <w:tcPr>
            <w:tcW w:w="3986" w:type="dxa"/>
            <w:gridSpan w:val="3"/>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主要产品</w:t>
            </w:r>
          </w:p>
        </w:tc>
        <w:tc>
          <w:tcPr>
            <w:tcW w:w="566"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取缔时间</w:t>
            </w:r>
          </w:p>
        </w:tc>
        <w:tc>
          <w:tcPr>
            <w:tcW w:w="2329" w:type="dxa"/>
            <w:vMerge w:val="restart"/>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取缔证明材料（文号和名称，及其他证明材料）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51" w:type="dxa"/>
            <w:vMerge w:val="continue"/>
            <w:vAlign w:val="center"/>
          </w:tcPr>
          <w:p>
            <w:pPr>
              <w:widowControl/>
              <w:jc w:val="center"/>
              <w:rPr>
                <w:rFonts w:ascii="Times New Roman" w:hAnsi="Times New Roman" w:eastAsia="黑体" w:cs="Times New Roman"/>
                <w:bCs/>
                <w:color w:val="000000"/>
                <w:kern w:val="0"/>
                <w:szCs w:val="21"/>
              </w:rPr>
            </w:pPr>
          </w:p>
        </w:tc>
        <w:tc>
          <w:tcPr>
            <w:tcW w:w="651" w:type="dxa"/>
            <w:vMerge w:val="continue"/>
            <w:vAlign w:val="center"/>
          </w:tcPr>
          <w:p>
            <w:pPr>
              <w:widowControl/>
              <w:jc w:val="center"/>
              <w:rPr>
                <w:rFonts w:ascii="Times New Roman" w:hAnsi="Times New Roman" w:eastAsia="黑体" w:cs="Times New Roman"/>
                <w:bCs/>
                <w:color w:val="000000"/>
                <w:kern w:val="0"/>
                <w:szCs w:val="21"/>
              </w:rPr>
            </w:pPr>
          </w:p>
        </w:tc>
        <w:tc>
          <w:tcPr>
            <w:tcW w:w="647" w:type="dxa"/>
            <w:vMerge w:val="continue"/>
            <w:vAlign w:val="center"/>
          </w:tcPr>
          <w:p>
            <w:pPr>
              <w:widowControl/>
              <w:jc w:val="center"/>
              <w:rPr>
                <w:rFonts w:ascii="Times New Roman" w:hAnsi="Times New Roman" w:eastAsia="黑体" w:cs="Times New Roman"/>
                <w:bCs/>
                <w:color w:val="000000"/>
                <w:kern w:val="0"/>
                <w:szCs w:val="21"/>
              </w:rPr>
            </w:pPr>
          </w:p>
        </w:tc>
        <w:tc>
          <w:tcPr>
            <w:tcW w:w="647"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911"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1280" w:type="dxa"/>
            <w:vMerge w:val="continue"/>
          </w:tcPr>
          <w:p>
            <w:pPr>
              <w:widowControl/>
              <w:jc w:val="center"/>
              <w:rPr>
                <w:rFonts w:ascii="Times New Roman" w:hAnsi="Times New Roman" w:eastAsia="黑体" w:cs="Times New Roman"/>
                <w:bCs/>
                <w:color w:val="000000"/>
                <w:kern w:val="0"/>
                <w:szCs w:val="21"/>
              </w:rPr>
            </w:pPr>
          </w:p>
        </w:tc>
        <w:tc>
          <w:tcPr>
            <w:tcW w:w="1280" w:type="dxa"/>
            <w:vMerge w:val="continue"/>
            <w:vAlign w:val="center"/>
          </w:tcPr>
          <w:p>
            <w:pPr>
              <w:widowControl/>
              <w:jc w:val="center"/>
              <w:rPr>
                <w:rFonts w:ascii="Times New Roman" w:hAnsi="Times New Roman" w:eastAsia="黑体" w:cs="Times New Roman"/>
                <w:bCs/>
                <w:color w:val="000000"/>
                <w:kern w:val="0"/>
                <w:szCs w:val="21"/>
              </w:rPr>
            </w:pPr>
          </w:p>
        </w:tc>
        <w:tc>
          <w:tcPr>
            <w:tcW w:w="647" w:type="dxa"/>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983" w:type="dxa"/>
            <w:shd w:val="clear" w:color="000000" w:fill="FFFFFF"/>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生产能力（吨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年）</w:t>
            </w:r>
          </w:p>
        </w:tc>
        <w:tc>
          <w:tcPr>
            <w:tcW w:w="1356" w:type="dxa"/>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实际生产量（吨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年）</w:t>
            </w:r>
          </w:p>
        </w:tc>
        <w:tc>
          <w:tcPr>
            <w:tcW w:w="566" w:type="dxa"/>
            <w:vMerge w:val="continue"/>
            <w:vAlign w:val="center"/>
          </w:tcPr>
          <w:p>
            <w:pPr>
              <w:widowControl/>
              <w:jc w:val="center"/>
              <w:rPr>
                <w:rFonts w:ascii="Times New Roman" w:hAnsi="Times New Roman" w:eastAsia="黑体" w:cs="Times New Roman"/>
                <w:bCs/>
                <w:color w:val="000000"/>
                <w:kern w:val="0"/>
                <w:szCs w:val="21"/>
              </w:rPr>
            </w:pPr>
          </w:p>
        </w:tc>
        <w:tc>
          <w:tcPr>
            <w:tcW w:w="2329"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651" w:type="dxa"/>
            <w:shd w:val="clear" w:color="000000" w:fill="FFFFFF"/>
            <w:vAlign w:val="center"/>
          </w:tcPr>
          <w:p>
            <w:pPr>
              <w:widowControl/>
              <w:spacing w:line="240" w:lineRule="atLeast"/>
              <w:jc w:val="center"/>
              <w:rPr>
                <w:rFonts w:ascii="Times New Roman" w:hAnsi="Times New Roman" w:cs="Times New Roman"/>
                <w:kern w:val="0"/>
                <w:szCs w:val="21"/>
              </w:rPr>
            </w:pPr>
          </w:p>
        </w:tc>
        <w:tc>
          <w:tcPr>
            <w:tcW w:w="651" w:type="dxa"/>
            <w:shd w:val="clear" w:color="000000" w:fill="FFFFFF"/>
            <w:vAlign w:val="center"/>
          </w:tcPr>
          <w:p>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pPr>
              <w:widowControl/>
              <w:spacing w:line="240" w:lineRule="atLeast"/>
              <w:jc w:val="center"/>
              <w:rPr>
                <w:rFonts w:ascii="Times New Roman" w:hAnsi="Times New Roman" w:cs="Times New Roman"/>
                <w:color w:val="FF0000"/>
                <w:kern w:val="0"/>
                <w:szCs w:val="21"/>
              </w:rPr>
            </w:pPr>
          </w:p>
        </w:tc>
        <w:tc>
          <w:tcPr>
            <w:tcW w:w="1911" w:type="dxa"/>
            <w:shd w:val="clear" w:color="000000" w:fill="FFFFFF"/>
            <w:vAlign w:val="center"/>
          </w:tcPr>
          <w:p>
            <w:pPr>
              <w:widowControl/>
              <w:spacing w:line="240" w:lineRule="atLeast"/>
              <w:jc w:val="center"/>
              <w:rPr>
                <w:rFonts w:ascii="Times New Roman" w:hAnsi="Times New Roman" w:cs="Times New Roman"/>
                <w:kern w:val="0"/>
                <w:szCs w:val="21"/>
              </w:rPr>
            </w:pPr>
          </w:p>
        </w:tc>
        <w:tc>
          <w:tcPr>
            <w:tcW w:w="1280" w:type="dxa"/>
            <w:shd w:val="clear" w:color="000000" w:fill="FFFFFF"/>
          </w:tcPr>
          <w:p>
            <w:pPr>
              <w:widowControl/>
              <w:spacing w:line="240" w:lineRule="atLeast"/>
              <w:jc w:val="center"/>
              <w:rPr>
                <w:rFonts w:ascii="Times New Roman" w:hAnsi="Times New Roman" w:cs="Times New Roman"/>
                <w:color w:val="FF0000"/>
                <w:kern w:val="0"/>
                <w:szCs w:val="21"/>
              </w:rPr>
            </w:pPr>
          </w:p>
        </w:tc>
        <w:tc>
          <w:tcPr>
            <w:tcW w:w="1280" w:type="dxa"/>
            <w:shd w:val="clear" w:color="000000" w:fill="FFFFFF"/>
            <w:vAlign w:val="center"/>
          </w:tcPr>
          <w:p>
            <w:pPr>
              <w:widowControl/>
              <w:spacing w:line="240" w:lineRule="atLeast"/>
              <w:jc w:val="center"/>
              <w:rPr>
                <w:rFonts w:ascii="Times New Roman" w:hAnsi="Times New Roman" w:cs="Times New Roman"/>
                <w:kern w:val="0"/>
                <w:szCs w:val="21"/>
              </w:rPr>
            </w:pPr>
          </w:p>
        </w:tc>
        <w:tc>
          <w:tcPr>
            <w:tcW w:w="647" w:type="dxa"/>
            <w:shd w:val="clear" w:color="000000" w:fill="FFFFFF"/>
            <w:vAlign w:val="center"/>
          </w:tcPr>
          <w:p>
            <w:pPr>
              <w:widowControl/>
              <w:spacing w:line="240" w:lineRule="atLeast"/>
              <w:jc w:val="center"/>
              <w:rPr>
                <w:rFonts w:ascii="Times New Roman" w:hAnsi="Times New Roman" w:cs="Times New Roman"/>
                <w:color w:val="000000"/>
                <w:kern w:val="0"/>
                <w:szCs w:val="21"/>
              </w:rPr>
            </w:pPr>
          </w:p>
        </w:tc>
        <w:tc>
          <w:tcPr>
            <w:tcW w:w="1983" w:type="dxa"/>
            <w:shd w:val="clear" w:color="000000" w:fill="FFFFFF"/>
            <w:vAlign w:val="center"/>
          </w:tcPr>
          <w:p>
            <w:pPr>
              <w:widowControl/>
              <w:spacing w:line="240" w:lineRule="atLeast"/>
              <w:jc w:val="center"/>
              <w:rPr>
                <w:rFonts w:ascii="Times New Roman" w:hAnsi="Times New Roman" w:cs="Times New Roman"/>
                <w:color w:val="000000"/>
                <w:kern w:val="0"/>
                <w:szCs w:val="21"/>
              </w:rPr>
            </w:pPr>
          </w:p>
        </w:tc>
        <w:tc>
          <w:tcPr>
            <w:tcW w:w="1356" w:type="dxa"/>
            <w:shd w:val="clear" w:color="000000" w:fill="FFFFFF"/>
          </w:tcPr>
          <w:p>
            <w:pPr>
              <w:widowControl/>
              <w:spacing w:line="240" w:lineRule="atLeast"/>
              <w:jc w:val="center"/>
              <w:rPr>
                <w:rFonts w:ascii="Times New Roman" w:hAnsi="Times New Roman" w:cs="Times New Roman"/>
                <w:color w:val="000000"/>
                <w:kern w:val="0"/>
                <w:szCs w:val="21"/>
              </w:rPr>
            </w:pPr>
          </w:p>
        </w:tc>
        <w:tc>
          <w:tcPr>
            <w:tcW w:w="566" w:type="dxa"/>
            <w:shd w:val="clear" w:color="000000" w:fill="FFFFFF"/>
            <w:vAlign w:val="center"/>
          </w:tcPr>
          <w:p>
            <w:pPr>
              <w:widowControl/>
              <w:spacing w:line="240" w:lineRule="atLeast"/>
              <w:jc w:val="center"/>
              <w:rPr>
                <w:rFonts w:ascii="Times New Roman" w:hAnsi="Times New Roman" w:cs="Times New Roman"/>
                <w:color w:val="000000"/>
                <w:kern w:val="0"/>
                <w:szCs w:val="21"/>
              </w:rPr>
            </w:pPr>
          </w:p>
        </w:tc>
        <w:tc>
          <w:tcPr>
            <w:tcW w:w="2329" w:type="dxa"/>
            <w:shd w:val="clear" w:color="000000" w:fill="FFFFFF"/>
          </w:tcPr>
          <w:p>
            <w:pPr>
              <w:widowControl/>
              <w:spacing w:line="240" w:lineRule="atLeast"/>
              <w:jc w:val="center"/>
              <w:rPr>
                <w:rFonts w:ascii="Times New Roman" w:hAnsi="Times New Roman" w:cs="Times New Roman"/>
                <w:color w:val="000000"/>
                <w:kern w:val="0"/>
                <w:szCs w:val="21"/>
              </w:rPr>
            </w:pP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1</w:t>
      </w:r>
      <w:r>
        <w:rPr>
          <w:rFonts w:hint="eastAsia" w:ascii="Times New Roman" w:hAnsi="Times New Roman" w:cs="Times New Roman"/>
          <w:szCs w:val="21"/>
        </w:rPr>
        <w:t>、主要产品：如有多个产品种类，至少填</w:t>
      </w:r>
      <w:r>
        <w:rPr>
          <w:rFonts w:ascii="Times New Roman" w:hAnsi="Times New Roman" w:cs="Times New Roman"/>
          <w:szCs w:val="21"/>
        </w:rPr>
        <w:t>3</w:t>
      </w:r>
      <w:r>
        <w:rPr>
          <w:rFonts w:hint="eastAsia" w:ascii="Times New Roman" w:hAnsi="Times New Roman" w:cs="Times New Roman"/>
          <w:szCs w:val="21"/>
        </w:rPr>
        <w:t>种。</w:t>
      </w:r>
    </w:p>
    <w:p>
      <w:pP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、证明材料：详见《考核要点》和</w:t>
      </w:r>
      <w:r>
        <w:rPr>
          <w:rFonts w:ascii="Times New Roman" w:hAnsi="Times New Roman" w:cs="Times New Roman"/>
          <w:szCs w:val="21"/>
        </w:rPr>
        <w:t>“</w:t>
      </w:r>
      <w:r>
        <w:rPr>
          <w:rFonts w:hint="eastAsia" w:ascii="Times New Roman" w:hAnsi="Times New Roman" w:cs="Times New Roman"/>
          <w:szCs w:val="21"/>
        </w:rPr>
        <w:t>重点工作台账建设要求</w:t>
      </w:r>
      <w:r>
        <w:rPr>
          <w:rFonts w:ascii="Times New Roman" w:hAnsi="Times New Roman" w:cs="Times New Roman"/>
          <w:szCs w:val="21"/>
        </w:rPr>
        <w:t>”</w:t>
      </w:r>
      <w:r>
        <w:rPr>
          <w:rFonts w:hint="eastAsia" w:ascii="Times New Roman" w:hAnsi="Times New Roman" w:cs="Times New Roman"/>
          <w:szCs w:val="21"/>
        </w:rPr>
        <w:t>，下同。</w:t>
      </w:r>
    </w:p>
    <w:p>
      <w:pPr>
        <w:rPr>
          <w:rFonts w:ascii="Times New Roman" w:hAnsi="Times New Roman" w:cs="Times New Roman"/>
        </w:r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 xml:space="preserve">2-2 </w:t>
      </w:r>
      <w:r>
        <w:rPr>
          <w:rFonts w:hint="eastAsia" w:ascii="华文中宋" w:hAnsi="华文中宋" w:eastAsia="华文中宋"/>
          <w:sz w:val="28"/>
          <w:szCs w:val="28"/>
        </w:rPr>
        <w:t>工业集聚区污水集中处理设施建设与在线监测建设</w:t>
      </w:r>
    </w:p>
    <w:tbl>
      <w:tblPr>
        <w:tblStyle w:val="23"/>
        <w:tblW w:w="13948" w:type="dxa"/>
        <w:tblInd w:w="0" w:type="dxa"/>
        <w:tblLayout w:type="fixed"/>
        <w:tblCellMar>
          <w:top w:w="0" w:type="dxa"/>
          <w:left w:w="0" w:type="dxa"/>
          <w:bottom w:w="0" w:type="dxa"/>
          <w:right w:w="0" w:type="dxa"/>
        </w:tblCellMar>
      </w:tblPr>
      <w:tblGrid>
        <w:gridCol w:w="433"/>
        <w:gridCol w:w="432"/>
        <w:gridCol w:w="432"/>
        <w:gridCol w:w="575"/>
        <w:gridCol w:w="448"/>
        <w:gridCol w:w="1049"/>
        <w:gridCol w:w="481"/>
        <w:gridCol w:w="553"/>
        <w:gridCol w:w="850"/>
        <w:gridCol w:w="554"/>
        <w:gridCol w:w="709"/>
        <w:gridCol w:w="709"/>
        <w:gridCol w:w="708"/>
        <w:gridCol w:w="567"/>
        <w:gridCol w:w="426"/>
        <w:gridCol w:w="567"/>
        <w:gridCol w:w="567"/>
        <w:gridCol w:w="567"/>
        <w:gridCol w:w="850"/>
        <w:gridCol w:w="1079"/>
        <w:gridCol w:w="531"/>
        <w:gridCol w:w="861"/>
      </w:tblGrid>
      <w:tr>
        <w:tblPrEx>
          <w:tblLayout w:type="fixed"/>
          <w:tblCellMar>
            <w:top w:w="0" w:type="dxa"/>
            <w:left w:w="0" w:type="dxa"/>
            <w:bottom w:w="0" w:type="dxa"/>
            <w:right w:w="0" w:type="dxa"/>
          </w:tblCellMar>
        </w:tblPrEx>
        <w:trPr>
          <w:trHeight w:val="20" w:hRule="atLeast"/>
        </w:trPr>
        <w:tc>
          <w:tcPr>
            <w:tcW w:w="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序号</w:t>
            </w:r>
          </w:p>
        </w:tc>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地市</w:t>
            </w:r>
          </w:p>
        </w:tc>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区县</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集聚区名称</w:t>
            </w:r>
          </w:p>
        </w:tc>
        <w:tc>
          <w:tcPr>
            <w:tcW w:w="4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所在地址</w:t>
            </w:r>
          </w:p>
        </w:tc>
        <w:tc>
          <w:tcPr>
            <w:tcW w:w="10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工业集聚区级别（国家</w:t>
            </w:r>
            <w:r>
              <w:rPr>
                <w:rFonts w:ascii="Times New Roman" w:hAnsi="Times New Roman" w:eastAsia="黑体" w:cs="Times New Roman"/>
                <w:bCs/>
                <w:color w:val="000000"/>
                <w:kern w:val="0"/>
                <w:sz w:val="18"/>
                <w:szCs w:val="18"/>
              </w:rPr>
              <w:t>/</w:t>
            </w:r>
            <w:r>
              <w:rPr>
                <w:rFonts w:hint="eastAsia" w:ascii="Times New Roman" w:hAnsi="Times New Roman" w:eastAsia="黑体" w:cs="Times New Roman"/>
                <w:bCs/>
                <w:color w:val="000000"/>
                <w:kern w:val="0"/>
                <w:sz w:val="18"/>
                <w:szCs w:val="18"/>
              </w:rPr>
              <w:t>省</w:t>
            </w:r>
            <w:r>
              <w:rPr>
                <w:rFonts w:ascii="Times New Roman" w:hAnsi="Times New Roman" w:eastAsia="黑体" w:cs="Times New Roman"/>
                <w:bCs/>
                <w:color w:val="000000"/>
                <w:kern w:val="0"/>
                <w:sz w:val="18"/>
                <w:szCs w:val="18"/>
              </w:rPr>
              <w:t>/</w:t>
            </w:r>
            <w:r>
              <w:rPr>
                <w:rFonts w:hint="eastAsia" w:ascii="Times New Roman" w:hAnsi="Times New Roman" w:eastAsia="黑体" w:cs="Times New Roman"/>
                <w:bCs/>
                <w:color w:val="000000"/>
                <w:kern w:val="0"/>
                <w:sz w:val="18"/>
                <w:szCs w:val="18"/>
              </w:rPr>
              <w:t>市</w:t>
            </w:r>
            <w:r>
              <w:rPr>
                <w:rFonts w:ascii="Times New Roman" w:hAnsi="Times New Roman" w:eastAsia="黑体" w:cs="Times New Roman"/>
                <w:bCs/>
                <w:color w:val="000000"/>
                <w:kern w:val="0"/>
                <w:sz w:val="18"/>
                <w:szCs w:val="18"/>
              </w:rPr>
              <w:t>/</w:t>
            </w:r>
            <w:r>
              <w:rPr>
                <w:rFonts w:hint="eastAsia" w:ascii="Times New Roman" w:hAnsi="Times New Roman" w:eastAsia="黑体" w:cs="Times New Roman"/>
                <w:bCs/>
                <w:color w:val="000000"/>
                <w:kern w:val="0"/>
                <w:sz w:val="18"/>
                <w:szCs w:val="18"/>
              </w:rPr>
              <w:t>县）</w:t>
            </w:r>
          </w:p>
        </w:tc>
        <w:tc>
          <w:tcPr>
            <w:tcW w:w="4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主导行业</w:t>
            </w:r>
          </w:p>
        </w:tc>
        <w:tc>
          <w:tcPr>
            <w:tcW w:w="5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工业企业个数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排污去向</w:t>
            </w:r>
          </w:p>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（受纳水体）</w:t>
            </w:r>
          </w:p>
        </w:tc>
        <w:tc>
          <w:tcPr>
            <w:tcW w:w="26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污水处理</w:t>
            </w:r>
          </w:p>
        </w:tc>
        <w:tc>
          <w:tcPr>
            <w:tcW w:w="567"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在线监测指标名称</w:t>
            </w:r>
          </w:p>
        </w:tc>
        <w:tc>
          <w:tcPr>
            <w:tcW w:w="426"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执行标准</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投资</w:t>
            </w:r>
          </w:p>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（万元）</w:t>
            </w:r>
          </w:p>
        </w:tc>
        <w:tc>
          <w:tcPr>
            <w:tcW w:w="56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完成时限</w:t>
            </w:r>
          </w:p>
        </w:tc>
        <w:tc>
          <w:tcPr>
            <w:tcW w:w="56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是否按规定建成集中污水处理设施</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是否安装在线监控装置并与环保部门联网</w:t>
            </w:r>
          </w:p>
        </w:tc>
        <w:tc>
          <w:tcPr>
            <w:tcW w:w="107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区内企业是否均预处理达到集中处理要求</w:t>
            </w:r>
          </w:p>
        </w:tc>
        <w:tc>
          <w:tcPr>
            <w:tcW w:w="53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实施进展</w:t>
            </w:r>
          </w:p>
        </w:tc>
        <w:tc>
          <w:tcPr>
            <w:tcW w:w="86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证明文件（文号和名称，或其他证明材料）</w:t>
            </w:r>
          </w:p>
        </w:tc>
      </w:tr>
      <w:tr>
        <w:tblPrEx>
          <w:tblLayout w:type="fixed"/>
          <w:tblCellMar>
            <w:top w:w="0" w:type="dxa"/>
            <w:left w:w="0" w:type="dxa"/>
            <w:bottom w:w="0" w:type="dxa"/>
            <w:right w:w="0" w:type="dxa"/>
          </w:tblCellMar>
        </w:tblPrEx>
        <w:trPr>
          <w:trHeight w:val="20" w:hRule="atLeast"/>
        </w:trPr>
        <w:tc>
          <w:tcPr>
            <w:tcW w:w="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44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48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主体处理工艺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处理规模</w:t>
            </w:r>
          </w:p>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（万吨</w:t>
            </w:r>
            <w:r>
              <w:rPr>
                <w:rFonts w:ascii="Times New Roman" w:hAnsi="Times New Roman" w:eastAsia="黑体" w:cs="Times New Roman"/>
                <w:bCs/>
                <w:color w:val="000000"/>
                <w:kern w:val="0"/>
                <w:sz w:val="18"/>
                <w:szCs w:val="18"/>
              </w:rPr>
              <w:t>/</w:t>
            </w:r>
            <w:r>
              <w:rPr>
                <w:rFonts w:hint="eastAsia" w:ascii="Times New Roman" w:hAnsi="Times New Roman" w:eastAsia="黑体" w:cs="Times New Roman"/>
                <w:bCs/>
                <w:color w:val="000000"/>
                <w:kern w:val="0"/>
                <w:sz w:val="18"/>
                <w:szCs w:val="18"/>
              </w:rPr>
              <w:t>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自行建设的设施数</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黑体" w:cs="Times New Roman"/>
                <w:bCs/>
                <w:color w:val="000000"/>
                <w:kern w:val="0"/>
                <w:sz w:val="18"/>
                <w:szCs w:val="18"/>
              </w:rPr>
            </w:pPr>
            <w:r>
              <w:rPr>
                <w:rFonts w:hint="eastAsia" w:ascii="Times New Roman" w:hAnsi="Times New Roman" w:eastAsia="黑体" w:cs="Times New Roman"/>
                <w:bCs/>
                <w:color w:val="000000"/>
                <w:kern w:val="0"/>
                <w:sz w:val="18"/>
                <w:szCs w:val="18"/>
              </w:rPr>
              <w:t>依托的城镇污水处理设施数</w:t>
            </w:r>
          </w:p>
        </w:tc>
        <w:tc>
          <w:tcPr>
            <w:tcW w:w="567"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000000"/>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67"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67"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85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107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53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c>
          <w:tcPr>
            <w:tcW w:w="86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p>
        </w:tc>
      </w:tr>
      <w:tr>
        <w:tblPrEx>
          <w:tblLayout w:type="fixed"/>
          <w:tblCellMar>
            <w:top w:w="0" w:type="dxa"/>
            <w:left w:w="0" w:type="dxa"/>
            <w:bottom w:w="0" w:type="dxa"/>
            <w:right w:w="0" w:type="dxa"/>
          </w:tblCellMar>
        </w:tblPrEx>
        <w:trPr>
          <w:trHeight w:val="20" w:hRule="atLeast"/>
        </w:trPr>
        <w:tc>
          <w:tcPr>
            <w:tcW w:w="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4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4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5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4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5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55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107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53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c>
          <w:tcPr>
            <w:tcW w:w="86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1</w:t>
      </w:r>
      <w:r>
        <w:rPr>
          <w:rFonts w:hint="eastAsia" w:ascii="Times New Roman" w:hAnsi="Times New Roman" w:cs="Times New Roman"/>
          <w:szCs w:val="21"/>
        </w:rPr>
        <w:t>、排污去向（受纳水体）：填写市政管网、城镇污水处理厂、河流、湖泊、海洋等；若直接排入水体的，应注明水体的水质目标。</w:t>
      </w:r>
    </w:p>
    <w:p>
      <w:pP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、主体处理工艺：新建工业集聚区填</w:t>
      </w:r>
      <w:r>
        <w:rPr>
          <w:rFonts w:ascii="Times New Roman" w:hAnsi="Times New Roman" w:cs="Times New Roman"/>
          <w:szCs w:val="21"/>
        </w:rPr>
        <w:t>“</w:t>
      </w:r>
      <w:r>
        <w:rPr>
          <w:rFonts w:hint="eastAsia" w:ascii="Times New Roman" w:hAnsi="Times New Roman" w:cs="Times New Roman"/>
          <w:szCs w:val="21"/>
        </w:rPr>
        <w:t>无</w:t>
      </w:r>
      <w:r>
        <w:rPr>
          <w:rFonts w:ascii="Times New Roman" w:hAnsi="Times New Roman" w:cs="Times New Roman"/>
          <w:szCs w:val="21"/>
        </w:rPr>
        <w:t>”</w:t>
      </w:r>
      <w:r>
        <w:rPr>
          <w:rFonts w:hint="eastAsia"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、在线监测指标名称：如</w:t>
      </w:r>
      <w:r>
        <w:rPr>
          <w:rFonts w:ascii="Times New Roman" w:hAnsi="Times New Roman" w:cs="Times New Roman"/>
          <w:szCs w:val="21"/>
        </w:rPr>
        <w:t>COD</w:t>
      </w:r>
      <w:r>
        <w:rPr>
          <w:rFonts w:hint="eastAsia" w:ascii="Times New Roman" w:hAnsi="Times New Roman" w:cs="Times New Roman"/>
          <w:szCs w:val="21"/>
        </w:rPr>
        <w:t>、氨氮等。</w:t>
      </w:r>
    </w:p>
    <w:p>
      <w:pPr>
        <w:rPr>
          <w:rFonts w:ascii="Times New Roman" w:hAnsi="Times New Roman" w:cs="Times New Roman"/>
          <w:szCs w:val="21"/>
        </w:rPr>
        <w:sectPr>
          <w:pgSz w:w="16838" w:h="11906" w:orient="landscape"/>
          <w:pgMar w:top="1800" w:right="1440" w:bottom="1800" w:left="1440" w:header="851" w:footer="992" w:gutter="0"/>
          <w:cols w:space="425" w:num="1"/>
          <w:docGrid w:type="lines" w:linePitch="312" w:charSpace="0"/>
        </w:sect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2-3</w:t>
      </w:r>
      <w:r>
        <w:rPr>
          <w:rFonts w:hint="eastAsia" w:ascii="华文中宋" w:hAnsi="华文中宋" w:eastAsia="华文中宋"/>
          <w:sz w:val="28"/>
          <w:szCs w:val="28"/>
        </w:rPr>
        <w:t>城镇污水处理设施建设改造</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4"/>
        <w:gridCol w:w="432"/>
        <w:gridCol w:w="332"/>
        <w:gridCol w:w="463"/>
        <w:gridCol w:w="1239"/>
        <w:gridCol w:w="566"/>
        <w:gridCol w:w="558"/>
        <w:gridCol w:w="1275"/>
        <w:gridCol w:w="1144"/>
        <w:gridCol w:w="753"/>
        <w:gridCol w:w="1275"/>
        <w:gridCol w:w="854"/>
        <w:gridCol w:w="1091"/>
        <w:gridCol w:w="563"/>
        <w:gridCol w:w="709"/>
        <w:gridCol w:w="70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364"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43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33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702"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566"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项目名称</w:t>
            </w:r>
          </w:p>
        </w:tc>
        <w:tc>
          <w:tcPr>
            <w:tcW w:w="558"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类型</w:t>
            </w:r>
          </w:p>
        </w:tc>
        <w:tc>
          <w:tcPr>
            <w:tcW w:w="3172" w:type="dxa"/>
            <w:gridSpan w:val="3"/>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现状情况</w:t>
            </w:r>
          </w:p>
        </w:tc>
        <w:tc>
          <w:tcPr>
            <w:tcW w:w="2129" w:type="dxa"/>
            <w:gridSpan w:val="2"/>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新改扩建情况</w:t>
            </w:r>
          </w:p>
        </w:tc>
        <w:tc>
          <w:tcPr>
            <w:tcW w:w="109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是否属于敏感区</w:t>
            </w:r>
          </w:p>
        </w:tc>
        <w:tc>
          <w:tcPr>
            <w:tcW w:w="563"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709"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709"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162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364" w:type="dxa"/>
            <w:vMerge w:val="continue"/>
            <w:vAlign w:val="center"/>
          </w:tcPr>
          <w:p>
            <w:pPr>
              <w:widowControl/>
              <w:jc w:val="center"/>
              <w:rPr>
                <w:rFonts w:ascii="Times New Roman" w:hAnsi="Times New Roman" w:eastAsia="黑体" w:cs="Times New Roman"/>
                <w:bCs/>
                <w:color w:val="000000"/>
                <w:kern w:val="0"/>
                <w:szCs w:val="21"/>
              </w:rPr>
            </w:pPr>
          </w:p>
        </w:tc>
        <w:tc>
          <w:tcPr>
            <w:tcW w:w="432" w:type="dxa"/>
            <w:vMerge w:val="continue"/>
            <w:vAlign w:val="center"/>
          </w:tcPr>
          <w:p>
            <w:pPr>
              <w:widowControl/>
              <w:jc w:val="center"/>
              <w:rPr>
                <w:rFonts w:ascii="Times New Roman" w:hAnsi="Times New Roman" w:eastAsia="黑体" w:cs="Times New Roman"/>
                <w:bCs/>
                <w:color w:val="000000"/>
                <w:kern w:val="0"/>
                <w:szCs w:val="21"/>
              </w:rPr>
            </w:pPr>
          </w:p>
        </w:tc>
        <w:tc>
          <w:tcPr>
            <w:tcW w:w="332" w:type="dxa"/>
            <w:vMerge w:val="continue"/>
            <w:vAlign w:val="center"/>
          </w:tcPr>
          <w:p>
            <w:pPr>
              <w:widowControl/>
              <w:jc w:val="center"/>
              <w:rPr>
                <w:rFonts w:ascii="Times New Roman" w:hAnsi="Times New Roman" w:eastAsia="黑体" w:cs="Times New Roman"/>
                <w:bCs/>
                <w:color w:val="000000"/>
                <w:kern w:val="0"/>
                <w:szCs w:val="21"/>
              </w:rPr>
            </w:pPr>
          </w:p>
        </w:tc>
        <w:tc>
          <w:tcPr>
            <w:tcW w:w="463"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239"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566" w:type="dxa"/>
            <w:vMerge w:val="continue"/>
            <w:vAlign w:val="center"/>
          </w:tcPr>
          <w:p>
            <w:pPr>
              <w:widowControl/>
              <w:jc w:val="center"/>
              <w:rPr>
                <w:rFonts w:ascii="Times New Roman" w:hAnsi="Times New Roman" w:eastAsia="黑体" w:cs="Times New Roman"/>
                <w:bCs/>
                <w:color w:val="000000"/>
                <w:kern w:val="0"/>
                <w:szCs w:val="21"/>
              </w:rPr>
            </w:pPr>
          </w:p>
        </w:tc>
        <w:tc>
          <w:tcPr>
            <w:tcW w:w="558" w:type="dxa"/>
            <w:vMerge w:val="continue"/>
            <w:vAlign w:val="center"/>
          </w:tcPr>
          <w:p>
            <w:pPr>
              <w:widowControl/>
              <w:jc w:val="center"/>
              <w:rPr>
                <w:rFonts w:ascii="Times New Roman" w:hAnsi="Times New Roman" w:eastAsia="黑体" w:cs="Times New Roman"/>
                <w:bCs/>
                <w:color w:val="000000"/>
                <w:kern w:val="0"/>
                <w:szCs w:val="21"/>
              </w:rPr>
            </w:pPr>
          </w:p>
        </w:tc>
        <w:tc>
          <w:tcPr>
            <w:tcW w:w="1275"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设计处理能力</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1144"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实际处理能力（万吨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753"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排放标准</w:t>
            </w:r>
          </w:p>
        </w:tc>
        <w:tc>
          <w:tcPr>
            <w:tcW w:w="1275"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设计处理能力</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854"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排放标准</w:t>
            </w:r>
          </w:p>
        </w:tc>
        <w:tc>
          <w:tcPr>
            <w:tcW w:w="1091" w:type="dxa"/>
            <w:vMerge w:val="continue"/>
            <w:vAlign w:val="center"/>
          </w:tcPr>
          <w:p>
            <w:pPr>
              <w:widowControl/>
              <w:jc w:val="center"/>
              <w:rPr>
                <w:rFonts w:ascii="Times New Roman" w:hAnsi="Times New Roman" w:eastAsia="黑体" w:cs="Times New Roman"/>
                <w:bCs/>
                <w:color w:val="000000"/>
                <w:kern w:val="0"/>
                <w:szCs w:val="21"/>
              </w:rPr>
            </w:pPr>
          </w:p>
        </w:tc>
        <w:tc>
          <w:tcPr>
            <w:tcW w:w="563" w:type="dxa"/>
            <w:vMerge w:val="continue"/>
            <w:vAlign w:val="center"/>
          </w:tcPr>
          <w:p>
            <w:pPr>
              <w:widowControl/>
              <w:jc w:val="center"/>
              <w:rPr>
                <w:rFonts w:ascii="Times New Roman" w:hAnsi="Times New Roman" w:eastAsia="黑体" w:cs="Times New Roman"/>
                <w:bCs/>
                <w:color w:val="000000"/>
                <w:kern w:val="0"/>
                <w:szCs w:val="21"/>
              </w:rPr>
            </w:pPr>
          </w:p>
        </w:tc>
        <w:tc>
          <w:tcPr>
            <w:tcW w:w="709" w:type="dxa"/>
            <w:vMerge w:val="continue"/>
            <w:vAlign w:val="center"/>
          </w:tcPr>
          <w:p>
            <w:pPr>
              <w:widowControl/>
              <w:jc w:val="center"/>
              <w:rPr>
                <w:rFonts w:ascii="Times New Roman" w:hAnsi="Times New Roman" w:eastAsia="黑体" w:cs="Times New Roman"/>
                <w:bCs/>
                <w:color w:val="000000"/>
                <w:kern w:val="0"/>
                <w:szCs w:val="21"/>
              </w:rPr>
            </w:pPr>
          </w:p>
        </w:tc>
        <w:tc>
          <w:tcPr>
            <w:tcW w:w="709" w:type="dxa"/>
            <w:vMerge w:val="continue"/>
          </w:tcPr>
          <w:p>
            <w:pPr>
              <w:widowControl/>
              <w:jc w:val="center"/>
              <w:rPr>
                <w:rFonts w:ascii="Times New Roman" w:hAnsi="Times New Roman" w:eastAsia="黑体" w:cs="Times New Roman"/>
                <w:bCs/>
                <w:color w:val="000000"/>
                <w:kern w:val="0"/>
                <w:szCs w:val="21"/>
              </w:rPr>
            </w:pPr>
          </w:p>
        </w:tc>
        <w:tc>
          <w:tcPr>
            <w:tcW w:w="1621"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364" w:type="dxa"/>
            <w:shd w:val="clear" w:color="auto" w:fill="auto"/>
            <w:vAlign w:val="center"/>
          </w:tcPr>
          <w:p>
            <w:pPr>
              <w:widowControl/>
              <w:jc w:val="center"/>
              <w:rPr>
                <w:rFonts w:ascii="Times New Roman" w:hAnsi="Times New Roman" w:cs="Times New Roman"/>
                <w:color w:val="000000"/>
                <w:kern w:val="0"/>
                <w:szCs w:val="21"/>
              </w:rPr>
            </w:pPr>
          </w:p>
        </w:tc>
        <w:tc>
          <w:tcPr>
            <w:tcW w:w="432" w:type="dxa"/>
            <w:shd w:val="clear" w:color="auto" w:fill="auto"/>
            <w:vAlign w:val="center"/>
          </w:tcPr>
          <w:p>
            <w:pPr>
              <w:widowControl/>
              <w:jc w:val="center"/>
              <w:rPr>
                <w:rFonts w:ascii="Times New Roman" w:hAnsi="Times New Roman" w:cs="Times New Roman"/>
                <w:color w:val="000000"/>
                <w:kern w:val="0"/>
                <w:szCs w:val="21"/>
              </w:rPr>
            </w:pPr>
          </w:p>
        </w:tc>
        <w:tc>
          <w:tcPr>
            <w:tcW w:w="332" w:type="dxa"/>
            <w:shd w:val="clear" w:color="auto" w:fill="auto"/>
            <w:vAlign w:val="center"/>
          </w:tcPr>
          <w:p>
            <w:pPr>
              <w:widowControl/>
              <w:jc w:val="center"/>
              <w:rPr>
                <w:rFonts w:ascii="Times New Roman" w:hAnsi="Times New Roman" w:cs="Times New Roman"/>
                <w:color w:val="000000"/>
                <w:kern w:val="0"/>
                <w:szCs w:val="21"/>
              </w:rPr>
            </w:pPr>
          </w:p>
        </w:tc>
        <w:tc>
          <w:tcPr>
            <w:tcW w:w="463" w:type="dxa"/>
            <w:vAlign w:val="center"/>
          </w:tcPr>
          <w:p>
            <w:pPr>
              <w:widowControl/>
              <w:spacing w:line="240" w:lineRule="atLeast"/>
              <w:jc w:val="center"/>
              <w:rPr>
                <w:rFonts w:ascii="Times New Roman" w:hAnsi="Times New Roman" w:cs="Times New Roman"/>
                <w:color w:val="FF0000"/>
                <w:kern w:val="0"/>
                <w:szCs w:val="21"/>
              </w:rPr>
            </w:pPr>
          </w:p>
        </w:tc>
        <w:tc>
          <w:tcPr>
            <w:tcW w:w="1239" w:type="dxa"/>
            <w:vAlign w:val="center"/>
          </w:tcPr>
          <w:p>
            <w:pPr>
              <w:widowControl/>
              <w:spacing w:line="240" w:lineRule="atLeast"/>
              <w:jc w:val="center"/>
              <w:rPr>
                <w:rFonts w:ascii="Times New Roman" w:hAnsi="Times New Roman" w:cs="Times New Roman"/>
                <w:kern w:val="0"/>
                <w:szCs w:val="21"/>
              </w:rPr>
            </w:pPr>
          </w:p>
        </w:tc>
        <w:tc>
          <w:tcPr>
            <w:tcW w:w="566" w:type="dxa"/>
            <w:shd w:val="clear" w:color="auto" w:fill="auto"/>
            <w:vAlign w:val="center"/>
          </w:tcPr>
          <w:p>
            <w:pPr>
              <w:widowControl/>
              <w:jc w:val="center"/>
              <w:rPr>
                <w:rFonts w:ascii="Times New Roman" w:hAnsi="Times New Roman" w:cs="Times New Roman"/>
                <w:color w:val="000000"/>
                <w:kern w:val="0"/>
                <w:szCs w:val="21"/>
              </w:rPr>
            </w:pPr>
          </w:p>
        </w:tc>
        <w:tc>
          <w:tcPr>
            <w:tcW w:w="558" w:type="dxa"/>
            <w:shd w:val="clear" w:color="auto" w:fill="auto"/>
            <w:vAlign w:val="center"/>
          </w:tcPr>
          <w:p>
            <w:pPr>
              <w:widowControl/>
              <w:jc w:val="center"/>
              <w:rPr>
                <w:rFonts w:ascii="Times New Roman" w:hAnsi="Times New Roman" w:cs="Times New Roman"/>
                <w:color w:val="000000"/>
                <w:kern w:val="0"/>
                <w:szCs w:val="21"/>
              </w:rPr>
            </w:pPr>
          </w:p>
        </w:tc>
        <w:tc>
          <w:tcPr>
            <w:tcW w:w="1275" w:type="dxa"/>
            <w:shd w:val="clear" w:color="auto" w:fill="auto"/>
            <w:vAlign w:val="center"/>
          </w:tcPr>
          <w:p>
            <w:pPr>
              <w:widowControl/>
              <w:jc w:val="center"/>
              <w:rPr>
                <w:rFonts w:ascii="Times New Roman" w:hAnsi="Times New Roman" w:cs="Times New Roman"/>
                <w:color w:val="000000"/>
                <w:kern w:val="0"/>
                <w:szCs w:val="21"/>
              </w:rPr>
            </w:pPr>
          </w:p>
        </w:tc>
        <w:tc>
          <w:tcPr>
            <w:tcW w:w="1144" w:type="dxa"/>
            <w:shd w:val="clear" w:color="auto" w:fill="auto"/>
            <w:vAlign w:val="center"/>
          </w:tcPr>
          <w:p>
            <w:pPr>
              <w:widowControl/>
              <w:jc w:val="center"/>
              <w:rPr>
                <w:rFonts w:ascii="Times New Roman" w:hAnsi="Times New Roman" w:cs="Times New Roman"/>
                <w:color w:val="000000"/>
                <w:kern w:val="0"/>
                <w:szCs w:val="21"/>
              </w:rPr>
            </w:pPr>
          </w:p>
        </w:tc>
        <w:tc>
          <w:tcPr>
            <w:tcW w:w="753" w:type="dxa"/>
            <w:shd w:val="clear" w:color="auto" w:fill="auto"/>
            <w:vAlign w:val="center"/>
          </w:tcPr>
          <w:p>
            <w:pPr>
              <w:widowControl/>
              <w:jc w:val="center"/>
              <w:rPr>
                <w:rFonts w:ascii="Times New Roman" w:hAnsi="Times New Roman" w:cs="Times New Roman"/>
                <w:color w:val="000000"/>
                <w:kern w:val="0"/>
                <w:szCs w:val="21"/>
              </w:rPr>
            </w:pPr>
          </w:p>
        </w:tc>
        <w:tc>
          <w:tcPr>
            <w:tcW w:w="1275" w:type="dxa"/>
            <w:shd w:val="clear" w:color="auto" w:fill="auto"/>
            <w:vAlign w:val="center"/>
          </w:tcPr>
          <w:p>
            <w:pPr>
              <w:widowControl/>
              <w:jc w:val="center"/>
              <w:rPr>
                <w:rFonts w:ascii="Times New Roman" w:hAnsi="Times New Roman" w:cs="Times New Roman"/>
                <w:color w:val="000000"/>
                <w:kern w:val="0"/>
                <w:szCs w:val="21"/>
              </w:rPr>
            </w:pPr>
          </w:p>
        </w:tc>
        <w:tc>
          <w:tcPr>
            <w:tcW w:w="854" w:type="dxa"/>
            <w:shd w:val="clear" w:color="auto" w:fill="auto"/>
            <w:vAlign w:val="center"/>
          </w:tcPr>
          <w:p>
            <w:pPr>
              <w:widowControl/>
              <w:jc w:val="center"/>
              <w:rPr>
                <w:rFonts w:ascii="Times New Roman" w:hAnsi="Times New Roman" w:cs="Times New Roman"/>
                <w:color w:val="000000"/>
                <w:kern w:val="0"/>
                <w:szCs w:val="21"/>
              </w:rPr>
            </w:pPr>
          </w:p>
        </w:tc>
        <w:tc>
          <w:tcPr>
            <w:tcW w:w="1091" w:type="dxa"/>
            <w:vAlign w:val="center"/>
          </w:tcPr>
          <w:p>
            <w:pPr>
              <w:widowControl/>
              <w:jc w:val="center"/>
              <w:rPr>
                <w:rFonts w:ascii="Times New Roman" w:hAnsi="Times New Roman" w:cs="Times New Roman"/>
                <w:color w:val="000000"/>
                <w:kern w:val="0"/>
                <w:szCs w:val="21"/>
              </w:rPr>
            </w:pPr>
          </w:p>
        </w:tc>
        <w:tc>
          <w:tcPr>
            <w:tcW w:w="563" w:type="dxa"/>
            <w:vAlign w:val="center"/>
          </w:tcPr>
          <w:p>
            <w:pPr>
              <w:widowControl/>
              <w:jc w:val="center"/>
              <w:rPr>
                <w:rFonts w:ascii="Times New Roman" w:hAnsi="Times New Roman" w:cs="Times New Roman"/>
                <w:color w:val="000000"/>
                <w:kern w:val="0"/>
                <w:szCs w:val="21"/>
              </w:rPr>
            </w:pPr>
          </w:p>
        </w:tc>
        <w:tc>
          <w:tcPr>
            <w:tcW w:w="709" w:type="dxa"/>
            <w:vAlign w:val="center"/>
          </w:tcPr>
          <w:p>
            <w:pPr>
              <w:widowControl/>
              <w:jc w:val="center"/>
              <w:rPr>
                <w:rFonts w:ascii="Times New Roman" w:hAnsi="Times New Roman" w:cs="Times New Roman"/>
                <w:color w:val="000000"/>
                <w:kern w:val="0"/>
                <w:szCs w:val="21"/>
              </w:rPr>
            </w:pPr>
          </w:p>
        </w:tc>
        <w:tc>
          <w:tcPr>
            <w:tcW w:w="709" w:type="dxa"/>
          </w:tcPr>
          <w:p>
            <w:pPr>
              <w:widowControl/>
              <w:jc w:val="center"/>
              <w:rPr>
                <w:rFonts w:ascii="Times New Roman" w:hAnsi="Times New Roman" w:cs="Times New Roman"/>
                <w:color w:val="000000"/>
                <w:kern w:val="0"/>
                <w:szCs w:val="21"/>
              </w:rPr>
            </w:pPr>
          </w:p>
        </w:tc>
        <w:tc>
          <w:tcPr>
            <w:tcW w:w="1621" w:type="dxa"/>
          </w:tcPr>
          <w:p>
            <w:pPr>
              <w:widowControl/>
              <w:jc w:val="center"/>
              <w:rPr>
                <w:rFonts w:ascii="Times New Roman" w:hAnsi="Times New Roman" w:cs="Times New Roman"/>
                <w:color w:val="000000"/>
                <w:kern w:val="0"/>
                <w:szCs w:val="21"/>
              </w:rPr>
            </w:pPr>
          </w:p>
        </w:tc>
      </w:tr>
    </w:tbl>
    <w:p>
      <w:pPr>
        <w:rPr>
          <w:rFonts w:ascii="Times New Roman" w:hAnsi="Times New Roman" w:cs="Times New Roman"/>
          <w:szCs w:val="21"/>
        </w:rPr>
      </w:pPr>
      <w:r>
        <w:rPr>
          <w:rFonts w:hint="eastAsia" w:ascii="Times New Roman" w:hAnsi="Times New Roman" w:cs="Times New Roman"/>
          <w:szCs w:val="21"/>
        </w:rPr>
        <w:t>备注：类型分</w:t>
      </w:r>
      <w:r>
        <w:rPr>
          <w:rFonts w:hint="eastAsia" w:ascii="Times New Roman" w:hAnsi="Times New Roman" w:cs="Times New Roman"/>
          <w:color w:val="000000"/>
          <w:kern w:val="0"/>
          <w:szCs w:val="21"/>
        </w:rPr>
        <w:t>新建、一级</w:t>
      </w:r>
      <w:r>
        <w:rPr>
          <w:rFonts w:ascii="Times New Roman" w:hAnsi="Times New Roman" w:cs="Times New Roman"/>
          <w:color w:val="000000"/>
          <w:kern w:val="0"/>
          <w:szCs w:val="21"/>
        </w:rPr>
        <w:t>A</w:t>
      </w:r>
      <w:r>
        <w:rPr>
          <w:rFonts w:hint="eastAsia" w:ascii="Times New Roman" w:hAnsi="Times New Roman" w:cs="Times New Roman"/>
          <w:color w:val="000000"/>
          <w:kern w:val="0"/>
          <w:szCs w:val="21"/>
        </w:rPr>
        <w:t>改建、其他改扩建等。</w:t>
      </w:r>
      <w:r>
        <w:rPr>
          <w:rFonts w:hint="eastAsia" w:ascii="Times New Roman" w:hAnsi="Times New Roman" w:cs="Times New Roman"/>
          <w:szCs w:val="21"/>
        </w:rPr>
        <w:t>若为城镇污水处理设施新建项目，不用填现状情况。</w:t>
      </w:r>
    </w:p>
    <w:p>
      <w:pPr>
        <w:rPr>
          <w:rFonts w:ascii="Times New Roman" w:hAnsi="Times New Roman" w:cs="Times New Roman"/>
          <w:szCs w:val="21"/>
        </w:r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2-4</w:t>
      </w:r>
      <w:r>
        <w:rPr>
          <w:rFonts w:hint="eastAsia" w:ascii="华文中宋" w:hAnsi="华文中宋" w:eastAsia="华文中宋"/>
          <w:sz w:val="28"/>
          <w:szCs w:val="28"/>
        </w:rPr>
        <w:t>城市污水收集管网改造</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20"/>
        <w:gridCol w:w="887"/>
        <w:gridCol w:w="851"/>
        <w:gridCol w:w="1509"/>
        <w:gridCol w:w="962"/>
        <w:gridCol w:w="1177"/>
        <w:gridCol w:w="1325"/>
        <w:gridCol w:w="1068"/>
        <w:gridCol w:w="854"/>
        <w:gridCol w:w="954"/>
        <w:gridCol w:w="513"/>
        <w:gridCol w:w="70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698"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820"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887"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2360"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96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项目名称</w:t>
            </w:r>
          </w:p>
        </w:tc>
        <w:tc>
          <w:tcPr>
            <w:tcW w:w="1177"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预计配套管网长度（公里）</w:t>
            </w:r>
          </w:p>
        </w:tc>
        <w:tc>
          <w:tcPr>
            <w:tcW w:w="1325"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预计新增水量（万吨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1068"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新增服务人口（万人）</w:t>
            </w:r>
          </w:p>
        </w:tc>
        <w:tc>
          <w:tcPr>
            <w:tcW w:w="854"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排放去向</w:t>
            </w:r>
          </w:p>
        </w:tc>
        <w:tc>
          <w:tcPr>
            <w:tcW w:w="954"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513"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709"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162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98"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20"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87"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1"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509"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962"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177"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325"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068"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4"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954" w:type="dxa"/>
            <w:vMerge w:val="continue"/>
            <w:vAlign w:val="center"/>
          </w:tcPr>
          <w:p>
            <w:pPr>
              <w:widowControl/>
              <w:jc w:val="center"/>
              <w:rPr>
                <w:rFonts w:ascii="Times New Roman" w:hAnsi="Times New Roman" w:eastAsia="黑体" w:cs="Times New Roman"/>
                <w:bCs/>
                <w:color w:val="000000"/>
                <w:kern w:val="0"/>
                <w:szCs w:val="21"/>
              </w:rPr>
            </w:pPr>
          </w:p>
        </w:tc>
        <w:tc>
          <w:tcPr>
            <w:tcW w:w="513" w:type="dxa"/>
            <w:vMerge w:val="continue"/>
          </w:tcPr>
          <w:p>
            <w:pPr>
              <w:widowControl/>
              <w:jc w:val="center"/>
              <w:rPr>
                <w:rFonts w:ascii="Times New Roman" w:hAnsi="Times New Roman" w:eastAsia="黑体" w:cs="Times New Roman"/>
                <w:bCs/>
                <w:color w:val="000000"/>
                <w:kern w:val="0"/>
                <w:szCs w:val="21"/>
              </w:rPr>
            </w:pPr>
          </w:p>
        </w:tc>
        <w:tc>
          <w:tcPr>
            <w:tcW w:w="709" w:type="dxa"/>
            <w:vMerge w:val="continue"/>
          </w:tcPr>
          <w:p>
            <w:pPr>
              <w:widowControl/>
              <w:jc w:val="center"/>
              <w:rPr>
                <w:rFonts w:ascii="Times New Roman" w:hAnsi="Times New Roman" w:eastAsia="黑体" w:cs="Times New Roman"/>
                <w:bCs/>
                <w:color w:val="000000"/>
                <w:kern w:val="0"/>
                <w:szCs w:val="21"/>
              </w:rPr>
            </w:pPr>
          </w:p>
        </w:tc>
        <w:tc>
          <w:tcPr>
            <w:tcW w:w="1621"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698" w:type="dxa"/>
            <w:shd w:val="clear" w:color="auto" w:fill="auto"/>
            <w:vAlign w:val="center"/>
          </w:tcPr>
          <w:p>
            <w:pPr>
              <w:widowControl/>
              <w:jc w:val="center"/>
              <w:rPr>
                <w:rFonts w:ascii="Times New Roman" w:hAnsi="Times New Roman" w:cs="Times New Roman"/>
                <w:color w:val="000000"/>
                <w:kern w:val="0"/>
                <w:szCs w:val="21"/>
              </w:rPr>
            </w:pPr>
          </w:p>
        </w:tc>
        <w:tc>
          <w:tcPr>
            <w:tcW w:w="820" w:type="dxa"/>
            <w:shd w:val="clear" w:color="auto" w:fill="auto"/>
            <w:vAlign w:val="center"/>
          </w:tcPr>
          <w:p>
            <w:pPr>
              <w:widowControl/>
              <w:jc w:val="center"/>
              <w:rPr>
                <w:rFonts w:ascii="Times New Roman" w:hAnsi="Times New Roman" w:cs="Times New Roman"/>
                <w:color w:val="000000"/>
                <w:kern w:val="0"/>
                <w:szCs w:val="21"/>
              </w:rPr>
            </w:pPr>
          </w:p>
        </w:tc>
        <w:tc>
          <w:tcPr>
            <w:tcW w:w="887" w:type="dxa"/>
            <w:shd w:val="clear" w:color="auto" w:fill="auto"/>
            <w:vAlign w:val="center"/>
          </w:tcPr>
          <w:p>
            <w:pPr>
              <w:widowControl/>
              <w:jc w:val="center"/>
              <w:rPr>
                <w:rFonts w:ascii="Times New Roman" w:hAnsi="Times New Roman" w:cs="Times New Roman"/>
                <w:color w:val="000000"/>
                <w:kern w:val="0"/>
                <w:szCs w:val="21"/>
              </w:rPr>
            </w:pPr>
          </w:p>
        </w:tc>
        <w:tc>
          <w:tcPr>
            <w:tcW w:w="851" w:type="dxa"/>
            <w:vAlign w:val="center"/>
          </w:tcPr>
          <w:p>
            <w:pPr>
              <w:widowControl/>
              <w:spacing w:line="240" w:lineRule="atLeast"/>
              <w:jc w:val="center"/>
              <w:rPr>
                <w:rFonts w:ascii="Times New Roman" w:hAnsi="Times New Roman" w:cs="Times New Roman"/>
                <w:color w:val="FF0000"/>
                <w:kern w:val="0"/>
                <w:szCs w:val="21"/>
              </w:rPr>
            </w:pPr>
          </w:p>
        </w:tc>
        <w:tc>
          <w:tcPr>
            <w:tcW w:w="1509" w:type="dxa"/>
            <w:vAlign w:val="center"/>
          </w:tcPr>
          <w:p>
            <w:pPr>
              <w:widowControl/>
              <w:spacing w:line="240" w:lineRule="atLeast"/>
              <w:jc w:val="center"/>
              <w:rPr>
                <w:rFonts w:ascii="Times New Roman" w:hAnsi="Times New Roman" w:cs="Times New Roman"/>
                <w:kern w:val="0"/>
                <w:szCs w:val="21"/>
              </w:rPr>
            </w:pPr>
          </w:p>
        </w:tc>
        <w:tc>
          <w:tcPr>
            <w:tcW w:w="962" w:type="dxa"/>
            <w:shd w:val="clear" w:color="auto" w:fill="auto"/>
            <w:vAlign w:val="center"/>
          </w:tcPr>
          <w:p>
            <w:pPr>
              <w:widowControl/>
              <w:jc w:val="center"/>
              <w:rPr>
                <w:rFonts w:ascii="Times New Roman" w:hAnsi="Times New Roman" w:cs="Times New Roman"/>
                <w:color w:val="000000"/>
                <w:kern w:val="0"/>
                <w:szCs w:val="21"/>
              </w:rPr>
            </w:pPr>
          </w:p>
        </w:tc>
        <w:tc>
          <w:tcPr>
            <w:tcW w:w="1177" w:type="dxa"/>
            <w:shd w:val="clear" w:color="auto" w:fill="auto"/>
            <w:vAlign w:val="center"/>
          </w:tcPr>
          <w:p>
            <w:pPr>
              <w:widowControl/>
              <w:jc w:val="center"/>
              <w:rPr>
                <w:rFonts w:ascii="Times New Roman" w:hAnsi="Times New Roman" w:cs="Times New Roman"/>
                <w:color w:val="000000"/>
                <w:kern w:val="0"/>
                <w:szCs w:val="21"/>
              </w:rPr>
            </w:pPr>
          </w:p>
        </w:tc>
        <w:tc>
          <w:tcPr>
            <w:tcW w:w="1325" w:type="dxa"/>
            <w:shd w:val="clear" w:color="auto" w:fill="auto"/>
            <w:vAlign w:val="center"/>
          </w:tcPr>
          <w:p>
            <w:pPr>
              <w:widowControl/>
              <w:jc w:val="center"/>
              <w:rPr>
                <w:rFonts w:ascii="Times New Roman" w:hAnsi="Times New Roman" w:cs="Times New Roman"/>
                <w:color w:val="000000"/>
                <w:kern w:val="0"/>
                <w:szCs w:val="21"/>
              </w:rPr>
            </w:pPr>
          </w:p>
        </w:tc>
        <w:tc>
          <w:tcPr>
            <w:tcW w:w="1068" w:type="dxa"/>
            <w:shd w:val="clear" w:color="auto" w:fill="auto"/>
            <w:vAlign w:val="center"/>
          </w:tcPr>
          <w:p>
            <w:pPr>
              <w:widowControl/>
              <w:jc w:val="center"/>
              <w:rPr>
                <w:rFonts w:ascii="Times New Roman" w:hAnsi="Times New Roman" w:cs="Times New Roman"/>
                <w:color w:val="000000"/>
                <w:kern w:val="0"/>
                <w:szCs w:val="21"/>
              </w:rPr>
            </w:pPr>
          </w:p>
        </w:tc>
        <w:tc>
          <w:tcPr>
            <w:tcW w:w="854" w:type="dxa"/>
            <w:shd w:val="clear" w:color="auto" w:fill="auto"/>
            <w:vAlign w:val="center"/>
          </w:tcPr>
          <w:p>
            <w:pPr>
              <w:widowControl/>
              <w:jc w:val="center"/>
              <w:rPr>
                <w:rFonts w:ascii="Times New Roman" w:hAnsi="Times New Roman" w:cs="Times New Roman"/>
                <w:color w:val="000000"/>
                <w:kern w:val="0"/>
                <w:szCs w:val="21"/>
              </w:rPr>
            </w:pPr>
          </w:p>
        </w:tc>
        <w:tc>
          <w:tcPr>
            <w:tcW w:w="954" w:type="dxa"/>
            <w:vAlign w:val="center"/>
          </w:tcPr>
          <w:p>
            <w:pPr>
              <w:widowControl/>
              <w:jc w:val="center"/>
              <w:rPr>
                <w:rFonts w:ascii="Times New Roman" w:hAnsi="Times New Roman" w:cs="Times New Roman"/>
                <w:color w:val="000000"/>
                <w:kern w:val="0"/>
                <w:szCs w:val="21"/>
              </w:rPr>
            </w:pPr>
          </w:p>
        </w:tc>
        <w:tc>
          <w:tcPr>
            <w:tcW w:w="513" w:type="dxa"/>
            <w:vAlign w:val="center"/>
          </w:tcPr>
          <w:p>
            <w:pPr>
              <w:widowControl/>
              <w:jc w:val="center"/>
              <w:rPr>
                <w:rFonts w:ascii="Times New Roman" w:hAnsi="Times New Roman" w:cs="Times New Roman"/>
                <w:color w:val="000000"/>
                <w:kern w:val="0"/>
                <w:szCs w:val="21"/>
              </w:rPr>
            </w:pPr>
          </w:p>
        </w:tc>
        <w:tc>
          <w:tcPr>
            <w:tcW w:w="709" w:type="dxa"/>
          </w:tcPr>
          <w:p>
            <w:pPr>
              <w:widowControl/>
              <w:jc w:val="center"/>
              <w:rPr>
                <w:rFonts w:ascii="Times New Roman" w:hAnsi="Times New Roman" w:cs="Times New Roman"/>
                <w:color w:val="000000"/>
                <w:kern w:val="0"/>
                <w:szCs w:val="21"/>
              </w:rPr>
            </w:pPr>
          </w:p>
        </w:tc>
        <w:tc>
          <w:tcPr>
            <w:tcW w:w="1621" w:type="dxa"/>
          </w:tcPr>
          <w:p>
            <w:pPr>
              <w:widowControl/>
              <w:jc w:val="center"/>
              <w:rPr>
                <w:rFonts w:ascii="Times New Roman" w:hAnsi="Times New Roman" w:cs="Times New Roman"/>
                <w:color w:val="000000"/>
                <w:kern w:val="0"/>
                <w:szCs w:val="21"/>
              </w:rPr>
            </w:pPr>
          </w:p>
        </w:tc>
      </w:tr>
    </w:tbl>
    <w:p>
      <w:pPr>
        <w:rPr>
          <w:rFonts w:ascii="Times New Roman" w:hAnsi="Times New Roman" w:cs="Times New Roman"/>
          <w:szCs w:val="21"/>
        </w:rPr>
      </w:pPr>
      <w:r>
        <w:rPr>
          <w:rFonts w:hint="eastAsia" w:ascii="Times New Roman" w:hAnsi="Times New Roman" w:cs="Times New Roman"/>
          <w:szCs w:val="21"/>
        </w:rPr>
        <w:t>备注：排放去向填写污水处理厂名称。</w:t>
      </w:r>
    </w:p>
    <w:p>
      <w:pPr>
        <w:rPr>
          <w:rFonts w:ascii="Times New Roman" w:hAnsi="Times New Roman" w:cs="Times New Roman"/>
          <w:szCs w:val="21"/>
        </w:r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2-5</w:t>
      </w:r>
      <w:r>
        <w:rPr>
          <w:rFonts w:hint="eastAsia" w:ascii="华文中宋" w:hAnsi="华文中宋" w:eastAsia="华文中宋"/>
          <w:sz w:val="28"/>
          <w:szCs w:val="28"/>
        </w:rPr>
        <w:t>城镇污泥处理处置</w:t>
      </w:r>
    </w:p>
    <w:p>
      <w:pPr>
        <w:spacing w:line="360" w:lineRule="auto"/>
        <w:jc w:val="center"/>
        <w:rPr>
          <w:rFonts w:ascii="Times New Roman" w:hAnsi="Times New Roman" w:eastAsia="黑体" w:cs="Times New Roman"/>
          <w:bCs/>
          <w:spacing w:val="6"/>
          <w:kern w:val="0"/>
          <w:szCs w:val="21"/>
        </w:rPr>
      </w:pPr>
      <w:r>
        <w:rPr>
          <w:rFonts w:hint="eastAsia" w:ascii="Times New Roman" w:hAnsi="Times New Roman" w:eastAsia="黑体" w:cs="Times New Roman"/>
          <w:bCs/>
          <w:spacing w:val="6"/>
          <w:kern w:val="0"/>
          <w:szCs w:val="21"/>
        </w:rPr>
        <w:t>附表</w:t>
      </w:r>
      <w:r>
        <w:rPr>
          <w:rFonts w:ascii="Times New Roman" w:hAnsi="Times New Roman" w:eastAsia="黑体" w:cs="Times New Roman"/>
          <w:bCs/>
          <w:spacing w:val="6"/>
          <w:kern w:val="0"/>
          <w:szCs w:val="21"/>
        </w:rPr>
        <w:t>2-5-1</w:t>
      </w:r>
      <w:r>
        <w:rPr>
          <w:rFonts w:hint="eastAsia" w:ascii="Times New Roman" w:hAnsi="Times New Roman" w:eastAsia="黑体" w:cs="Times New Roman"/>
          <w:bCs/>
          <w:spacing w:val="6"/>
          <w:kern w:val="0"/>
          <w:szCs w:val="21"/>
        </w:rPr>
        <w:t>已建污水处理厂污泥处理处置去向</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9"/>
        <w:gridCol w:w="638"/>
        <w:gridCol w:w="773"/>
        <w:gridCol w:w="1134"/>
        <w:gridCol w:w="1245"/>
        <w:gridCol w:w="1731"/>
        <w:gridCol w:w="1430"/>
        <w:gridCol w:w="1903"/>
        <w:gridCol w:w="730"/>
        <w:gridCol w:w="73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39"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639"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638"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907"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1245"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污水处理厂名称</w:t>
            </w:r>
          </w:p>
        </w:tc>
        <w:tc>
          <w:tcPr>
            <w:tcW w:w="173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污泥产生量（吨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年）</w:t>
            </w:r>
          </w:p>
        </w:tc>
        <w:tc>
          <w:tcPr>
            <w:tcW w:w="1430"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污泥处置量</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年）</w:t>
            </w:r>
          </w:p>
        </w:tc>
        <w:tc>
          <w:tcPr>
            <w:tcW w:w="1903"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污泥处理处置方式</w:t>
            </w:r>
          </w:p>
        </w:tc>
        <w:tc>
          <w:tcPr>
            <w:tcW w:w="730"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最终去向</w:t>
            </w:r>
          </w:p>
        </w:tc>
        <w:tc>
          <w:tcPr>
            <w:tcW w:w="730"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2356"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39" w:type="dxa"/>
            <w:vMerge w:val="continue"/>
            <w:vAlign w:val="center"/>
          </w:tcPr>
          <w:p>
            <w:pPr>
              <w:widowControl/>
              <w:jc w:val="center"/>
              <w:rPr>
                <w:rFonts w:ascii="Times New Roman" w:hAnsi="Times New Roman" w:eastAsia="黑体" w:cs="Times New Roman"/>
                <w:bCs/>
                <w:color w:val="000000"/>
                <w:kern w:val="0"/>
                <w:szCs w:val="21"/>
              </w:rPr>
            </w:pPr>
          </w:p>
        </w:tc>
        <w:tc>
          <w:tcPr>
            <w:tcW w:w="639" w:type="dxa"/>
            <w:vMerge w:val="continue"/>
            <w:vAlign w:val="center"/>
          </w:tcPr>
          <w:p>
            <w:pPr>
              <w:widowControl/>
              <w:jc w:val="center"/>
              <w:rPr>
                <w:rFonts w:ascii="Times New Roman" w:hAnsi="Times New Roman" w:eastAsia="黑体" w:cs="Times New Roman"/>
                <w:bCs/>
                <w:color w:val="000000"/>
                <w:kern w:val="0"/>
                <w:szCs w:val="21"/>
              </w:rPr>
            </w:pPr>
          </w:p>
        </w:tc>
        <w:tc>
          <w:tcPr>
            <w:tcW w:w="638" w:type="dxa"/>
            <w:vMerge w:val="continue"/>
            <w:vAlign w:val="center"/>
          </w:tcPr>
          <w:p>
            <w:pPr>
              <w:widowControl/>
              <w:jc w:val="center"/>
              <w:rPr>
                <w:rFonts w:ascii="Times New Roman" w:hAnsi="Times New Roman" w:eastAsia="黑体" w:cs="Times New Roman"/>
                <w:bCs/>
                <w:color w:val="000000"/>
                <w:kern w:val="0"/>
                <w:szCs w:val="21"/>
              </w:rPr>
            </w:pPr>
          </w:p>
        </w:tc>
        <w:tc>
          <w:tcPr>
            <w:tcW w:w="773"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134"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1245" w:type="dxa"/>
            <w:vMerge w:val="continue"/>
            <w:vAlign w:val="center"/>
          </w:tcPr>
          <w:p>
            <w:pPr>
              <w:widowControl/>
              <w:jc w:val="center"/>
              <w:rPr>
                <w:rFonts w:ascii="Times New Roman" w:hAnsi="Times New Roman" w:eastAsia="黑体" w:cs="Times New Roman"/>
                <w:bCs/>
                <w:color w:val="000000"/>
                <w:kern w:val="0"/>
                <w:szCs w:val="21"/>
              </w:rPr>
            </w:pPr>
          </w:p>
        </w:tc>
        <w:tc>
          <w:tcPr>
            <w:tcW w:w="1731" w:type="dxa"/>
            <w:vMerge w:val="continue"/>
            <w:vAlign w:val="center"/>
          </w:tcPr>
          <w:p>
            <w:pPr>
              <w:widowControl/>
              <w:jc w:val="center"/>
              <w:rPr>
                <w:rFonts w:ascii="Times New Roman" w:hAnsi="Times New Roman" w:eastAsia="黑体" w:cs="Times New Roman"/>
                <w:bCs/>
                <w:color w:val="000000"/>
                <w:kern w:val="0"/>
                <w:szCs w:val="21"/>
              </w:rPr>
            </w:pPr>
          </w:p>
        </w:tc>
        <w:tc>
          <w:tcPr>
            <w:tcW w:w="1430" w:type="dxa"/>
            <w:vMerge w:val="continue"/>
            <w:vAlign w:val="center"/>
          </w:tcPr>
          <w:p>
            <w:pPr>
              <w:widowControl/>
              <w:jc w:val="center"/>
              <w:rPr>
                <w:rFonts w:ascii="Times New Roman" w:hAnsi="Times New Roman" w:eastAsia="黑体" w:cs="Times New Roman"/>
                <w:bCs/>
                <w:color w:val="000000"/>
                <w:kern w:val="0"/>
                <w:szCs w:val="21"/>
              </w:rPr>
            </w:pPr>
          </w:p>
        </w:tc>
        <w:tc>
          <w:tcPr>
            <w:tcW w:w="1903" w:type="dxa"/>
            <w:vMerge w:val="continue"/>
            <w:vAlign w:val="center"/>
          </w:tcPr>
          <w:p>
            <w:pPr>
              <w:widowControl/>
              <w:jc w:val="center"/>
              <w:rPr>
                <w:rFonts w:ascii="Times New Roman" w:hAnsi="Times New Roman" w:eastAsia="黑体" w:cs="Times New Roman"/>
                <w:bCs/>
                <w:color w:val="000000"/>
                <w:kern w:val="0"/>
                <w:szCs w:val="21"/>
              </w:rPr>
            </w:pPr>
          </w:p>
        </w:tc>
        <w:tc>
          <w:tcPr>
            <w:tcW w:w="730" w:type="dxa"/>
            <w:vMerge w:val="continue"/>
          </w:tcPr>
          <w:p>
            <w:pPr>
              <w:widowControl/>
              <w:jc w:val="center"/>
              <w:rPr>
                <w:rFonts w:ascii="Times New Roman" w:hAnsi="Times New Roman" w:eastAsia="黑体" w:cs="Times New Roman"/>
                <w:bCs/>
                <w:color w:val="000000"/>
                <w:kern w:val="0"/>
                <w:szCs w:val="21"/>
              </w:rPr>
            </w:pPr>
          </w:p>
        </w:tc>
        <w:tc>
          <w:tcPr>
            <w:tcW w:w="730" w:type="dxa"/>
            <w:vMerge w:val="continue"/>
          </w:tcPr>
          <w:p>
            <w:pPr>
              <w:widowControl/>
              <w:jc w:val="center"/>
              <w:rPr>
                <w:rFonts w:ascii="Times New Roman" w:hAnsi="Times New Roman" w:eastAsia="黑体" w:cs="Times New Roman"/>
                <w:bCs/>
                <w:color w:val="000000"/>
                <w:kern w:val="0"/>
                <w:szCs w:val="21"/>
              </w:rPr>
            </w:pPr>
          </w:p>
        </w:tc>
        <w:tc>
          <w:tcPr>
            <w:tcW w:w="2356"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9" w:type="dxa"/>
            <w:shd w:val="clear" w:color="auto" w:fill="auto"/>
            <w:vAlign w:val="center"/>
          </w:tcPr>
          <w:p>
            <w:pPr>
              <w:widowControl/>
              <w:jc w:val="center"/>
              <w:rPr>
                <w:rFonts w:ascii="Times New Roman" w:hAnsi="Times New Roman" w:cs="Times New Roman"/>
                <w:kern w:val="0"/>
                <w:szCs w:val="21"/>
              </w:rPr>
            </w:pPr>
          </w:p>
        </w:tc>
        <w:tc>
          <w:tcPr>
            <w:tcW w:w="639" w:type="dxa"/>
            <w:shd w:val="clear" w:color="auto" w:fill="auto"/>
            <w:vAlign w:val="center"/>
          </w:tcPr>
          <w:p>
            <w:pPr>
              <w:widowControl/>
              <w:jc w:val="center"/>
              <w:rPr>
                <w:rFonts w:ascii="Times New Roman" w:hAnsi="Times New Roman" w:cs="Times New Roman"/>
                <w:kern w:val="0"/>
                <w:szCs w:val="21"/>
              </w:rPr>
            </w:pPr>
          </w:p>
        </w:tc>
        <w:tc>
          <w:tcPr>
            <w:tcW w:w="638" w:type="dxa"/>
            <w:shd w:val="clear" w:color="auto" w:fill="auto"/>
            <w:vAlign w:val="center"/>
          </w:tcPr>
          <w:p>
            <w:pPr>
              <w:widowControl/>
              <w:jc w:val="center"/>
              <w:rPr>
                <w:rFonts w:ascii="Times New Roman" w:hAnsi="Times New Roman" w:cs="Times New Roman"/>
                <w:kern w:val="0"/>
                <w:szCs w:val="21"/>
              </w:rPr>
            </w:pPr>
          </w:p>
        </w:tc>
        <w:tc>
          <w:tcPr>
            <w:tcW w:w="773" w:type="dxa"/>
            <w:vAlign w:val="center"/>
          </w:tcPr>
          <w:p>
            <w:pPr>
              <w:widowControl/>
              <w:spacing w:line="240" w:lineRule="atLeast"/>
              <w:jc w:val="center"/>
              <w:rPr>
                <w:rFonts w:ascii="Times New Roman" w:hAnsi="Times New Roman" w:cs="Times New Roman"/>
                <w:color w:val="FF0000"/>
                <w:kern w:val="0"/>
                <w:szCs w:val="21"/>
              </w:rPr>
            </w:pPr>
          </w:p>
        </w:tc>
        <w:tc>
          <w:tcPr>
            <w:tcW w:w="1134" w:type="dxa"/>
            <w:vAlign w:val="center"/>
          </w:tcPr>
          <w:p>
            <w:pPr>
              <w:widowControl/>
              <w:spacing w:line="240" w:lineRule="atLeast"/>
              <w:jc w:val="center"/>
              <w:rPr>
                <w:rFonts w:ascii="Times New Roman" w:hAnsi="Times New Roman" w:cs="Times New Roman"/>
                <w:kern w:val="0"/>
                <w:szCs w:val="21"/>
              </w:rPr>
            </w:pPr>
          </w:p>
        </w:tc>
        <w:tc>
          <w:tcPr>
            <w:tcW w:w="1245" w:type="dxa"/>
            <w:shd w:val="clear" w:color="auto" w:fill="auto"/>
            <w:vAlign w:val="center"/>
          </w:tcPr>
          <w:p>
            <w:pPr>
              <w:widowControl/>
              <w:jc w:val="center"/>
              <w:rPr>
                <w:rFonts w:ascii="Times New Roman" w:hAnsi="Times New Roman" w:cs="Times New Roman"/>
                <w:kern w:val="0"/>
                <w:szCs w:val="21"/>
              </w:rPr>
            </w:pPr>
          </w:p>
        </w:tc>
        <w:tc>
          <w:tcPr>
            <w:tcW w:w="1731" w:type="dxa"/>
            <w:shd w:val="clear" w:color="auto" w:fill="auto"/>
            <w:vAlign w:val="center"/>
          </w:tcPr>
          <w:p>
            <w:pPr>
              <w:widowControl/>
              <w:jc w:val="center"/>
              <w:rPr>
                <w:rFonts w:ascii="Times New Roman" w:hAnsi="Times New Roman" w:cs="Times New Roman"/>
                <w:kern w:val="0"/>
                <w:szCs w:val="21"/>
              </w:rPr>
            </w:pPr>
          </w:p>
        </w:tc>
        <w:tc>
          <w:tcPr>
            <w:tcW w:w="1430" w:type="dxa"/>
            <w:vAlign w:val="center"/>
          </w:tcPr>
          <w:p>
            <w:pPr>
              <w:widowControl/>
              <w:jc w:val="center"/>
              <w:rPr>
                <w:rFonts w:ascii="Times New Roman" w:hAnsi="Times New Roman" w:cs="Times New Roman"/>
                <w:kern w:val="0"/>
                <w:szCs w:val="21"/>
              </w:rPr>
            </w:pPr>
          </w:p>
        </w:tc>
        <w:tc>
          <w:tcPr>
            <w:tcW w:w="1903" w:type="dxa"/>
            <w:shd w:val="clear" w:color="auto" w:fill="auto"/>
            <w:vAlign w:val="center"/>
          </w:tcPr>
          <w:p>
            <w:pPr>
              <w:widowControl/>
              <w:jc w:val="center"/>
              <w:rPr>
                <w:rFonts w:ascii="Times New Roman" w:hAnsi="Times New Roman" w:cs="Times New Roman"/>
                <w:kern w:val="0"/>
                <w:szCs w:val="21"/>
              </w:rPr>
            </w:pPr>
          </w:p>
        </w:tc>
        <w:tc>
          <w:tcPr>
            <w:tcW w:w="730" w:type="dxa"/>
            <w:vAlign w:val="center"/>
          </w:tcPr>
          <w:p>
            <w:pPr>
              <w:widowControl/>
              <w:jc w:val="center"/>
              <w:rPr>
                <w:rFonts w:ascii="Times New Roman" w:hAnsi="Times New Roman" w:cs="Times New Roman"/>
                <w:kern w:val="0"/>
                <w:szCs w:val="21"/>
              </w:rPr>
            </w:pPr>
          </w:p>
        </w:tc>
        <w:tc>
          <w:tcPr>
            <w:tcW w:w="730" w:type="dxa"/>
          </w:tcPr>
          <w:p>
            <w:pPr>
              <w:widowControl/>
              <w:jc w:val="center"/>
              <w:rPr>
                <w:rFonts w:ascii="Times New Roman" w:hAnsi="Times New Roman" w:cs="Times New Roman"/>
                <w:kern w:val="0"/>
                <w:szCs w:val="21"/>
              </w:rPr>
            </w:pPr>
          </w:p>
        </w:tc>
        <w:tc>
          <w:tcPr>
            <w:tcW w:w="2356" w:type="dxa"/>
          </w:tcPr>
          <w:p>
            <w:pPr>
              <w:widowControl/>
              <w:jc w:val="center"/>
              <w:rPr>
                <w:rFonts w:ascii="Times New Roman" w:hAnsi="Times New Roman" w:cs="Times New Roman"/>
                <w:kern w:val="0"/>
                <w:szCs w:val="21"/>
              </w:rPr>
            </w:pPr>
          </w:p>
        </w:tc>
      </w:tr>
    </w:tbl>
    <w:p>
      <w:pPr>
        <w:rPr>
          <w:rFonts w:ascii="Times New Roman" w:hAnsi="Times New Roman" w:cs="Times New Roman"/>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cs="Times New Roman"/>
          <w:szCs w:val="21"/>
        </w:rPr>
        <w:t>备注：处理处置方式：填埋、焚烧、堆肥、综合利用等，最终去向：填写处理处置污泥的填埋场、焚烧厂、堆肥场、综合利用公司等的场所名称。</w:t>
      </w:r>
    </w:p>
    <w:p>
      <w:pPr>
        <w:spacing w:line="360" w:lineRule="auto"/>
        <w:jc w:val="center"/>
        <w:rPr>
          <w:rFonts w:ascii="Times New Roman" w:hAnsi="Times New Roman" w:eastAsia="黑体" w:cs="Times New Roman"/>
          <w:bCs/>
          <w:spacing w:val="6"/>
          <w:kern w:val="0"/>
          <w:szCs w:val="21"/>
        </w:rPr>
      </w:pPr>
      <w:r>
        <w:rPr>
          <w:rFonts w:hint="eastAsia" w:ascii="Times New Roman" w:hAnsi="Times New Roman" w:eastAsia="黑体" w:cs="Times New Roman"/>
          <w:bCs/>
          <w:spacing w:val="6"/>
          <w:kern w:val="0"/>
          <w:szCs w:val="21"/>
        </w:rPr>
        <w:t>附表</w:t>
      </w:r>
      <w:r>
        <w:rPr>
          <w:rFonts w:ascii="Times New Roman" w:hAnsi="Times New Roman" w:eastAsia="黑体" w:cs="Times New Roman"/>
          <w:bCs/>
          <w:spacing w:val="6"/>
          <w:kern w:val="0"/>
          <w:szCs w:val="21"/>
        </w:rPr>
        <w:t xml:space="preserve">2-5-2 </w:t>
      </w:r>
      <w:r>
        <w:rPr>
          <w:rFonts w:hint="eastAsia" w:ascii="Times New Roman" w:hAnsi="Times New Roman" w:eastAsia="黑体" w:cs="Times New Roman"/>
          <w:bCs/>
          <w:spacing w:val="6"/>
          <w:kern w:val="0"/>
          <w:szCs w:val="21"/>
        </w:rPr>
        <w:t>污泥处理处置设施建设和达标改造项目</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93"/>
        <w:gridCol w:w="567"/>
        <w:gridCol w:w="730"/>
        <w:gridCol w:w="1255"/>
        <w:gridCol w:w="691"/>
        <w:gridCol w:w="1471"/>
        <w:gridCol w:w="956"/>
        <w:gridCol w:w="1276"/>
        <w:gridCol w:w="1134"/>
        <w:gridCol w:w="851"/>
        <w:gridCol w:w="85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36"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493"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567"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985"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69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项目名称</w:t>
            </w:r>
          </w:p>
        </w:tc>
        <w:tc>
          <w:tcPr>
            <w:tcW w:w="147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类型（新建或达标改造）</w:t>
            </w:r>
          </w:p>
        </w:tc>
        <w:tc>
          <w:tcPr>
            <w:tcW w:w="956"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处理处置方式</w:t>
            </w:r>
          </w:p>
        </w:tc>
        <w:tc>
          <w:tcPr>
            <w:tcW w:w="1276"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处置规模（吨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年）</w:t>
            </w:r>
          </w:p>
        </w:tc>
        <w:tc>
          <w:tcPr>
            <w:tcW w:w="1134"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85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850"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3038"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36"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493"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567"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730"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255"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691"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471" w:type="dxa"/>
            <w:vMerge w:val="continue"/>
            <w:vAlign w:val="center"/>
          </w:tcPr>
          <w:p>
            <w:pPr>
              <w:widowControl/>
              <w:jc w:val="center"/>
              <w:rPr>
                <w:rFonts w:ascii="Times New Roman" w:hAnsi="Times New Roman" w:eastAsia="黑体" w:cs="Times New Roman"/>
                <w:bCs/>
                <w:color w:val="000000"/>
                <w:kern w:val="0"/>
                <w:szCs w:val="21"/>
              </w:rPr>
            </w:pPr>
          </w:p>
        </w:tc>
        <w:tc>
          <w:tcPr>
            <w:tcW w:w="956"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276"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134"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1" w:type="dxa"/>
            <w:vMerge w:val="continue"/>
          </w:tcPr>
          <w:p>
            <w:pPr>
              <w:widowControl/>
              <w:jc w:val="center"/>
              <w:rPr>
                <w:rFonts w:ascii="Times New Roman" w:hAnsi="Times New Roman" w:eastAsia="黑体" w:cs="Times New Roman"/>
                <w:bCs/>
                <w:color w:val="000000"/>
                <w:kern w:val="0"/>
                <w:szCs w:val="21"/>
              </w:rPr>
            </w:pPr>
          </w:p>
        </w:tc>
        <w:tc>
          <w:tcPr>
            <w:tcW w:w="850" w:type="dxa"/>
            <w:vMerge w:val="continue"/>
          </w:tcPr>
          <w:p>
            <w:pPr>
              <w:widowControl/>
              <w:jc w:val="center"/>
              <w:rPr>
                <w:rFonts w:ascii="Times New Roman" w:hAnsi="Times New Roman" w:eastAsia="黑体" w:cs="Times New Roman"/>
                <w:bCs/>
                <w:color w:val="000000"/>
                <w:kern w:val="0"/>
                <w:szCs w:val="21"/>
              </w:rPr>
            </w:pPr>
          </w:p>
        </w:tc>
        <w:tc>
          <w:tcPr>
            <w:tcW w:w="3038"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36" w:type="dxa"/>
            <w:shd w:val="clear" w:color="auto" w:fill="auto"/>
            <w:vAlign w:val="center"/>
          </w:tcPr>
          <w:p>
            <w:pPr>
              <w:widowControl/>
              <w:jc w:val="center"/>
              <w:rPr>
                <w:rFonts w:ascii="Times New Roman" w:hAnsi="Times New Roman" w:cs="Times New Roman"/>
                <w:kern w:val="0"/>
                <w:szCs w:val="21"/>
              </w:rPr>
            </w:pPr>
          </w:p>
        </w:tc>
        <w:tc>
          <w:tcPr>
            <w:tcW w:w="493" w:type="dxa"/>
            <w:shd w:val="clear" w:color="auto" w:fill="auto"/>
            <w:vAlign w:val="center"/>
          </w:tcPr>
          <w:p>
            <w:pPr>
              <w:widowControl/>
              <w:jc w:val="center"/>
              <w:rPr>
                <w:rFonts w:ascii="Times New Roman" w:hAnsi="Times New Roman" w:cs="Times New Roman"/>
                <w:kern w:val="0"/>
                <w:szCs w:val="21"/>
              </w:rPr>
            </w:pPr>
          </w:p>
        </w:tc>
        <w:tc>
          <w:tcPr>
            <w:tcW w:w="567" w:type="dxa"/>
            <w:shd w:val="clear" w:color="auto" w:fill="auto"/>
            <w:vAlign w:val="center"/>
          </w:tcPr>
          <w:p>
            <w:pPr>
              <w:widowControl/>
              <w:jc w:val="center"/>
              <w:rPr>
                <w:rFonts w:ascii="Times New Roman" w:hAnsi="Times New Roman" w:cs="Times New Roman"/>
                <w:kern w:val="0"/>
                <w:szCs w:val="21"/>
              </w:rPr>
            </w:pPr>
          </w:p>
        </w:tc>
        <w:tc>
          <w:tcPr>
            <w:tcW w:w="730" w:type="dxa"/>
            <w:vAlign w:val="center"/>
          </w:tcPr>
          <w:p>
            <w:pPr>
              <w:widowControl/>
              <w:spacing w:line="240" w:lineRule="atLeast"/>
              <w:jc w:val="center"/>
              <w:rPr>
                <w:rFonts w:ascii="Times New Roman" w:hAnsi="Times New Roman" w:cs="Times New Roman"/>
                <w:kern w:val="0"/>
                <w:szCs w:val="21"/>
              </w:rPr>
            </w:pPr>
          </w:p>
        </w:tc>
        <w:tc>
          <w:tcPr>
            <w:tcW w:w="1255" w:type="dxa"/>
            <w:vAlign w:val="center"/>
          </w:tcPr>
          <w:p>
            <w:pPr>
              <w:widowControl/>
              <w:spacing w:line="240" w:lineRule="atLeast"/>
              <w:jc w:val="center"/>
              <w:rPr>
                <w:rFonts w:ascii="Times New Roman" w:hAnsi="Times New Roman" w:cs="Times New Roman"/>
                <w:kern w:val="0"/>
                <w:szCs w:val="21"/>
              </w:rPr>
            </w:pPr>
          </w:p>
        </w:tc>
        <w:tc>
          <w:tcPr>
            <w:tcW w:w="691" w:type="dxa"/>
            <w:shd w:val="clear" w:color="auto" w:fill="auto"/>
            <w:vAlign w:val="center"/>
          </w:tcPr>
          <w:p>
            <w:pPr>
              <w:widowControl/>
              <w:jc w:val="center"/>
              <w:rPr>
                <w:rFonts w:ascii="Times New Roman" w:hAnsi="Times New Roman" w:cs="Times New Roman"/>
                <w:kern w:val="0"/>
                <w:szCs w:val="21"/>
              </w:rPr>
            </w:pPr>
          </w:p>
        </w:tc>
        <w:tc>
          <w:tcPr>
            <w:tcW w:w="1471" w:type="dxa"/>
            <w:vAlign w:val="center"/>
          </w:tcPr>
          <w:p>
            <w:pPr>
              <w:widowControl/>
              <w:jc w:val="center"/>
              <w:rPr>
                <w:rFonts w:ascii="Times New Roman" w:hAnsi="Times New Roman" w:cs="Times New Roman"/>
                <w:kern w:val="0"/>
                <w:szCs w:val="21"/>
              </w:rPr>
            </w:pPr>
          </w:p>
        </w:tc>
        <w:tc>
          <w:tcPr>
            <w:tcW w:w="956" w:type="dxa"/>
            <w:shd w:val="clear" w:color="auto" w:fill="auto"/>
            <w:vAlign w:val="center"/>
          </w:tcPr>
          <w:p>
            <w:pPr>
              <w:widowControl/>
              <w:jc w:val="center"/>
              <w:rPr>
                <w:rFonts w:ascii="Times New Roman" w:hAnsi="Times New Roman" w:cs="Times New Roman"/>
                <w:kern w:val="0"/>
                <w:szCs w:val="21"/>
              </w:rPr>
            </w:pPr>
          </w:p>
        </w:tc>
        <w:tc>
          <w:tcPr>
            <w:tcW w:w="1276" w:type="dxa"/>
            <w:shd w:val="clear" w:color="auto" w:fill="auto"/>
            <w:vAlign w:val="center"/>
          </w:tcPr>
          <w:p>
            <w:pPr>
              <w:widowControl/>
              <w:jc w:val="center"/>
              <w:rPr>
                <w:rFonts w:ascii="Times New Roman" w:hAnsi="Times New Roman" w:cs="Times New Roman"/>
                <w:kern w:val="0"/>
                <w:szCs w:val="21"/>
              </w:rPr>
            </w:pPr>
          </w:p>
        </w:tc>
        <w:tc>
          <w:tcPr>
            <w:tcW w:w="1134" w:type="dxa"/>
            <w:shd w:val="clear" w:color="auto" w:fill="auto"/>
            <w:vAlign w:val="center"/>
          </w:tcPr>
          <w:p>
            <w:pPr>
              <w:widowControl/>
              <w:jc w:val="center"/>
              <w:rPr>
                <w:rFonts w:ascii="Times New Roman" w:hAnsi="Times New Roman" w:cs="Times New Roman"/>
                <w:kern w:val="0"/>
                <w:szCs w:val="21"/>
              </w:rPr>
            </w:pPr>
          </w:p>
        </w:tc>
        <w:tc>
          <w:tcPr>
            <w:tcW w:w="851" w:type="dxa"/>
            <w:vAlign w:val="center"/>
          </w:tcPr>
          <w:p>
            <w:pPr>
              <w:widowControl/>
              <w:jc w:val="center"/>
              <w:rPr>
                <w:rFonts w:ascii="Times New Roman" w:hAnsi="Times New Roman" w:cs="Times New Roman"/>
                <w:kern w:val="0"/>
                <w:szCs w:val="21"/>
              </w:rPr>
            </w:pPr>
          </w:p>
        </w:tc>
        <w:tc>
          <w:tcPr>
            <w:tcW w:w="850" w:type="dxa"/>
          </w:tcPr>
          <w:p>
            <w:pPr>
              <w:widowControl/>
              <w:jc w:val="center"/>
              <w:rPr>
                <w:rFonts w:ascii="Times New Roman" w:hAnsi="Times New Roman" w:cs="Times New Roman"/>
                <w:kern w:val="0"/>
                <w:szCs w:val="21"/>
              </w:rPr>
            </w:pPr>
          </w:p>
        </w:tc>
        <w:tc>
          <w:tcPr>
            <w:tcW w:w="3038" w:type="dxa"/>
          </w:tcPr>
          <w:p>
            <w:pPr>
              <w:widowControl/>
              <w:jc w:val="center"/>
              <w:rPr>
                <w:rFonts w:ascii="Times New Roman" w:hAnsi="Times New Roman" w:cs="Times New Roman"/>
                <w:kern w:val="0"/>
                <w:szCs w:val="21"/>
              </w:rPr>
            </w:pPr>
          </w:p>
        </w:tc>
      </w:tr>
    </w:tbl>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2-6</w:t>
      </w:r>
      <w:r>
        <w:rPr>
          <w:rFonts w:hint="eastAsia" w:ascii="华文中宋" w:hAnsi="华文中宋" w:eastAsia="华文中宋"/>
          <w:sz w:val="28"/>
          <w:szCs w:val="28"/>
        </w:rPr>
        <w:t>污水再生利用项目</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562"/>
        <w:gridCol w:w="562"/>
        <w:gridCol w:w="500"/>
        <w:gridCol w:w="1418"/>
        <w:gridCol w:w="709"/>
        <w:gridCol w:w="1419"/>
        <w:gridCol w:w="1276"/>
        <w:gridCol w:w="1984"/>
        <w:gridCol w:w="993"/>
        <w:gridCol w:w="850"/>
        <w:gridCol w:w="70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37"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56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562" w:type="dxa"/>
            <w:vMerge w:val="restart"/>
            <w:tcBorders>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918" w:type="dxa"/>
            <w:gridSpan w:val="2"/>
            <w:tcBorders>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7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项目名称</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污水处理能力（万吨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再生水处理能力（万吨</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日）</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再生水设施建设内容（含主要工艺等）</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再生水去向</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232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37"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562"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562" w:type="dxa"/>
            <w:vMerge w:val="continue"/>
            <w:tcBorders>
              <w:right w:val="single" w:color="auto" w:sz="4" w:space="0"/>
            </w:tcBorders>
            <w:vAlign w:val="center"/>
          </w:tcPr>
          <w:p>
            <w:pPr>
              <w:widowControl/>
              <w:jc w:val="center"/>
              <w:rPr>
                <w:rFonts w:ascii="Times New Roman" w:hAnsi="Times New Roman" w:eastAsia="黑体" w:cs="Times New Roman"/>
                <w:bCs/>
                <w:color w:val="000000"/>
                <w:kern w:val="0"/>
                <w:szCs w:val="21"/>
              </w:rPr>
            </w:pPr>
          </w:p>
        </w:tc>
        <w:tc>
          <w:tcPr>
            <w:tcW w:w="500" w:type="dxa"/>
            <w:tcBorders>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418" w:type="dxa"/>
            <w:tcBorders>
              <w:right w:val="single" w:color="auto" w:sz="4" w:space="0"/>
            </w:tcBorders>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p>
        </w:tc>
        <w:tc>
          <w:tcPr>
            <w:tcW w:w="14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color w:val="000000"/>
                <w:kern w:val="0"/>
                <w:szCs w:val="21"/>
              </w:rPr>
            </w:pPr>
          </w:p>
        </w:tc>
        <w:tc>
          <w:tcPr>
            <w:tcW w:w="850" w:type="dxa"/>
            <w:vMerge w:val="continue"/>
            <w:tcBorders>
              <w:left w:val="single" w:color="auto" w:sz="4" w:space="0"/>
              <w:bottom w:val="single" w:color="auto" w:sz="4" w:space="0"/>
              <w:right w:val="single" w:color="auto" w:sz="4" w:space="0"/>
            </w:tcBorders>
          </w:tcPr>
          <w:p>
            <w:pPr>
              <w:widowControl/>
              <w:jc w:val="center"/>
              <w:rPr>
                <w:rFonts w:ascii="Times New Roman" w:hAnsi="Times New Roman" w:eastAsia="黑体" w:cs="Times New Roman"/>
                <w:bCs/>
                <w:color w:val="000000"/>
                <w:kern w:val="0"/>
                <w:szCs w:val="21"/>
              </w:rPr>
            </w:pPr>
          </w:p>
        </w:tc>
        <w:tc>
          <w:tcPr>
            <w:tcW w:w="709" w:type="dxa"/>
            <w:vMerge w:val="continue"/>
            <w:tcBorders>
              <w:left w:val="single" w:color="auto" w:sz="4" w:space="0"/>
              <w:bottom w:val="single" w:color="auto" w:sz="4" w:space="0"/>
              <w:right w:val="single" w:color="auto" w:sz="4" w:space="0"/>
            </w:tcBorders>
          </w:tcPr>
          <w:p>
            <w:pPr>
              <w:widowControl/>
              <w:jc w:val="center"/>
              <w:rPr>
                <w:rFonts w:ascii="Times New Roman" w:hAnsi="Times New Roman" w:eastAsia="黑体" w:cs="Times New Roman"/>
                <w:bCs/>
                <w:color w:val="000000"/>
                <w:kern w:val="0"/>
                <w:szCs w:val="21"/>
              </w:rPr>
            </w:pPr>
          </w:p>
        </w:tc>
        <w:tc>
          <w:tcPr>
            <w:tcW w:w="2329" w:type="dxa"/>
            <w:vMerge w:val="continue"/>
            <w:tcBorders>
              <w:left w:val="single" w:color="auto" w:sz="4" w:space="0"/>
              <w:bottom w:val="single" w:color="auto" w:sz="4" w:space="0"/>
              <w:right w:val="single" w:color="auto" w:sz="4" w:space="0"/>
            </w:tcBorders>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37" w:type="dxa"/>
            <w:shd w:val="clear" w:color="auto" w:fill="auto"/>
            <w:vAlign w:val="center"/>
          </w:tcPr>
          <w:p>
            <w:pPr>
              <w:widowControl/>
              <w:jc w:val="center"/>
              <w:rPr>
                <w:rFonts w:ascii="Times New Roman" w:hAnsi="Times New Roman" w:cs="Times New Roman"/>
                <w:bCs/>
                <w:color w:val="000000"/>
                <w:kern w:val="0"/>
                <w:szCs w:val="21"/>
              </w:rPr>
            </w:pPr>
          </w:p>
        </w:tc>
        <w:tc>
          <w:tcPr>
            <w:tcW w:w="562" w:type="dxa"/>
            <w:shd w:val="clear" w:color="auto" w:fill="auto"/>
            <w:vAlign w:val="center"/>
          </w:tcPr>
          <w:p>
            <w:pPr>
              <w:widowControl/>
              <w:jc w:val="center"/>
              <w:rPr>
                <w:rFonts w:ascii="Times New Roman" w:hAnsi="Times New Roman" w:cs="Times New Roman"/>
                <w:bCs/>
                <w:color w:val="000000"/>
                <w:kern w:val="0"/>
                <w:szCs w:val="21"/>
              </w:rPr>
            </w:pPr>
          </w:p>
        </w:tc>
        <w:tc>
          <w:tcPr>
            <w:tcW w:w="562" w:type="dxa"/>
            <w:vAlign w:val="center"/>
          </w:tcPr>
          <w:p>
            <w:pPr>
              <w:widowControl/>
              <w:jc w:val="center"/>
              <w:rPr>
                <w:rFonts w:ascii="Times New Roman" w:hAnsi="Times New Roman" w:cs="Times New Roman"/>
                <w:bCs/>
                <w:color w:val="000000"/>
                <w:kern w:val="0"/>
                <w:szCs w:val="21"/>
              </w:rPr>
            </w:pPr>
          </w:p>
        </w:tc>
        <w:tc>
          <w:tcPr>
            <w:tcW w:w="500" w:type="dxa"/>
            <w:vAlign w:val="center"/>
          </w:tcPr>
          <w:p>
            <w:pPr>
              <w:widowControl/>
              <w:spacing w:line="240" w:lineRule="atLeast"/>
              <w:jc w:val="center"/>
              <w:rPr>
                <w:rFonts w:ascii="Times New Roman" w:hAnsi="Times New Roman" w:cs="Times New Roman"/>
                <w:color w:val="FF0000"/>
                <w:kern w:val="0"/>
                <w:szCs w:val="21"/>
              </w:rPr>
            </w:pPr>
          </w:p>
        </w:tc>
        <w:tc>
          <w:tcPr>
            <w:tcW w:w="1418" w:type="dxa"/>
            <w:vAlign w:val="center"/>
          </w:tcPr>
          <w:p>
            <w:pPr>
              <w:widowControl/>
              <w:spacing w:line="240" w:lineRule="atLeast"/>
              <w:jc w:val="center"/>
              <w:rPr>
                <w:rFonts w:ascii="Times New Roman" w:hAnsi="Times New Roman" w:cs="Times New Roman"/>
                <w:kern w:val="0"/>
                <w:szCs w:val="21"/>
              </w:rPr>
            </w:pPr>
          </w:p>
        </w:tc>
        <w:tc>
          <w:tcPr>
            <w:tcW w:w="709" w:type="dxa"/>
            <w:tcBorders>
              <w:top w:val="single" w:color="auto" w:sz="4" w:space="0"/>
            </w:tcBorders>
            <w:shd w:val="clear" w:color="auto" w:fill="auto"/>
            <w:vAlign w:val="center"/>
          </w:tcPr>
          <w:p>
            <w:pPr>
              <w:widowControl/>
              <w:jc w:val="center"/>
              <w:rPr>
                <w:rFonts w:ascii="Times New Roman" w:hAnsi="Times New Roman" w:cs="Times New Roman"/>
                <w:bCs/>
                <w:color w:val="000000"/>
                <w:kern w:val="0"/>
                <w:szCs w:val="21"/>
              </w:rPr>
            </w:pPr>
          </w:p>
        </w:tc>
        <w:tc>
          <w:tcPr>
            <w:tcW w:w="1419" w:type="dxa"/>
            <w:tcBorders>
              <w:top w:val="single" w:color="auto" w:sz="4" w:space="0"/>
            </w:tcBorders>
            <w:shd w:val="clear" w:color="auto" w:fill="auto"/>
            <w:vAlign w:val="center"/>
          </w:tcPr>
          <w:p>
            <w:pPr>
              <w:widowControl/>
              <w:jc w:val="center"/>
              <w:rPr>
                <w:rFonts w:ascii="Times New Roman" w:hAnsi="Times New Roman" w:cs="Times New Roman"/>
                <w:bCs/>
                <w:color w:val="000000"/>
                <w:kern w:val="0"/>
                <w:szCs w:val="21"/>
              </w:rPr>
            </w:pPr>
          </w:p>
        </w:tc>
        <w:tc>
          <w:tcPr>
            <w:tcW w:w="1276" w:type="dxa"/>
            <w:tcBorders>
              <w:top w:val="single" w:color="auto" w:sz="4" w:space="0"/>
            </w:tcBorders>
            <w:shd w:val="clear" w:color="auto" w:fill="auto"/>
            <w:vAlign w:val="center"/>
          </w:tcPr>
          <w:p>
            <w:pPr>
              <w:widowControl/>
              <w:jc w:val="center"/>
              <w:rPr>
                <w:rFonts w:ascii="Times New Roman" w:hAnsi="Times New Roman" w:cs="Times New Roman"/>
                <w:bCs/>
                <w:color w:val="000000"/>
                <w:kern w:val="0"/>
                <w:szCs w:val="21"/>
              </w:rPr>
            </w:pPr>
          </w:p>
        </w:tc>
        <w:tc>
          <w:tcPr>
            <w:tcW w:w="1984" w:type="dxa"/>
            <w:tcBorders>
              <w:top w:val="single" w:color="auto" w:sz="4" w:space="0"/>
            </w:tcBorders>
            <w:shd w:val="clear" w:color="auto" w:fill="auto"/>
            <w:vAlign w:val="center"/>
          </w:tcPr>
          <w:p>
            <w:pPr>
              <w:widowControl/>
              <w:jc w:val="center"/>
              <w:rPr>
                <w:rFonts w:ascii="Times New Roman" w:hAnsi="Times New Roman" w:cs="Times New Roman"/>
                <w:bCs/>
                <w:color w:val="000000"/>
                <w:kern w:val="0"/>
                <w:szCs w:val="21"/>
              </w:rPr>
            </w:pPr>
          </w:p>
        </w:tc>
        <w:tc>
          <w:tcPr>
            <w:tcW w:w="993" w:type="dxa"/>
            <w:tcBorders>
              <w:top w:val="single" w:color="auto" w:sz="4" w:space="0"/>
            </w:tcBorders>
            <w:shd w:val="clear" w:color="auto" w:fill="auto"/>
            <w:vAlign w:val="center"/>
          </w:tcPr>
          <w:p>
            <w:pPr>
              <w:widowControl/>
              <w:jc w:val="center"/>
              <w:rPr>
                <w:rFonts w:ascii="Times New Roman" w:hAnsi="Times New Roman" w:cs="Times New Roman"/>
                <w:bCs/>
                <w:color w:val="000000"/>
                <w:kern w:val="0"/>
                <w:szCs w:val="21"/>
              </w:rPr>
            </w:pPr>
          </w:p>
        </w:tc>
        <w:tc>
          <w:tcPr>
            <w:tcW w:w="850" w:type="dxa"/>
            <w:tcBorders>
              <w:top w:val="single" w:color="auto" w:sz="4" w:space="0"/>
            </w:tcBorders>
          </w:tcPr>
          <w:p>
            <w:pPr>
              <w:widowControl/>
              <w:jc w:val="center"/>
              <w:rPr>
                <w:rFonts w:ascii="Times New Roman" w:hAnsi="Times New Roman" w:cs="Times New Roman"/>
                <w:bCs/>
                <w:color w:val="000000"/>
                <w:kern w:val="0"/>
                <w:szCs w:val="21"/>
              </w:rPr>
            </w:pPr>
          </w:p>
        </w:tc>
        <w:tc>
          <w:tcPr>
            <w:tcW w:w="709" w:type="dxa"/>
            <w:tcBorders>
              <w:top w:val="single" w:color="auto" w:sz="4" w:space="0"/>
            </w:tcBorders>
          </w:tcPr>
          <w:p>
            <w:pPr>
              <w:widowControl/>
              <w:jc w:val="center"/>
              <w:rPr>
                <w:rFonts w:ascii="Times New Roman" w:hAnsi="Times New Roman" w:cs="Times New Roman"/>
                <w:bCs/>
                <w:color w:val="000000"/>
                <w:kern w:val="0"/>
                <w:szCs w:val="21"/>
              </w:rPr>
            </w:pPr>
          </w:p>
        </w:tc>
        <w:tc>
          <w:tcPr>
            <w:tcW w:w="2329" w:type="dxa"/>
            <w:tcBorders>
              <w:top w:val="single" w:color="auto" w:sz="4" w:space="0"/>
            </w:tcBorders>
          </w:tcPr>
          <w:p>
            <w:pPr>
              <w:widowControl/>
              <w:jc w:val="center"/>
              <w:rPr>
                <w:rFonts w:ascii="Times New Roman" w:hAnsi="Times New Roman" w:cs="Times New Roman"/>
                <w:bCs/>
                <w:color w:val="000000"/>
                <w:kern w:val="0"/>
                <w:szCs w:val="21"/>
              </w:rPr>
            </w:pPr>
          </w:p>
        </w:tc>
      </w:tr>
    </w:tbl>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2-7</w:t>
      </w:r>
      <w:r>
        <w:rPr>
          <w:rFonts w:hint="eastAsia" w:ascii="华文中宋" w:hAnsi="华文中宋" w:eastAsia="华文中宋"/>
          <w:sz w:val="28"/>
          <w:szCs w:val="28"/>
        </w:rPr>
        <w:t>规模化畜禽养殖污染防治</w:t>
      </w:r>
    </w:p>
    <w:p>
      <w:pPr>
        <w:spacing w:line="360" w:lineRule="auto"/>
        <w:jc w:val="center"/>
        <w:rPr>
          <w:rFonts w:ascii="Times New Roman" w:hAnsi="Times New Roman" w:eastAsia="黑体" w:cs="Times New Roman"/>
          <w:bCs/>
          <w:spacing w:val="6"/>
          <w:kern w:val="0"/>
          <w:szCs w:val="21"/>
        </w:rPr>
      </w:pPr>
      <w:r>
        <w:rPr>
          <w:rFonts w:hint="eastAsia" w:ascii="Times New Roman" w:hAnsi="Times New Roman" w:eastAsia="黑体" w:cs="Times New Roman"/>
          <w:bCs/>
          <w:spacing w:val="6"/>
          <w:kern w:val="0"/>
          <w:szCs w:val="21"/>
        </w:rPr>
        <w:t>附表</w:t>
      </w:r>
      <w:r>
        <w:rPr>
          <w:rFonts w:ascii="Times New Roman" w:hAnsi="Times New Roman" w:eastAsia="黑体" w:cs="Times New Roman"/>
          <w:bCs/>
          <w:spacing w:val="6"/>
          <w:kern w:val="0"/>
          <w:szCs w:val="21"/>
        </w:rPr>
        <w:t xml:space="preserve">2-7-1 </w:t>
      </w:r>
      <w:r>
        <w:rPr>
          <w:rFonts w:hint="eastAsia" w:ascii="Times New Roman" w:hAnsi="Times New Roman" w:eastAsia="黑体" w:cs="Times New Roman"/>
          <w:bCs/>
          <w:spacing w:val="6"/>
          <w:kern w:val="0"/>
          <w:szCs w:val="21"/>
        </w:rPr>
        <w:t>畜禽养殖场关停或搬迁项目</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0"/>
        <w:gridCol w:w="411"/>
        <w:gridCol w:w="411"/>
        <w:gridCol w:w="603"/>
        <w:gridCol w:w="1418"/>
        <w:gridCol w:w="2086"/>
        <w:gridCol w:w="792"/>
        <w:gridCol w:w="2164"/>
        <w:gridCol w:w="1192"/>
        <w:gridCol w:w="792"/>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410"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41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41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2021"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2086"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养殖场（小区）和专业户名称</w:t>
            </w:r>
          </w:p>
        </w:tc>
        <w:tc>
          <w:tcPr>
            <w:tcW w:w="792"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养殖种类</w:t>
            </w:r>
          </w:p>
        </w:tc>
        <w:tc>
          <w:tcPr>
            <w:tcW w:w="2164"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养殖数量（头、只、羽）</w:t>
            </w:r>
          </w:p>
        </w:tc>
        <w:tc>
          <w:tcPr>
            <w:tcW w:w="119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792"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3669"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410" w:type="dxa"/>
            <w:vMerge w:val="continue"/>
            <w:shd w:val="clear" w:color="auto" w:fill="auto"/>
            <w:vAlign w:val="center"/>
          </w:tcPr>
          <w:p>
            <w:pPr>
              <w:widowControl/>
              <w:jc w:val="center"/>
              <w:rPr>
                <w:rFonts w:ascii="Times New Roman" w:hAnsi="Times New Roman" w:cs="Times New Roman"/>
                <w:b/>
                <w:bCs/>
                <w:color w:val="000000"/>
                <w:kern w:val="0"/>
                <w:szCs w:val="21"/>
              </w:rPr>
            </w:pPr>
          </w:p>
        </w:tc>
        <w:tc>
          <w:tcPr>
            <w:tcW w:w="411" w:type="dxa"/>
            <w:vMerge w:val="continue"/>
            <w:shd w:val="clear" w:color="auto" w:fill="auto"/>
            <w:vAlign w:val="center"/>
          </w:tcPr>
          <w:p>
            <w:pPr>
              <w:widowControl/>
              <w:jc w:val="center"/>
              <w:rPr>
                <w:rFonts w:ascii="Times New Roman" w:hAnsi="Times New Roman" w:cs="Times New Roman"/>
                <w:b/>
                <w:bCs/>
                <w:color w:val="000000"/>
                <w:kern w:val="0"/>
                <w:szCs w:val="21"/>
              </w:rPr>
            </w:pPr>
          </w:p>
        </w:tc>
        <w:tc>
          <w:tcPr>
            <w:tcW w:w="411" w:type="dxa"/>
            <w:vMerge w:val="continue"/>
            <w:shd w:val="clear" w:color="auto" w:fill="auto"/>
            <w:vAlign w:val="center"/>
          </w:tcPr>
          <w:p>
            <w:pPr>
              <w:widowControl/>
              <w:jc w:val="center"/>
              <w:rPr>
                <w:rFonts w:ascii="Times New Roman" w:hAnsi="Times New Roman" w:cs="Times New Roman"/>
                <w:b/>
                <w:bCs/>
                <w:color w:val="000000"/>
                <w:kern w:val="0"/>
                <w:szCs w:val="21"/>
              </w:rPr>
            </w:pPr>
          </w:p>
        </w:tc>
        <w:tc>
          <w:tcPr>
            <w:tcW w:w="603"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1418"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2086" w:type="dxa"/>
            <w:vMerge w:val="continue"/>
            <w:shd w:val="clear" w:color="auto" w:fill="auto"/>
            <w:vAlign w:val="center"/>
          </w:tcPr>
          <w:p>
            <w:pPr>
              <w:widowControl/>
              <w:jc w:val="center"/>
              <w:rPr>
                <w:rFonts w:ascii="Times New Roman" w:hAnsi="Times New Roman" w:cs="Times New Roman"/>
                <w:b/>
                <w:bCs/>
                <w:color w:val="000000"/>
                <w:kern w:val="0"/>
                <w:szCs w:val="21"/>
              </w:rPr>
            </w:pPr>
          </w:p>
        </w:tc>
        <w:tc>
          <w:tcPr>
            <w:tcW w:w="792" w:type="dxa"/>
            <w:vMerge w:val="continue"/>
            <w:vAlign w:val="center"/>
          </w:tcPr>
          <w:p>
            <w:pPr>
              <w:widowControl/>
              <w:jc w:val="center"/>
              <w:rPr>
                <w:rFonts w:ascii="Times New Roman" w:hAnsi="Times New Roman" w:cs="Times New Roman"/>
                <w:b/>
                <w:bCs/>
                <w:color w:val="000000"/>
                <w:kern w:val="0"/>
                <w:szCs w:val="21"/>
              </w:rPr>
            </w:pPr>
          </w:p>
        </w:tc>
        <w:tc>
          <w:tcPr>
            <w:tcW w:w="2164" w:type="dxa"/>
            <w:vMerge w:val="continue"/>
            <w:vAlign w:val="center"/>
          </w:tcPr>
          <w:p>
            <w:pPr>
              <w:widowControl/>
              <w:jc w:val="center"/>
              <w:rPr>
                <w:rFonts w:ascii="Times New Roman" w:hAnsi="Times New Roman" w:cs="Times New Roman"/>
                <w:b/>
                <w:bCs/>
                <w:color w:val="000000"/>
                <w:kern w:val="0"/>
                <w:szCs w:val="21"/>
              </w:rPr>
            </w:pPr>
          </w:p>
        </w:tc>
        <w:tc>
          <w:tcPr>
            <w:tcW w:w="1192" w:type="dxa"/>
            <w:vMerge w:val="continue"/>
            <w:shd w:val="clear" w:color="auto" w:fill="auto"/>
            <w:vAlign w:val="center"/>
          </w:tcPr>
          <w:p>
            <w:pPr>
              <w:widowControl/>
              <w:jc w:val="center"/>
              <w:rPr>
                <w:rFonts w:ascii="Times New Roman" w:hAnsi="Times New Roman" w:cs="Times New Roman"/>
                <w:b/>
                <w:bCs/>
                <w:color w:val="000000"/>
                <w:kern w:val="0"/>
                <w:szCs w:val="21"/>
              </w:rPr>
            </w:pPr>
          </w:p>
        </w:tc>
        <w:tc>
          <w:tcPr>
            <w:tcW w:w="792" w:type="dxa"/>
            <w:vMerge w:val="continue"/>
          </w:tcPr>
          <w:p>
            <w:pPr>
              <w:widowControl/>
              <w:jc w:val="center"/>
              <w:rPr>
                <w:rFonts w:ascii="Times New Roman" w:hAnsi="Times New Roman" w:cs="Times New Roman"/>
                <w:b/>
                <w:bCs/>
                <w:color w:val="000000"/>
                <w:kern w:val="0"/>
                <w:szCs w:val="21"/>
              </w:rPr>
            </w:pPr>
          </w:p>
        </w:tc>
        <w:tc>
          <w:tcPr>
            <w:tcW w:w="3669" w:type="dxa"/>
            <w:vMerge w:val="continue"/>
          </w:tcPr>
          <w:p>
            <w:pPr>
              <w:widowControl/>
              <w:jc w:val="center"/>
              <w:rPr>
                <w:rFonts w:ascii="Times New Roman" w:hAnsi="Times New Roman"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410" w:type="dxa"/>
            <w:shd w:val="clear" w:color="auto" w:fill="auto"/>
            <w:vAlign w:val="center"/>
          </w:tcPr>
          <w:p>
            <w:pPr>
              <w:widowControl/>
              <w:jc w:val="center"/>
              <w:rPr>
                <w:rFonts w:ascii="Times New Roman" w:hAnsi="Times New Roman" w:cs="Times New Roman"/>
                <w:color w:val="000000"/>
                <w:kern w:val="0"/>
                <w:szCs w:val="21"/>
              </w:rPr>
            </w:pPr>
          </w:p>
        </w:tc>
        <w:tc>
          <w:tcPr>
            <w:tcW w:w="411" w:type="dxa"/>
            <w:shd w:val="clear" w:color="auto" w:fill="auto"/>
            <w:vAlign w:val="center"/>
          </w:tcPr>
          <w:p>
            <w:pPr>
              <w:widowControl/>
              <w:jc w:val="center"/>
              <w:rPr>
                <w:rFonts w:ascii="Times New Roman" w:hAnsi="Times New Roman" w:cs="Times New Roman"/>
                <w:color w:val="000000"/>
                <w:kern w:val="0"/>
                <w:szCs w:val="21"/>
              </w:rPr>
            </w:pPr>
          </w:p>
        </w:tc>
        <w:tc>
          <w:tcPr>
            <w:tcW w:w="411" w:type="dxa"/>
            <w:shd w:val="clear" w:color="auto" w:fill="auto"/>
            <w:vAlign w:val="center"/>
          </w:tcPr>
          <w:p>
            <w:pPr>
              <w:widowControl/>
              <w:jc w:val="center"/>
              <w:rPr>
                <w:rFonts w:ascii="Times New Roman" w:hAnsi="Times New Roman" w:cs="Times New Roman"/>
                <w:color w:val="000000"/>
                <w:kern w:val="0"/>
                <w:szCs w:val="21"/>
              </w:rPr>
            </w:pPr>
          </w:p>
        </w:tc>
        <w:tc>
          <w:tcPr>
            <w:tcW w:w="603" w:type="dxa"/>
            <w:vAlign w:val="center"/>
          </w:tcPr>
          <w:p>
            <w:pPr>
              <w:widowControl/>
              <w:spacing w:line="240" w:lineRule="atLeast"/>
              <w:jc w:val="center"/>
              <w:rPr>
                <w:rFonts w:ascii="Times New Roman" w:hAnsi="Times New Roman" w:cs="Times New Roman"/>
                <w:color w:val="FF0000"/>
                <w:kern w:val="0"/>
                <w:szCs w:val="21"/>
              </w:rPr>
            </w:pPr>
          </w:p>
        </w:tc>
        <w:tc>
          <w:tcPr>
            <w:tcW w:w="1418" w:type="dxa"/>
            <w:vAlign w:val="center"/>
          </w:tcPr>
          <w:p>
            <w:pPr>
              <w:widowControl/>
              <w:spacing w:line="240" w:lineRule="atLeast"/>
              <w:jc w:val="center"/>
              <w:rPr>
                <w:rFonts w:ascii="Times New Roman" w:hAnsi="Times New Roman" w:cs="Times New Roman"/>
                <w:kern w:val="0"/>
                <w:szCs w:val="21"/>
              </w:rPr>
            </w:pPr>
          </w:p>
        </w:tc>
        <w:tc>
          <w:tcPr>
            <w:tcW w:w="2086" w:type="dxa"/>
            <w:shd w:val="clear" w:color="auto" w:fill="auto"/>
            <w:vAlign w:val="center"/>
          </w:tcPr>
          <w:p>
            <w:pPr>
              <w:widowControl/>
              <w:jc w:val="center"/>
              <w:rPr>
                <w:rFonts w:ascii="Times New Roman" w:hAnsi="Times New Roman" w:cs="Times New Roman"/>
                <w:color w:val="000000"/>
                <w:kern w:val="0"/>
                <w:szCs w:val="21"/>
              </w:rPr>
            </w:pPr>
          </w:p>
        </w:tc>
        <w:tc>
          <w:tcPr>
            <w:tcW w:w="792" w:type="dxa"/>
            <w:vAlign w:val="center"/>
          </w:tcPr>
          <w:p>
            <w:pPr>
              <w:widowControl/>
              <w:jc w:val="center"/>
              <w:rPr>
                <w:rFonts w:ascii="Times New Roman" w:hAnsi="Times New Roman" w:cs="Times New Roman"/>
                <w:color w:val="000000"/>
                <w:kern w:val="0"/>
                <w:szCs w:val="21"/>
              </w:rPr>
            </w:pPr>
          </w:p>
        </w:tc>
        <w:tc>
          <w:tcPr>
            <w:tcW w:w="2164" w:type="dxa"/>
            <w:vAlign w:val="center"/>
          </w:tcPr>
          <w:p>
            <w:pPr>
              <w:widowControl/>
              <w:jc w:val="center"/>
              <w:rPr>
                <w:rFonts w:ascii="Times New Roman" w:hAnsi="Times New Roman" w:cs="Times New Roman"/>
                <w:color w:val="000000"/>
                <w:kern w:val="0"/>
                <w:szCs w:val="21"/>
              </w:rPr>
            </w:pPr>
          </w:p>
        </w:tc>
        <w:tc>
          <w:tcPr>
            <w:tcW w:w="1192" w:type="dxa"/>
            <w:shd w:val="clear" w:color="auto" w:fill="auto"/>
            <w:vAlign w:val="center"/>
          </w:tcPr>
          <w:p>
            <w:pPr>
              <w:widowControl/>
              <w:jc w:val="center"/>
              <w:rPr>
                <w:rFonts w:ascii="Times New Roman" w:hAnsi="Times New Roman" w:cs="Times New Roman"/>
                <w:color w:val="000000"/>
                <w:kern w:val="0"/>
                <w:szCs w:val="21"/>
              </w:rPr>
            </w:pPr>
          </w:p>
        </w:tc>
        <w:tc>
          <w:tcPr>
            <w:tcW w:w="792" w:type="dxa"/>
          </w:tcPr>
          <w:p>
            <w:pPr>
              <w:widowControl/>
              <w:jc w:val="center"/>
              <w:rPr>
                <w:rFonts w:ascii="Times New Roman" w:hAnsi="Times New Roman" w:cs="Times New Roman"/>
                <w:color w:val="000000"/>
                <w:kern w:val="0"/>
                <w:szCs w:val="21"/>
              </w:rPr>
            </w:pPr>
          </w:p>
        </w:tc>
        <w:tc>
          <w:tcPr>
            <w:tcW w:w="3669" w:type="dxa"/>
          </w:tcPr>
          <w:p>
            <w:pPr>
              <w:widowControl/>
              <w:jc w:val="center"/>
              <w:rPr>
                <w:rFonts w:ascii="Times New Roman" w:hAnsi="Times New Roman" w:cs="Times New Roman"/>
                <w:color w:val="000000"/>
                <w:kern w:val="0"/>
                <w:szCs w:val="21"/>
              </w:rPr>
            </w:pPr>
          </w:p>
        </w:tc>
      </w:tr>
    </w:tbl>
    <w:p>
      <w:pPr>
        <w:spacing w:line="360" w:lineRule="auto"/>
        <w:jc w:val="center"/>
        <w:rPr>
          <w:rFonts w:ascii="Times New Roman" w:hAnsi="Times New Roman" w:eastAsia="黑体" w:cs="Times New Roman"/>
          <w:bCs/>
          <w:spacing w:val="6"/>
          <w:kern w:val="0"/>
          <w:szCs w:val="21"/>
        </w:rPr>
      </w:pPr>
      <w:r>
        <w:rPr>
          <w:rFonts w:hint="eastAsia" w:ascii="Times New Roman" w:hAnsi="Times New Roman" w:eastAsia="黑体" w:cs="Times New Roman"/>
          <w:bCs/>
          <w:spacing w:val="6"/>
          <w:kern w:val="0"/>
          <w:szCs w:val="21"/>
        </w:rPr>
        <w:t>附表</w:t>
      </w:r>
      <w:r>
        <w:rPr>
          <w:rFonts w:ascii="Times New Roman" w:hAnsi="Times New Roman" w:eastAsia="黑体" w:cs="Times New Roman"/>
          <w:bCs/>
          <w:spacing w:val="6"/>
          <w:kern w:val="0"/>
          <w:szCs w:val="21"/>
        </w:rPr>
        <w:t xml:space="preserve">2-7-2 </w:t>
      </w:r>
      <w:r>
        <w:rPr>
          <w:rFonts w:hint="eastAsia" w:ascii="Times New Roman" w:hAnsi="Times New Roman" w:eastAsia="黑体" w:cs="Times New Roman"/>
          <w:bCs/>
          <w:spacing w:val="6"/>
          <w:kern w:val="0"/>
          <w:szCs w:val="21"/>
        </w:rPr>
        <w:t>畜禽养殖污染治理项目</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2"/>
        <w:gridCol w:w="372"/>
        <w:gridCol w:w="371"/>
        <w:gridCol w:w="728"/>
        <w:gridCol w:w="988"/>
        <w:gridCol w:w="1275"/>
        <w:gridCol w:w="851"/>
        <w:gridCol w:w="1133"/>
        <w:gridCol w:w="1135"/>
        <w:gridCol w:w="1275"/>
        <w:gridCol w:w="993"/>
        <w:gridCol w:w="851"/>
        <w:gridCol w:w="851"/>
        <w:gridCol w:w="56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37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372"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37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716" w:type="dxa"/>
            <w:gridSpan w:val="2"/>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1275"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规模化畜禽养殖场（小区）名称</w:t>
            </w:r>
          </w:p>
        </w:tc>
        <w:tc>
          <w:tcPr>
            <w:tcW w:w="85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养殖种类</w:t>
            </w:r>
          </w:p>
        </w:tc>
        <w:tc>
          <w:tcPr>
            <w:tcW w:w="1133"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养殖数量</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（头、只、羽）</w:t>
            </w:r>
          </w:p>
        </w:tc>
        <w:tc>
          <w:tcPr>
            <w:tcW w:w="1135"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废弃物贮存处理设施</w:t>
            </w:r>
          </w:p>
        </w:tc>
        <w:tc>
          <w:tcPr>
            <w:tcW w:w="1275"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雨污分流、干湿分离设施</w:t>
            </w:r>
          </w:p>
        </w:tc>
        <w:tc>
          <w:tcPr>
            <w:tcW w:w="993"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粪污处理处置模式</w:t>
            </w:r>
          </w:p>
        </w:tc>
        <w:tc>
          <w:tcPr>
            <w:tcW w:w="85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85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566"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2187"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372"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372"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371"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728"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名称</w:t>
            </w:r>
          </w:p>
        </w:tc>
        <w:tc>
          <w:tcPr>
            <w:tcW w:w="988"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行政区划代码</w:t>
            </w:r>
          </w:p>
        </w:tc>
        <w:tc>
          <w:tcPr>
            <w:tcW w:w="1275"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1"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133"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135"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1275" w:type="dxa"/>
            <w:vMerge w:val="continue"/>
            <w:vAlign w:val="center"/>
          </w:tcPr>
          <w:p>
            <w:pPr>
              <w:widowControl/>
              <w:jc w:val="center"/>
              <w:rPr>
                <w:rFonts w:ascii="Times New Roman" w:hAnsi="Times New Roman" w:eastAsia="黑体" w:cs="Times New Roman"/>
                <w:bCs/>
                <w:color w:val="000000"/>
                <w:kern w:val="0"/>
                <w:szCs w:val="21"/>
              </w:rPr>
            </w:pPr>
          </w:p>
        </w:tc>
        <w:tc>
          <w:tcPr>
            <w:tcW w:w="993"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1" w:type="dxa"/>
            <w:vMerge w:val="continue"/>
            <w:shd w:val="clear" w:color="auto" w:fill="auto"/>
            <w:vAlign w:val="center"/>
          </w:tcPr>
          <w:p>
            <w:pPr>
              <w:widowControl/>
              <w:jc w:val="center"/>
              <w:rPr>
                <w:rFonts w:ascii="Times New Roman" w:hAnsi="Times New Roman" w:eastAsia="黑体" w:cs="Times New Roman"/>
                <w:bCs/>
                <w:color w:val="000000"/>
                <w:kern w:val="0"/>
                <w:szCs w:val="21"/>
              </w:rPr>
            </w:pPr>
          </w:p>
        </w:tc>
        <w:tc>
          <w:tcPr>
            <w:tcW w:w="851" w:type="dxa"/>
            <w:vMerge w:val="continue"/>
            <w:shd w:val="clear" w:color="auto" w:fill="auto"/>
          </w:tcPr>
          <w:p>
            <w:pPr>
              <w:widowControl/>
              <w:jc w:val="center"/>
              <w:rPr>
                <w:rFonts w:ascii="Times New Roman" w:hAnsi="Times New Roman" w:eastAsia="黑体" w:cs="Times New Roman"/>
                <w:bCs/>
                <w:color w:val="000000"/>
                <w:kern w:val="0"/>
                <w:szCs w:val="21"/>
              </w:rPr>
            </w:pPr>
          </w:p>
        </w:tc>
        <w:tc>
          <w:tcPr>
            <w:tcW w:w="566" w:type="dxa"/>
            <w:vMerge w:val="continue"/>
          </w:tcPr>
          <w:p>
            <w:pPr>
              <w:widowControl/>
              <w:jc w:val="center"/>
              <w:rPr>
                <w:rFonts w:ascii="Times New Roman" w:hAnsi="Times New Roman" w:eastAsia="黑体" w:cs="Times New Roman"/>
                <w:bCs/>
                <w:color w:val="000000"/>
                <w:kern w:val="0"/>
                <w:szCs w:val="21"/>
              </w:rPr>
            </w:pPr>
          </w:p>
        </w:tc>
        <w:tc>
          <w:tcPr>
            <w:tcW w:w="2187" w:type="dxa"/>
            <w:vMerge w:val="continue"/>
          </w:tcPr>
          <w:p>
            <w:pPr>
              <w:widowControl/>
              <w:jc w:val="center"/>
              <w:rPr>
                <w:rFonts w:ascii="Times New Roman" w:hAnsi="Times New Roman" w:eastAsia="黑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372" w:type="dxa"/>
            <w:shd w:val="clear" w:color="auto" w:fill="auto"/>
            <w:vAlign w:val="center"/>
          </w:tcPr>
          <w:p>
            <w:pPr>
              <w:widowControl/>
              <w:jc w:val="center"/>
              <w:rPr>
                <w:rFonts w:ascii="Times New Roman" w:hAnsi="Times New Roman" w:cs="Times New Roman"/>
                <w:color w:val="000000"/>
                <w:kern w:val="0"/>
                <w:szCs w:val="21"/>
              </w:rPr>
            </w:pPr>
          </w:p>
        </w:tc>
        <w:tc>
          <w:tcPr>
            <w:tcW w:w="372" w:type="dxa"/>
            <w:shd w:val="clear" w:color="auto" w:fill="auto"/>
            <w:vAlign w:val="center"/>
          </w:tcPr>
          <w:p>
            <w:pPr>
              <w:widowControl/>
              <w:jc w:val="center"/>
              <w:rPr>
                <w:rFonts w:ascii="Times New Roman" w:hAnsi="Times New Roman" w:cs="Times New Roman"/>
                <w:color w:val="000000"/>
                <w:kern w:val="0"/>
                <w:szCs w:val="21"/>
              </w:rPr>
            </w:pPr>
          </w:p>
        </w:tc>
        <w:tc>
          <w:tcPr>
            <w:tcW w:w="371" w:type="dxa"/>
            <w:shd w:val="clear" w:color="auto" w:fill="auto"/>
            <w:vAlign w:val="center"/>
          </w:tcPr>
          <w:p>
            <w:pPr>
              <w:widowControl/>
              <w:jc w:val="center"/>
              <w:rPr>
                <w:rFonts w:ascii="Times New Roman" w:hAnsi="Times New Roman" w:cs="Times New Roman"/>
                <w:color w:val="000000"/>
                <w:kern w:val="0"/>
                <w:szCs w:val="21"/>
              </w:rPr>
            </w:pPr>
          </w:p>
        </w:tc>
        <w:tc>
          <w:tcPr>
            <w:tcW w:w="728" w:type="dxa"/>
            <w:vAlign w:val="center"/>
          </w:tcPr>
          <w:p>
            <w:pPr>
              <w:widowControl/>
              <w:spacing w:line="240" w:lineRule="atLeast"/>
              <w:jc w:val="center"/>
              <w:rPr>
                <w:rFonts w:ascii="Times New Roman" w:hAnsi="Times New Roman" w:cs="Times New Roman"/>
                <w:kern w:val="0"/>
                <w:szCs w:val="21"/>
              </w:rPr>
            </w:pPr>
          </w:p>
        </w:tc>
        <w:tc>
          <w:tcPr>
            <w:tcW w:w="988" w:type="dxa"/>
            <w:vAlign w:val="center"/>
          </w:tcPr>
          <w:p>
            <w:pPr>
              <w:widowControl/>
              <w:spacing w:line="240" w:lineRule="atLeast"/>
              <w:jc w:val="center"/>
              <w:rPr>
                <w:rFonts w:ascii="Times New Roman" w:hAnsi="Times New Roman" w:cs="Times New Roman"/>
                <w:kern w:val="0"/>
                <w:szCs w:val="21"/>
              </w:rPr>
            </w:pPr>
          </w:p>
        </w:tc>
        <w:tc>
          <w:tcPr>
            <w:tcW w:w="1275" w:type="dxa"/>
            <w:shd w:val="clear" w:color="auto" w:fill="auto"/>
            <w:vAlign w:val="center"/>
          </w:tcPr>
          <w:p>
            <w:pPr>
              <w:widowControl/>
              <w:jc w:val="center"/>
              <w:rPr>
                <w:rFonts w:ascii="Times New Roman" w:hAnsi="Times New Roman" w:cs="Times New Roman"/>
                <w:color w:val="000000"/>
                <w:kern w:val="0"/>
                <w:szCs w:val="21"/>
              </w:rPr>
            </w:pPr>
          </w:p>
        </w:tc>
        <w:tc>
          <w:tcPr>
            <w:tcW w:w="851" w:type="dxa"/>
            <w:shd w:val="clear" w:color="auto" w:fill="auto"/>
            <w:vAlign w:val="center"/>
          </w:tcPr>
          <w:p>
            <w:pPr>
              <w:widowControl/>
              <w:jc w:val="center"/>
              <w:rPr>
                <w:rFonts w:ascii="Times New Roman" w:hAnsi="Times New Roman" w:cs="Times New Roman"/>
                <w:color w:val="000000"/>
                <w:kern w:val="0"/>
                <w:szCs w:val="21"/>
              </w:rPr>
            </w:pPr>
          </w:p>
        </w:tc>
        <w:tc>
          <w:tcPr>
            <w:tcW w:w="1133" w:type="dxa"/>
            <w:shd w:val="clear" w:color="auto" w:fill="auto"/>
            <w:vAlign w:val="center"/>
          </w:tcPr>
          <w:p>
            <w:pPr>
              <w:widowControl/>
              <w:jc w:val="center"/>
              <w:rPr>
                <w:rFonts w:ascii="Times New Roman" w:hAnsi="Times New Roman" w:cs="Times New Roman"/>
                <w:color w:val="000000"/>
                <w:kern w:val="0"/>
                <w:szCs w:val="21"/>
              </w:rPr>
            </w:pPr>
          </w:p>
        </w:tc>
        <w:tc>
          <w:tcPr>
            <w:tcW w:w="1135" w:type="dxa"/>
            <w:shd w:val="clear" w:color="auto" w:fill="auto"/>
            <w:vAlign w:val="center"/>
          </w:tcPr>
          <w:p>
            <w:pPr>
              <w:widowControl/>
              <w:jc w:val="center"/>
              <w:rPr>
                <w:rFonts w:ascii="Times New Roman" w:hAnsi="Times New Roman" w:cs="Times New Roman"/>
                <w:color w:val="000000"/>
                <w:kern w:val="0"/>
                <w:szCs w:val="21"/>
              </w:rPr>
            </w:pPr>
          </w:p>
        </w:tc>
        <w:tc>
          <w:tcPr>
            <w:tcW w:w="1275" w:type="dxa"/>
            <w:vAlign w:val="center"/>
          </w:tcPr>
          <w:p>
            <w:pPr>
              <w:widowControl/>
              <w:jc w:val="center"/>
              <w:rPr>
                <w:rFonts w:ascii="Times New Roman" w:hAnsi="Times New Roman" w:cs="Times New Roman"/>
                <w:color w:val="000000"/>
                <w:kern w:val="0"/>
                <w:szCs w:val="21"/>
              </w:rPr>
            </w:pPr>
          </w:p>
        </w:tc>
        <w:tc>
          <w:tcPr>
            <w:tcW w:w="993" w:type="dxa"/>
            <w:shd w:val="clear" w:color="auto" w:fill="auto"/>
            <w:vAlign w:val="center"/>
          </w:tcPr>
          <w:p>
            <w:pPr>
              <w:widowControl/>
              <w:jc w:val="center"/>
              <w:rPr>
                <w:rFonts w:ascii="Times New Roman" w:hAnsi="Times New Roman" w:cs="Times New Roman"/>
                <w:color w:val="000000"/>
                <w:kern w:val="0"/>
                <w:szCs w:val="21"/>
              </w:rPr>
            </w:pPr>
          </w:p>
        </w:tc>
        <w:tc>
          <w:tcPr>
            <w:tcW w:w="851" w:type="dxa"/>
            <w:shd w:val="clear" w:color="auto" w:fill="auto"/>
            <w:vAlign w:val="center"/>
          </w:tcPr>
          <w:p>
            <w:pPr>
              <w:widowControl/>
              <w:jc w:val="center"/>
              <w:rPr>
                <w:rFonts w:ascii="Times New Roman" w:hAnsi="Times New Roman" w:cs="Times New Roman"/>
                <w:color w:val="000000"/>
                <w:kern w:val="0"/>
                <w:szCs w:val="21"/>
              </w:rPr>
            </w:pPr>
          </w:p>
        </w:tc>
        <w:tc>
          <w:tcPr>
            <w:tcW w:w="851" w:type="dxa"/>
            <w:shd w:val="clear" w:color="auto" w:fill="auto"/>
            <w:vAlign w:val="center"/>
          </w:tcPr>
          <w:p>
            <w:pPr>
              <w:widowControl/>
              <w:jc w:val="center"/>
              <w:rPr>
                <w:rFonts w:ascii="Times New Roman" w:hAnsi="Times New Roman" w:cs="Times New Roman"/>
                <w:color w:val="000000"/>
                <w:kern w:val="0"/>
                <w:szCs w:val="21"/>
              </w:rPr>
            </w:pPr>
          </w:p>
        </w:tc>
        <w:tc>
          <w:tcPr>
            <w:tcW w:w="566" w:type="dxa"/>
          </w:tcPr>
          <w:p>
            <w:pPr>
              <w:widowControl/>
              <w:jc w:val="center"/>
              <w:rPr>
                <w:rFonts w:ascii="Times New Roman" w:hAnsi="Times New Roman" w:cs="Times New Roman"/>
                <w:color w:val="000000"/>
                <w:kern w:val="0"/>
                <w:szCs w:val="21"/>
              </w:rPr>
            </w:pPr>
          </w:p>
        </w:tc>
        <w:tc>
          <w:tcPr>
            <w:tcW w:w="2187" w:type="dxa"/>
          </w:tcPr>
          <w:p>
            <w:pPr>
              <w:widowControl/>
              <w:jc w:val="center"/>
              <w:rPr>
                <w:rFonts w:ascii="Times New Roman" w:hAnsi="Times New Roman" w:cs="Times New Roman"/>
                <w:color w:val="000000"/>
                <w:kern w:val="0"/>
                <w:szCs w:val="21"/>
              </w:rPr>
            </w:pPr>
          </w:p>
        </w:tc>
      </w:tr>
    </w:tbl>
    <w:p>
      <w:pPr>
        <w:rPr>
          <w:rFonts w:ascii="Times New Roman" w:hAnsi="Times New Roman" w:cs="Times New Roman"/>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cs="Times New Roman"/>
          <w:szCs w:val="21"/>
        </w:rPr>
        <w:t>备注：常见的粪污处理处置模式包括堆肥发酵还田模式、厌氧发酵沼液沼渣还田模式、生产有机肥模式、生物发酵床垫料农用、污水净化后冲洗粪沟或圈栏，粪便经无害化处理后作为燃料、基质、牛床垫料等循环利用模式、养殖密集区中小规模养殖专业户依托粪污统一处理设施进行集中处理利用等。</w:t>
      </w: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2-8</w:t>
      </w:r>
      <w:r>
        <w:rPr>
          <w:rFonts w:hint="eastAsia" w:ascii="华文中宋" w:hAnsi="华文中宋" w:eastAsia="华文中宋"/>
          <w:sz w:val="28"/>
          <w:szCs w:val="28"/>
        </w:rPr>
        <w:t>农村环境综合整治</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7"/>
        <w:gridCol w:w="823"/>
        <w:gridCol w:w="1540"/>
        <w:gridCol w:w="3247"/>
        <w:gridCol w:w="2505"/>
        <w:gridCol w:w="210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4"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817"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823"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4787" w:type="dxa"/>
            <w:gridSpan w:val="2"/>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所在乡镇（街道）</w:t>
            </w:r>
          </w:p>
        </w:tc>
        <w:tc>
          <w:tcPr>
            <w:tcW w:w="2505"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建制村名称</w:t>
            </w:r>
          </w:p>
        </w:tc>
        <w:tc>
          <w:tcPr>
            <w:tcW w:w="2101" w:type="dxa"/>
            <w:vMerge w:val="restart"/>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2101" w:type="dxa"/>
            <w:vMerge w:val="restart"/>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14" w:type="dxa"/>
            <w:vMerge w:val="continue"/>
            <w:shd w:val="clear" w:color="auto" w:fill="auto"/>
            <w:vAlign w:val="center"/>
          </w:tcPr>
          <w:p>
            <w:pPr>
              <w:widowControl/>
              <w:jc w:val="center"/>
              <w:rPr>
                <w:rFonts w:ascii="Times New Roman" w:hAnsi="Times New Roman" w:cs="Times New Roman"/>
                <w:color w:val="000000"/>
                <w:kern w:val="0"/>
                <w:szCs w:val="21"/>
              </w:rPr>
            </w:pPr>
          </w:p>
        </w:tc>
        <w:tc>
          <w:tcPr>
            <w:tcW w:w="817" w:type="dxa"/>
            <w:vMerge w:val="continue"/>
            <w:shd w:val="clear" w:color="auto" w:fill="auto"/>
            <w:vAlign w:val="center"/>
          </w:tcPr>
          <w:p>
            <w:pPr>
              <w:widowControl/>
              <w:jc w:val="center"/>
              <w:rPr>
                <w:rFonts w:ascii="Times New Roman" w:hAnsi="Times New Roman" w:cs="Times New Roman"/>
                <w:color w:val="000000"/>
                <w:kern w:val="0"/>
                <w:szCs w:val="21"/>
              </w:rPr>
            </w:pPr>
          </w:p>
        </w:tc>
        <w:tc>
          <w:tcPr>
            <w:tcW w:w="823" w:type="dxa"/>
            <w:vMerge w:val="continue"/>
            <w:shd w:val="clear" w:color="auto" w:fill="auto"/>
            <w:vAlign w:val="center"/>
          </w:tcPr>
          <w:p>
            <w:pPr>
              <w:widowControl/>
              <w:jc w:val="center"/>
              <w:rPr>
                <w:rFonts w:ascii="Times New Roman" w:hAnsi="Times New Roman" w:cs="Times New Roman"/>
                <w:color w:val="000000"/>
                <w:kern w:val="0"/>
                <w:szCs w:val="21"/>
              </w:rPr>
            </w:pPr>
          </w:p>
        </w:tc>
        <w:tc>
          <w:tcPr>
            <w:tcW w:w="1540" w:type="dxa"/>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eastAsia="黑体" w:cs="Times New Roman"/>
                <w:bCs/>
                <w:color w:val="000000"/>
                <w:kern w:val="0"/>
                <w:szCs w:val="21"/>
              </w:rPr>
              <w:t>名称</w:t>
            </w:r>
          </w:p>
        </w:tc>
        <w:tc>
          <w:tcPr>
            <w:tcW w:w="3247" w:type="dxa"/>
            <w:vAlign w:val="center"/>
          </w:tcPr>
          <w:p>
            <w:pPr>
              <w:widowControl/>
              <w:jc w:val="center"/>
              <w:rPr>
                <w:rFonts w:ascii="Times New Roman" w:hAnsi="Times New Roman" w:cs="Times New Roman"/>
                <w:color w:val="000000"/>
                <w:kern w:val="0"/>
                <w:szCs w:val="21"/>
              </w:rPr>
            </w:pPr>
            <w:r>
              <w:rPr>
                <w:rFonts w:hint="eastAsia" w:ascii="Times New Roman" w:hAnsi="Times New Roman" w:eastAsia="黑体" w:cs="Times New Roman"/>
                <w:bCs/>
                <w:color w:val="000000"/>
                <w:kern w:val="0"/>
                <w:szCs w:val="21"/>
              </w:rPr>
              <w:t>行政区划代码</w:t>
            </w:r>
          </w:p>
        </w:tc>
        <w:tc>
          <w:tcPr>
            <w:tcW w:w="2505" w:type="dxa"/>
            <w:vMerge w:val="continue"/>
            <w:vAlign w:val="center"/>
          </w:tcPr>
          <w:p>
            <w:pPr>
              <w:widowControl/>
              <w:jc w:val="center"/>
              <w:rPr>
                <w:rFonts w:ascii="Times New Roman" w:hAnsi="Times New Roman" w:cs="Times New Roman"/>
                <w:color w:val="000000"/>
                <w:kern w:val="0"/>
                <w:szCs w:val="21"/>
              </w:rPr>
            </w:pPr>
          </w:p>
        </w:tc>
        <w:tc>
          <w:tcPr>
            <w:tcW w:w="2101" w:type="dxa"/>
            <w:vMerge w:val="continue"/>
          </w:tcPr>
          <w:p>
            <w:pPr>
              <w:widowControl/>
              <w:jc w:val="center"/>
              <w:rPr>
                <w:rFonts w:ascii="Times New Roman" w:hAnsi="Times New Roman" w:eastAsia="黑体" w:cs="Times New Roman"/>
                <w:bCs/>
                <w:color w:val="000000"/>
                <w:kern w:val="0"/>
                <w:szCs w:val="21"/>
              </w:rPr>
            </w:pPr>
          </w:p>
        </w:tc>
        <w:tc>
          <w:tcPr>
            <w:tcW w:w="2101" w:type="dxa"/>
            <w:vMerge w:val="continue"/>
            <w:shd w:val="clear" w:color="auto" w:fill="auto"/>
            <w:vAlign w:val="center"/>
          </w:tcPr>
          <w:p>
            <w:pPr>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14" w:type="dxa"/>
            <w:shd w:val="clear" w:color="auto" w:fill="auto"/>
            <w:vAlign w:val="center"/>
          </w:tcPr>
          <w:p>
            <w:pPr>
              <w:widowControl/>
              <w:jc w:val="center"/>
              <w:rPr>
                <w:rFonts w:ascii="Times New Roman" w:hAnsi="Times New Roman" w:cs="Times New Roman"/>
                <w:color w:val="000000"/>
                <w:kern w:val="0"/>
                <w:szCs w:val="21"/>
              </w:rPr>
            </w:pPr>
          </w:p>
        </w:tc>
        <w:tc>
          <w:tcPr>
            <w:tcW w:w="817" w:type="dxa"/>
            <w:shd w:val="clear" w:color="auto" w:fill="auto"/>
            <w:vAlign w:val="center"/>
          </w:tcPr>
          <w:p>
            <w:pPr>
              <w:widowControl/>
              <w:jc w:val="center"/>
              <w:rPr>
                <w:rFonts w:ascii="Times New Roman" w:hAnsi="Times New Roman" w:cs="Times New Roman"/>
                <w:color w:val="000000"/>
                <w:kern w:val="0"/>
                <w:szCs w:val="21"/>
              </w:rPr>
            </w:pPr>
          </w:p>
        </w:tc>
        <w:tc>
          <w:tcPr>
            <w:tcW w:w="823" w:type="dxa"/>
            <w:shd w:val="clear" w:color="auto" w:fill="auto"/>
            <w:vAlign w:val="center"/>
          </w:tcPr>
          <w:p>
            <w:pPr>
              <w:widowControl/>
              <w:jc w:val="center"/>
              <w:rPr>
                <w:rFonts w:ascii="Times New Roman" w:hAnsi="Times New Roman" w:cs="Times New Roman"/>
                <w:color w:val="000000"/>
                <w:kern w:val="0"/>
                <w:szCs w:val="21"/>
              </w:rPr>
            </w:pPr>
          </w:p>
        </w:tc>
        <w:tc>
          <w:tcPr>
            <w:tcW w:w="1540" w:type="dxa"/>
            <w:shd w:val="clear" w:color="auto" w:fill="auto"/>
            <w:vAlign w:val="center"/>
          </w:tcPr>
          <w:p>
            <w:pPr>
              <w:widowControl/>
              <w:jc w:val="center"/>
              <w:rPr>
                <w:rFonts w:ascii="Times New Roman" w:hAnsi="Times New Roman" w:eastAsia="黑体" w:cs="Times New Roman"/>
                <w:bCs/>
                <w:color w:val="000000"/>
                <w:kern w:val="0"/>
                <w:szCs w:val="21"/>
              </w:rPr>
            </w:pPr>
          </w:p>
        </w:tc>
        <w:tc>
          <w:tcPr>
            <w:tcW w:w="3247" w:type="dxa"/>
            <w:vAlign w:val="center"/>
          </w:tcPr>
          <w:p>
            <w:pPr>
              <w:widowControl/>
              <w:jc w:val="center"/>
              <w:rPr>
                <w:rFonts w:ascii="Times New Roman" w:hAnsi="Times New Roman" w:eastAsia="黑体" w:cs="Times New Roman"/>
                <w:bCs/>
                <w:color w:val="000000"/>
                <w:kern w:val="0"/>
                <w:szCs w:val="21"/>
              </w:rPr>
            </w:pPr>
          </w:p>
        </w:tc>
        <w:tc>
          <w:tcPr>
            <w:tcW w:w="2505" w:type="dxa"/>
            <w:vAlign w:val="center"/>
          </w:tcPr>
          <w:p>
            <w:pPr>
              <w:widowControl/>
              <w:jc w:val="center"/>
              <w:rPr>
                <w:rFonts w:ascii="Times New Roman" w:hAnsi="Times New Roman" w:cs="Times New Roman"/>
                <w:color w:val="000000"/>
                <w:kern w:val="0"/>
                <w:szCs w:val="21"/>
              </w:rPr>
            </w:pPr>
          </w:p>
        </w:tc>
        <w:tc>
          <w:tcPr>
            <w:tcW w:w="2101" w:type="dxa"/>
          </w:tcPr>
          <w:p>
            <w:pPr>
              <w:widowControl/>
              <w:jc w:val="center"/>
              <w:rPr>
                <w:rFonts w:ascii="Times New Roman" w:hAnsi="Times New Roman" w:eastAsia="黑体" w:cs="Times New Roman"/>
                <w:bCs/>
                <w:color w:val="000000"/>
                <w:kern w:val="0"/>
                <w:szCs w:val="21"/>
              </w:rPr>
            </w:pPr>
          </w:p>
        </w:tc>
        <w:tc>
          <w:tcPr>
            <w:tcW w:w="2101" w:type="dxa"/>
            <w:shd w:val="clear" w:color="auto" w:fill="auto"/>
            <w:vAlign w:val="center"/>
          </w:tcPr>
          <w:p>
            <w:pPr>
              <w:widowControl/>
              <w:jc w:val="center"/>
              <w:rPr>
                <w:rFonts w:ascii="Times New Roman" w:hAnsi="Times New Roman" w:cs="Times New Roman"/>
                <w:color w:val="000000"/>
                <w:kern w:val="0"/>
                <w:szCs w:val="21"/>
              </w:rPr>
            </w:pPr>
          </w:p>
        </w:tc>
      </w:tr>
    </w:tbl>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2-9</w:t>
      </w:r>
      <w:r>
        <w:rPr>
          <w:rFonts w:hint="eastAsia" w:ascii="华文中宋" w:hAnsi="华文中宋" w:eastAsia="华文中宋"/>
          <w:sz w:val="28"/>
          <w:szCs w:val="28"/>
        </w:rPr>
        <w:t>重要饮用水水源地达标建设</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17"/>
        <w:gridCol w:w="617"/>
        <w:gridCol w:w="1191"/>
        <w:gridCol w:w="1064"/>
        <w:gridCol w:w="1508"/>
        <w:gridCol w:w="1751"/>
        <w:gridCol w:w="1134"/>
        <w:gridCol w:w="1276"/>
        <w:gridCol w:w="1773"/>
        <w:gridCol w:w="140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7"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617"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617"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191"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水源地名称</w:t>
            </w:r>
          </w:p>
        </w:tc>
        <w:tc>
          <w:tcPr>
            <w:tcW w:w="1064"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保护区划分情况</w:t>
            </w:r>
          </w:p>
        </w:tc>
        <w:tc>
          <w:tcPr>
            <w:tcW w:w="1508"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水质类别</w:t>
            </w:r>
          </w:p>
        </w:tc>
        <w:tc>
          <w:tcPr>
            <w:tcW w:w="1751"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类型</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（河流</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湖泊</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水库</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地下水）</w:t>
            </w:r>
          </w:p>
        </w:tc>
        <w:tc>
          <w:tcPr>
            <w:tcW w:w="1134"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达标建设内容</w:t>
            </w:r>
          </w:p>
        </w:tc>
        <w:tc>
          <w:tcPr>
            <w:tcW w:w="1276"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供水能力</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（万吨）</w:t>
            </w:r>
          </w:p>
        </w:tc>
        <w:tc>
          <w:tcPr>
            <w:tcW w:w="1773"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服务人口</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（万人）</w:t>
            </w:r>
          </w:p>
        </w:tc>
        <w:tc>
          <w:tcPr>
            <w:tcW w:w="1401"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投资（万元）</w:t>
            </w:r>
          </w:p>
        </w:tc>
        <w:tc>
          <w:tcPr>
            <w:tcW w:w="999"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17" w:type="dxa"/>
            <w:shd w:val="clear" w:color="auto" w:fill="auto"/>
            <w:vAlign w:val="center"/>
          </w:tcPr>
          <w:p>
            <w:pPr>
              <w:widowControl/>
              <w:jc w:val="center"/>
              <w:rPr>
                <w:rFonts w:ascii="Times New Roman" w:hAnsi="Times New Roman" w:cs="Times New Roman"/>
                <w:color w:val="000000"/>
                <w:kern w:val="0"/>
                <w:szCs w:val="21"/>
              </w:rPr>
            </w:pPr>
          </w:p>
        </w:tc>
        <w:tc>
          <w:tcPr>
            <w:tcW w:w="617" w:type="dxa"/>
            <w:shd w:val="clear" w:color="auto" w:fill="auto"/>
            <w:vAlign w:val="center"/>
          </w:tcPr>
          <w:p>
            <w:pPr>
              <w:widowControl/>
              <w:jc w:val="center"/>
              <w:rPr>
                <w:rFonts w:ascii="Times New Roman" w:hAnsi="Times New Roman" w:cs="Times New Roman"/>
                <w:color w:val="000000"/>
                <w:kern w:val="0"/>
                <w:szCs w:val="21"/>
              </w:rPr>
            </w:pPr>
          </w:p>
        </w:tc>
        <w:tc>
          <w:tcPr>
            <w:tcW w:w="617" w:type="dxa"/>
            <w:shd w:val="clear" w:color="auto" w:fill="auto"/>
            <w:vAlign w:val="center"/>
          </w:tcPr>
          <w:p>
            <w:pPr>
              <w:widowControl/>
              <w:jc w:val="center"/>
              <w:rPr>
                <w:rFonts w:ascii="Times New Roman" w:hAnsi="Times New Roman" w:cs="Times New Roman"/>
                <w:color w:val="000000"/>
                <w:kern w:val="0"/>
                <w:szCs w:val="21"/>
              </w:rPr>
            </w:pPr>
          </w:p>
        </w:tc>
        <w:tc>
          <w:tcPr>
            <w:tcW w:w="1191" w:type="dxa"/>
            <w:shd w:val="clear" w:color="auto" w:fill="auto"/>
            <w:vAlign w:val="center"/>
          </w:tcPr>
          <w:p>
            <w:pPr>
              <w:widowControl/>
              <w:jc w:val="center"/>
              <w:rPr>
                <w:rFonts w:ascii="Times New Roman" w:hAnsi="Times New Roman" w:cs="Times New Roman"/>
                <w:color w:val="000000"/>
                <w:kern w:val="0"/>
                <w:szCs w:val="21"/>
              </w:rPr>
            </w:pPr>
          </w:p>
        </w:tc>
        <w:tc>
          <w:tcPr>
            <w:tcW w:w="1064" w:type="dxa"/>
          </w:tcPr>
          <w:p>
            <w:pPr>
              <w:widowControl/>
              <w:jc w:val="center"/>
              <w:rPr>
                <w:rFonts w:ascii="Times New Roman" w:hAnsi="Times New Roman" w:cs="Times New Roman"/>
                <w:color w:val="000000"/>
                <w:kern w:val="0"/>
                <w:szCs w:val="21"/>
              </w:rPr>
            </w:pPr>
          </w:p>
        </w:tc>
        <w:tc>
          <w:tcPr>
            <w:tcW w:w="1508" w:type="dxa"/>
          </w:tcPr>
          <w:p>
            <w:pPr>
              <w:widowControl/>
              <w:jc w:val="center"/>
              <w:rPr>
                <w:rFonts w:ascii="Times New Roman" w:hAnsi="Times New Roman" w:cs="Times New Roman"/>
                <w:color w:val="000000"/>
                <w:kern w:val="0"/>
                <w:szCs w:val="21"/>
              </w:rPr>
            </w:pPr>
          </w:p>
        </w:tc>
        <w:tc>
          <w:tcPr>
            <w:tcW w:w="1751" w:type="dxa"/>
            <w:shd w:val="clear" w:color="auto" w:fill="auto"/>
            <w:vAlign w:val="center"/>
          </w:tcPr>
          <w:p>
            <w:pPr>
              <w:widowControl/>
              <w:jc w:val="center"/>
              <w:rPr>
                <w:rFonts w:ascii="Times New Roman" w:hAnsi="Times New Roman" w:cs="Times New Roman"/>
                <w:color w:val="000000"/>
                <w:kern w:val="0"/>
                <w:szCs w:val="21"/>
              </w:rPr>
            </w:pPr>
          </w:p>
        </w:tc>
        <w:tc>
          <w:tcPr>
            <w:tcW w:w="1134" w:type="dxa"/>
            <w:vAlign w:val="center"/>
          </w:tcPr>
          <w:p>
            <w:pPr>
              <w:widowControl/>
              <w:jc w:val="center"/>
              <w:rPr>
                <w:rFonts w:ascii="Times New Roman" w:hAnsi="Times New Roman" w:cs="Times New Roman"/>
                <w:color w:val="000000"/>
                <w:kern w:val="0"/>
                <w:szCs w:val="21"/>
              </w:rPr>
            </w:pPr>
          </w:p>
        </w:tc>
        <w:tc>
          <w:tcPr>
            <w:tcW w:w="1276" w:type="dxa"/>
            <w:shd w:val="clear" w:color="auto" w:fill="auto"/>
            <w:vAlign w:val="center"/>
          </w:tcPr>
          <w:p>
            <w:pPr>
              <w:widowControl/>
              <w:jc w:val="center"/>
              <w:rPr>
                <w:rFonts w:ascii="Times New Roman" w:hAnsi="Times New Roman" w:cs="Times New Roman"/>
                <w:color w:val="000000"/>
                <w:kern w:val="0"/>
                <w:szCs w:val="21"/>
              </w:rPr>
            </w:pPr>
          </w:p>
        </w:tc>
        <w:tc>
          <w:tcPr>
            <w:tcW w:w="1773" w:type="dxa"/>
            <w:vAlign w:val="center"/>
          </w:tcPr>
          <w:p>
            <w:pPr>
              <w:widowControl/>
              <w:jc w:val="center"/>
              <w:rPr>
                <w:rFonts w:ascii="Times New Roman" w:hAnsi="Times New Roman" w:cs="Times New Roman"/>
                <w:color w:val="000000"/>
                <w:kern w:val="0"/>
                <w:szCs w:val="21"/>
              </w:rPr>
            </w:pPr>
          </w:p>
        </w:tc>
        <w:tc>
          <w:tcPr>
            <w:tcW w:w="1401" w:type="dxa"/>
            <w:shd w:val="clear" w:color="auto" w:fill="auto"/>
            <w:vAlign w:val="center"/>
          </w:tcPr>
          <w:p>
            <w:pPr>
              <w:widowControl/>
              <w:jc w:val="center"/>
              <w:rPr>
                <w:rFonts w:ascii="Times New Roman" w:hAnsi="Times New Roman" w:cs="Times New Roman"/>
                <w:color w:val="000000"/>
                <w:kern w:val="0"/>
                <w:szCs w:val="21"/>
              </w:rPr>
            </w:pPr>
          </w:p>
        </w:tc>
        <w:tc>
          <w:tcPr>
            <w:tcW w:w="999" w:type="dxa"/>
            <w:shd w:val="clear" w:color="auto" w:fill="auto"/>
            <w:vAlign w:val="center"/>
          </w:tcPr>
          <w:p>
            <w:pPr>
              <w:widowControl/>
              <w:jc w:val="center"/>
              <w:rPr>
                <w:rFonts w:ascii="Times New Roman" w:hAnsi="Times New Roman" w:cs="Times New Roman"/>
                <w:color w:val="000000"/>
                <w:kern w:val="0"/>
                <w:szCs w:val="21"/>
              </w:rPr>
            </w:pPr>
          </w:p>
        </w:tc>
      </w:tr>
    </w:tbl>
    <w:p>
      <w:pPr>
        <w:rPr>
          <w:rFonts w:ascii="Times New Roman" w:hAnsi="Times New Roman" w:cs="Times New Roman"/>
          <w:szCs w:val="21"/>
        </w:rPr>
      </w:pPr>
      <w:r>
        <w:rPr>
          <w:rFonts w:hint="eastAsia" w:ascii="Times New Roman" w:hAnsi="Times New Roman" w:cs="Times New Roman"/>
          <w:szCs w:val="21"/>
        </w:rPr>
        <w:t>注：</w:t>
      </w:r>
      <w:r>
        <w:rPr>
          <w:rFonts w:ascii="Times New Roman" w:hAnsi="Times New Roman" w:cs="Times New Roman"/>
          <w:szCs w:val="21"/>
        </w:rPr>
        <w:t>1.</w:t>
      </w:r>
      <w:r>
        <w:rPr>
          <w:rFonts w:hint="eastAsia" w:ascii="Times New Roman" w:hAnsi="Times New Roman" w:cs="Times New Roman"/>
          <w:szCs w:val="21"/>
        </w:rPr>
        <w:t>《全国重要饮用水水源地名录（</w:t>
      </w:r>
      <w:r>
        <w:rPr>
          <w:rFonts w:ascii="Times New Roman" w:hAnsi="Times New Roman" w:cs="Times New Roman"/>
          <w:szCs w:val="21"/>
        </w:rPr>
        <w:t>2016</w:t>
      </w:r>
      <w:r>
        <w:rPr>
          <w:rFonts w:hint="eastAsia" w:ascii="Times New Roman" w:hAnsi="Times New Roman" w:cs="Times New Roman"/>
          <w:szCs w:val="21"/>
        </w:rPr>
        <w:t>）》（水资源函〔</w:t>
      </w:r>
      <w:r>
        <w:rPr>
          <w:rFonts w:ascii="Times New Roman" w:hAnsi="Times New Roman" w:cs="Times New Roman"/>
          <w:szCs w:val="21"/>
        </w:rPr>
        <w:t>2016</w:t>
      </w:r>
      <w:r>
        <w:rPr>
          <w:rFonts w:hint="eastAsia" w:ascii="Times New Roman" w:hAnsi="Times New Roman" w:cs="Times New Roman"/>
          <w:szCs w:val="21"/>
        </w:rPr>
        <w:t>〕</w:t>
      </w:r>
      <w:r>
        <w:rPr>
          <w:rFonts w:ascii="Times New Roman" w:hAnsi="Times New Roman" w:cs="Times New Roman"/>
          <w:szCs w:val="21"/>
        </w:rPr>
        <w:t>383</w:t>
      </w:r>
      <w:r>
        <w:rPr>
          <w:rFonts w:hint="eastAsia" w:ascii="Times New Roman" w:hAnsi="Times New Roman" w:cs="Times New Roman"/>
          <w:szCs w:val="21"/>
        </w:rPr>
        <w:t>号）中的重要饮用水水源地均应填报；</w:t>
      </w:r>
    </w:p>
    <w:p>
      <w:pP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有关要求参考《全国重要饮用水水源地安全保障达标建设评估指南（试行）》</w:t>
      </w:r>
      <w:r>
        <w:rPr>
          <w:rFonts w:ascii="Times New Roman" w:hAnsi="Times New Roman" w:cs="Times New Roman"/>
          <w:szCs w:val="21"/>
        </w:rPr>
        <w:t>(</w:t>
      </w:r>
      <w:r>
        <w:rPr>
          <w:rFonts w:hint="eastAsia" w:ascii="Times New Roman" w:hAnsi="Times New Roman" w:cs="Times New Roman"/>
          <w:szCs w:val="21"/>
        </w:rPr>
        <w:t>办资源函〔</w:t>
      </w:r>
      <w:r>
        <w:rPr>
          <w:rFonts w:ascii="Times New Roman" w:hAnsi="Times New Roman" w:cs="Times New Roman"/>
          <w:szCs w:val="21"/>
        </w:rPr>
        <w:t>2015</w:t>
      </w:r>
      <w:r>
        <w:rPr>
          <w:rFonts w:hint="eastAsia" w:ascii="Times New Roman" w:hAnsi="Times New Roman" w:cs="Times New Roman"/>
          <w:szCs w:val="21"/>
        </w:rPr>
        <w:t>〕</w:t>
      </w:r>
      <w:r>
        <w:rPr>
          <w:rFonts w:ascii="Times New Roman" w:hAnsi="Times New Roman" w:cs="Times New Roman"/>
          <w:szCs w:val="21"/>
        </w:rPr>
        <w:t>631</w:t>
      </w:r>
      <w:r>
        <w:rPr>
          <w:rFonts w:hint="eastAsia" w:ascii="Times New Roman" w:hAnsi="Times New Roman" w:cs="Times New Roman"/>
          <w:szCs w:val="21"/>
        </w:rPr>
        <w:t>号）。</w:t>
      </w: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2-10</w:t>
      </w:r>
      <w:r>
        <w:rPr>
          <w:rFonts w:hint="eastAsia" w:ascii="华文中宋" w:hAnsi="华文中宋" w:eastAsia="华文中宋"/>
          <w:sz w:val="28"/>
          <w:szCs w:val="28"/>
        </w:rPr>
        <w:t>饮用水水源规范化建设</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0"/>
        <w:gridCol w:w="851"/>
        <w:gridCol w:w="990"/>
        <w:gridCol w:w="1275"/>
        <w:gridCol w:w="996"/>
        <w:gridCol w:w="709"/>
        <w:gridCol w:w="566"/>
        <w:gridCol w:w="1130"/>
        <w:gridCol w:w="851"/>
        <w:gridCol w:w="1135"/>
        <w:gridCol w:w="851"/>
        <w:gridCol w:w="70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6"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序号</w:t>
            </w:r>
          </w:p>
        </w:tc>
        <w:tc>
          <w:tcPr>
            <w:tcW w:w="990"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水源地名称</w:t>
            </w:r>
          </w:p>
        </w:tc>
        <w:tc>
          <w:tcPr>
            <w:tcW w:w="851"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水源代码</w:t>
            </w:r>
          </w:p>
        </w:tc>
        <w:tc>
          <w:tcPr>
            <w:tcW w:w="990"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水源类型</w:t>
            </w:r>
          </w:p>
        </w:tc>
        <w:tc>
          <w:tcPr>
            <w:tcW w:w="1275"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服务人口（万人）</w:t>
            </w:r>
          </w:p>
        </w:tc>
        <w:tc>
          <w:tcPr>
            <w:tcW w:w="996"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所在流域</w:t>
            </w:r>
          </w:p>
        </w:tc>
        <w:tc>
          <w:tcPr>
            <w:tcW w:w="709"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地市</w:t>
            </w:r>
          </w:p>
        </w:tc>
        <w:tc>
          <w:tcPr>
            <w:tcW w:w="566"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区县</w:t>
            </w:r>
          </w:p>
        </w:tc>
        <w:tc>
          <w:tcPr>
            <w:tcW w:w="1130"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保护区划分情况</w:t>
            </w:r>
          </w:p>
        </w:tc>
        <w:tc>
          <w:tcPr>
            <w:tcW w:w="851"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项目内容</w:t>
            </w:r>
          </w:p>
        </w:tc>
        <w:tc>
          <w:tcPr>
            <w:tcW w:w="1135"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投资</w:t>
            </w:r>
          </w:p>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（万元）</w:t>
            </w:r>
          </w:p>
        </w:tc>
        <w:tc>
          <w:tcPr>
            <w:tcW w:w="851"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完成时限</w:t>
            </w:r>
          </w:p>
        </w:tc>
        <w:tc>
          <w:tcPr>
            <w:tcW w:w="709"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实施进展</w:t>
            </w:r>
          </w:p>
        </w:tc>
        <w:tc>
          <w:tcPr>
            <w:tcW w:w="2329"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证明文件（文号和名称，或其他证明材料）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6" w:type="dxa"/>
            <w:shd w:val="clear" w:color="auto" w:fill="auto"/>
            <w:vAlign w:val="center"/>
          </w:tcPr>
          <w:p>
            <w:pPr>
              <w:widowControl/>
              <w:jc w:val="center"/>
              <w:rPr>
                <w:rFonts w:ascii="Times New Roman" w:hAnsi="Times New Roman" w:cs="Times New Roman"/>
                <w:color w:val="000000"/>
                <w:kern w:val="0"/>
                <w:szCs w:val="21"/>
              </w:rPr>
            </w:pPr>
          </w:p>
        </w:tc>
        <w:tc>
          <w:tcPr>
            <w:tcW w:w="990" w:type="dxa"/>
            <w:shd w:val="clear" w:color="auto" w:fill="auto"/>
            <w:vAlign w:val="center"/>
          </w:tcPr>
          <w:p>
            <w:pPr>
              <w:widowControl/>
              <w:jc w:val="center"/>
              <w:rPr>
                <w:rFonts w:ascii="Times New Roman" w:hAnsi="Times New Roman" w:cs="Times New Roman"/>
                <w:color w:val="000000"/>
                <w:kern w:val="0"/>
                <w:szCs w:val="21"/>
              </w:rPr>
            </w:pPr>
          </w:p>
        </w:tc>
        <w:tc>
          <w:tcPr>
            <w:tcW w:w="851" w:type="dxa"/>
            <w:shd w:val="clear" w:color="auto" w:fill="auto"/>
            <w:vAlign w:val="center"/>
          </w:tcPr>
          <w:p>
            <w:pPr>
              <w:widowControl/>
              <w:jc w:val="center"/>
              <w:rPr>
                <w:rFonts w:ascii="Times New Roman" w:hAnsi="Times New Roman" w:cs="Times New Roman"/>
                <w:color w:val="000000"/>
                <w:kern w:val="0"/>
                <w:szCs w:val="21"/>
              </w:rPr>
            </w:pPr>
          </w:p>
        </w:tc>
        <w:tc>
          <w:tcPr>
            <w:tcW w:w="990" w:type="dxa"/>
            <w:shd w:val="clear" w:color="auto" w:fill="auto"/>
            <w:vAlign w:val="center"/>
          </w:tcPr>
          <w:p>
            <w:pPr>
              <w:widowControl/>
              <w:jc w:val="center"/>
              <w:rPr>
                <w:rFonts w:ascii="Times New Roman" w:hAnsi="Times New Roman" w:cs="Times New Roman"/>
                <w:color w:val="000000"/>
                <w:kern w:val="0"/>
                <w:szCs w:val="21"/>
              </w:rPr>
            </w:pPr>
          </w:p>
        </w:tc>
        <w:tc>
          <w:tcPr>
            <w:tcW w:w="1275" w:type="dxa"/>
            <w:shd w:val="clear" w:color="auto" w:fill="auto"/>
            <w:vAlign w:val="center"/>
          </w:tcPr>
          <w:p>
            <w:pPr>
              <w:widowControl/>
              <w:jc w:val="center"/>
              <w:rPr>
                <w:rFonts w:ascii="Times New Roman" w:hAnsi="Times New Roman" w:cs="Times New Roman"/>
                <w:color w:val="000000"/>
                <w:kern w:val="0"/>
                <w:szCs w:val="21"/>
              </w:rPr>
            </w:pPr>
          </w:p>
        </w:tc>
        <w:tc>
          <w:tcPr>
            <w:tcW w:w="996" w:type="dxa"/>
            <w:shd w:val="clear" w:color="auto" w:fill="auto"/>
            <w:vAlign w:val="center"/>
          </w:tcPr>
          <w:p>
            <w:pPr>
              <w:widowControl/>
              <w:jc w:val="center"/>
              <w:rPr>
                <w:rFonts w:ascii="Times New Roman" w:hAnsi="Times New Roman" w:cs="Times New Roman"/>
                <w:color w:val="000000"/>
                <w:kern w:val="0"/>
                <w:szCs w:val="21"/>
              </w:rPr>
            </w:pPr>
          </w:p>
        </w:tc>
        <w:tc>
          <w:tcPr>
            <w:tcW w:w="709" w:type="dxa"/>
            <w:shd w:val="clear" w:color="auto" w:fill="auto"/>
            <w:vAlign w:val="center"/>
          </w:tcPr>
          <w:p>
            <w:pPr>
              <w:widowControl/>
              <w:jc w:val="center"/>
              <w:rPr>
                <w:rFonts w:ascii="Times New Roman" w:hAnsi="Times New Roman" w:cs="Times New Roman"/>
                <w:color w:val="000000"/>
                <w:kern w:val="0"/>
                <w:szCs w:val="21"/>
              </w:rPr>
            </w:pPr>
          </w:p>
        </w:tc>
        <w:tc>
          <w:tcPr>
            <w:tcW w:w="566" w:type="dxa"/>
            <w:shd w:val="clear" w:color="auto" w:fill="auto"/>
            <w:vAlign w:val="center"/>
          </w:tcPr>
          <w:p>
            <w:pPr>
              <w:widowControl/>
              <w:jc w:val="center"/>
              <w:rPr>
                <w:rFonts w:ascii="Times New Roman" w:hAnsi="Times New Roman" w:cs="Times New Roman"/>
                <w:color w:val="000000"/>
                <w:kern w:val="0"/>
                <w:szCs w:val="21"/>
              </w:rPr>
            </w:pPr>
          </w:p>
        </w:tc>
        <w:tc>
          <w:tcPr>
            <w:tcW w:w="1130" w:type="dxa"/>
            <w:vAlign w:val="center"/>
          </w:tcPr>
          <w:p>
            <w:pPr>
              <w:widowControl/>
              <w:jc w:val="center"/>
              <w:rPr>
                <w:rFonts w:ascii="Times New Roman" w:hAnsi="Times New Roman" w:cs="Times New Roman"/>
                <w:color w:val="000000"/>
                <w:kern w:val="0"/>
                <w:szCs w:val="21"/>
              </w:rPr>
            </w:pPr>
          </w:p>
        </w:tc>
        <w:tc>
          <w:tcPr>
            <w:tcW w:w="851" w:type="dxa"/>
            <w:shd w:val="clear" w:color="auto" w:fill="auto"/>
            <w:vAlign w:val="center"/>
          </w:tcPr>
          <w:p>
            <w:pPr>
              <w:widowControl/>
              <w:jc w:val="center"/>
              <w:rPr>
                <w:rFonts w:ascii="Times New Roman" w:hAnsi="Times New Roman" w:cs="Times New Roman"/>
                <w:color w:val="000000"/>
                <w:kern w:val="0"/>
                <w:szCs w:val="21"/>
              </w:rPr>
            </w:pPr>
          </w:p>
        </w:tc>
        <w:tc>
          <w:tcPr>
            <w:tcW w:w="1135" w:type="dxa"/>
            <w:shd w:val="clear" w:color="auto" w:fill="auto"/>
            <w:vAlign w:val="center"/>
          </w:tcPr>
          <w:p>
            <w:pPr>
              <w:widowControl/>
              <w:jc w:val="center"/>
              <w:rPr>
                <w:rFonts w:ascii="Times New Roman" w:hAnsi="Times New Roman" w:cs="Times New Roman"/>
                <w:color w:val="000000"/>
                <w:kern w:val="0"/>
                <w:szCs w:val="21"/>
              </w:rPr>
            </w:pPr>
          </w:p>
        </w:tc>
        <w:tc>
          <w:tcPr>
            <w:tcW w:w="851" w:type="dxa"/>
            <w:vAlign w:val="center"/>
          </w:tcPr>
          <w:p>
            <w:pPr>
              <w:widowControl/>
              <w:jc w:val="center"/>
              <w:rPr>
                <w:rFonts w:ascii="Times New Roman" w:hAnsi="Times New Roman" w:cs="Times New Roman"/>
                <w:color w:val="000000"/>
                <w:kern w:val="0"/>
                <w:szCs w:val="21"/>
              </w:rPr>
            </w:pPr>
          </w:p>
        </w:tc>
        <w:tc>
          <w:tcPr>
            <w:tcW w:w="709" w:type="dxa"/>
          </w:tcPr>
          <w:p>
            <w:pPr>
              <w:widowControl/>
              <w:jc w:val="center"/>
              <w:rPr>
                <w:rFonts w:ascii="Times New Roman" w:hAnsi="Times New Roman" w:cs="Times New Roman"/>
                <w:color w:val="000000"/>
                <w:kern w:val="0"/>
                <w:szCs w:val="21"/>
              </w:rPr>
            </w:pPr>
          </w:p>
        </w:tc>
        <w:tc>
          <w:tcPr>
            <w:tcW w:w="2329" w:type="dxa"/>
          </w:tcPr>
          <w:p>
            <w:pPr>
              <w:widowControl/>
              <w:jc w:val="center"/>
              <w:rPr>
                <w:rFonts w:ascii="Times New Roman" w:hAnsi="Times New Roman" w:cs="Times New Roman"/>
                <w:color w:val="000000"/>
                <w:kern w:val="0"/>
                <w:szCs w:val="21"/>
              </w:rPr>
            </w:pPr>
          </w:p>
        </w:tc>
      </w:tr>
    </w:tbl>
    <w:p>
      <w:pPr>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备注：</w:t>
      </w:r>
      <w:r>
        <w:rPr>
          <w:rFonts w:ascii="Times New Roman" w:hAnsi="Times New Roman" w:cs="Times New Roman"/>
          <w:color w:val="000000"/>
          <w:kern w:val="0"/>
          <w:szCs w:val="21"/>
        </w:rPr>
        <w:t>1</w:t>
      </w:r>
      <w:r>
        <w:rPr>
          <w:rFonts w:hint="eastAsia" w:ascii="Times New Roman" w:hAnsi="Times New Roman" w:cs="Times New Roman"/>
          <w:color w:val="000000"/>
          <w:kern w:val="0"/>
          <w:szCs w:val="21"/>
        </w:rPr>
        <w:t>、保护区划分一栏填写</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是</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或</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否</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，如果填写</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是</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，要注明省级政府批复文件号。</w:t>
      </w:r>
    </w:p>
    <w:p>
      <w:pPr>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2</w:t>
      </w:r>
      <w:r>
        <w:rPr>
          <w:rFonts w:hint="eastAsia" w:ascii="Times New Roman" w:hAnsi="Times New Roman" w:cs="Times New Roman"/>
          <w:color w:val="000000"/>
          <w:kern w:val="0"/>
          <w:szCs w:val="21"/>
        </w:rPr>
        <w:t>、项目内容是指针对水源保护区开展的工作，包括（</w:t>
      </w:r>
      <w:r>
        <w:rPr>
          <w:rFonts w:ascii="Times New Roman" w:hAnsi="Times New Roman" w:cs="Times New Roman"/>
          <w:color w:val="000000"/>
          <w:kern w:val="0"/>
          <w:szCs w:val="21"/>
        </w:rPr>
        <w:t>1</w:t>
      </w:r>
      <w:r>
        <w:rPr>
          <w:rFonts w:hint="eastAsia" w:ascii="Times New Roman" w:hAnsi="Times New Roman" w:cs="Times New Roman"/>
          <w:color w:val="000000"/>
          <w:kern w:val="0"/>
          <w:szCs w:val="21"/>
        </w:rPr>
        <w:t>）关闭排污口、清拆违章建筑、居民搬迁等违法行为取缔措施；（</w:t>
      </w: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）种植（养殖）等面源污染防治措施；（</w:t>
      </w:r>
      <w:r>
        <w:rPr>
          <w:rFonts w:ascii="Times New Roman" w:hAnsi="Times New Roman" w:cs="Times New Roman"/>
          <w:color w:val="000000"/>
          <w:kern w:val="0"/>
          <w:szCs w:val="21"/>
        </w:rPr>
        <w:t>3</w:t>
      </w:r>
      <w:r>
        <w:rPr>
          <w:rFonts w:hint="eastAsia" w:ascii="Times New Roman" w:hAnsi="Times New Roman" w:cs="Times New Roman"/>
          <w:color w:val="000000"/>
          <w:kern w:val="0"/>
          <w:szCs w:val="21"/>
        </w:rPr>
        <w:t>）隔离防护、标志牌设置、生态修复及建设等综合保护措施。</w:t>
      </w: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2-11</w:t>
      </w:r>
      <w:r>
        <w:rPr>
          <w:rFonts w:hint="eastAsia" w:ascii="华文中宋" w:hAnsi="华文中宋" w:eastAsia="华文中宋"/>
          <w:sz w:val="28"/>
          <w:szCs w:val="28"/>
        </w:rPr>
        <w:t>加油站地下油罐调查清单</w:t>
      </w:r>
    </w:p>
    <w:tbl>
      <w:tblPr>
        <w:tblStyle w:val="2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12"/>
        <w:gridCol w:w="1200"/>
        <w:gridCol w:w="1538"/>
        <w:gridCol w:w="2269"/>
        <w:gridCol w:w="1272"/>
        <w:gridCol w:w="2055"/>
        <w:gridCol w:w="1200"/>
        <w:gridCol w:w="1200"/>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省份</w:t>
            </w:r>
          </w:p>
        </w:tc>
        <w:tc>
          <w:tcPr>
            <w:tcW w:w="612"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地市</w:t>
            </w:r>
          </w:p>
        </w:tc>
        <w:tc>
          <w:tcPr>
            <w:tcW w:w="1200"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加油站名称</w:t>
            </w:r>
          </w:p>
        </w:tc>
        <w:tc>
          <w:tcPr>
            <w:tcW w:w="1538"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运营起始年份</w:t>
            </w:r>
          </w:p>
        </w:tc>
        <w:tc>
          <w:tcPr>
            <w:tcW w:w="2269"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埋地油罐数量（个数）</w:t>
            </w:r>
          </w:p>
        </w:tc>
        <w:tc>
          <w:tcPr>
            <w:tcW w:w="1272"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双层罐数量</w:t>
            </w:r>
          </w:p>
        </w:tc>
        <w:tc>
          <w:tcPr>
            <w:tcW w:w="2055"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单层罐但有防渗池的数量</w:t>
            </w:r>
          </w:p>
        </w:tc>
        <w:tc>
          <w:tcPr>
            <w:tcW w:w="1200"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监测井数量</w:t>
            </w:r>
          </w:p>
        </w:tc>
        <w:tc>
          <w:tcPr>
            <w:tcW w:w="1200"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是否已验收</w:t>
            </w:r>
          </w:p>
        </w:tc>
        <w:tc>
          <w:tcPr>
            <w:tcW w:w="1989"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验收文件（文号等）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vAlign w:val="center"/>
          </w:tcPr>
          <w:p>
            <w:pPr>
              <w:jc w:val="center"/>
              <w:rPr>
                <w:rFonts w:ascii="Times New Roman" w:hAnsi="Times New Roman" w:eastAsia="宋体" w:cs="Times New Roman"/>
                <w:kern w:val="0"/>
                <w:sz w:val="20"/>
                <w:szCs w:val="20"/>
              </w:rPr>
            </w:pPr>
          </w:p>
        </w:tc>
        <w:tc>
          <w:tcPr>
            <w:tcW w:w="612" w:type="dxa"/>
            <w:vAlign w:val="center"/>
          </w:tcPr>
          <w:p>
            <w:pPr>
              <w:jc w:val="center"/>
              <w:rPr>
                <w:rFonts w:ascii="Times New Roman" w:hAnsi="Times New Roman" w:eastAsia="宋体" w:cs="Times New Roman"/>
                <w:kern w:val="0"/>
                <w:sz w:val="20"/>
                <w:szCs w:val="20"/>
              </w:rPr>
            </w:pPr>
          </w:p>
        </w:tc>
        <w:tc>
          <w:tcPr>
            <w:tcW w:w="1200" w:type="dxa"/>
            <w:vAlign w:val="center"/>
          </w:tcPr>
          <w:p>
            <w:pPr>
              <w:jc w:val="center"/>
              <w:rPr>
                <w:rFonts w:ascii="Times New Roman" w:hAnsi="Times New Roman" w:eastAsia="宋体" w:cs="Times New Roman"/>
                <w:kern w:val="0"/>
                <w:sz w:val="20"/>
                <w:szCs w:val="20"/>
              </w:rPr>
            </w:pPr>
          </w:p>
        </w:tc>
        <w:tc>
          <w:tcPr>
            <w:tcW w:w="1538" w:type="dxa"/>
            <w:vAlign w:val="center"/>
          </w:tcPr>
          <w:p>
            <w:pPr>
              <w:jc w:val="center"/>
              <w:rPr>
                <w:rFonts w:ascii="Times New Roman" w:hAnsi="Times New Roman" w:eastAsia="宋体" w:cs="Times New Roman"/>
                <w:kern w:val="0"/>
                <w:sz w:val="20"/>
                <w:szCs w:val="20"/>
              </w:rPr>
            </w:pPr>
          </w:p>
        </w:tc>
        <w:tc>
          <w:tcPr>
            <w:tcW w:w="2269" w:type="dxa"/>
            <w:vAlign w:val="center"/>
          </w:tcPr>
          <w:p>
            <w:pPr>
              <w:jc w:val="center"/>
              <w:rPr>
                <w:rFonts w:ascii="Times New Roman" w:hAnsi="Times New Roman" w:eastAsia="宋体" w:cs="Times New Roman"/>
                <w:kern w:val="0"/>
                <w:sz w:val="20"/>
                <w:szCs w:val="20"/>
              </w:rPr>
            </w:pPr>
          </w:p>
        </w:tc>
        <w:tc>
          <w:tcPr>
            <w:tcW w:w="1272" w:type="dxa"/>
            <w:vAlign w:val="center"/>
          </w:tcPr>
          <w:p>
            <w:pPr>
              <w:jc w:val="center"/>
              <w:rPr>
                <w:rFonts w:ascii="Times New Roman" w:hAnsi="Times New Roman" w:eastAsia="宋体" w:cs="Times New Roman"/>
                <w:kern w:val="0"/>
                <w:sz w:val="20"/>
                <w:szCs w:val="20"/>
              </w:rPr>
            </w:pPr>
          </w:p>
        </w:tc>
        <w:tc>
          <w:tcPr>
            <w:tcW w:w="2055" w:type="dxa"/>
            <w:vAlign w:val="center"/>
          </w:tcPr>
          <w:p>
            <w:pPr>
              <w:jc w:val="center"/>
              <w:rPr>
                <w:rFonts w:ascii="Times New Roman" w:hAnsi="Times New Roman" w:eastAsia="宋体" w:cs="Times New Roman"/>
                <w:kern w:val="0"/>
                <w:sz w:val="20"/>
                <w:szCs w:val="20"/>
              </w:rPr>
            </w:pPr>
          </w:p>
        </w:tc>
        <w:tc>
          <w:tcPr>
            <w:tcW w:w="1200" w:type="dxa"/>
            <w:vAlign w:val="center"/>
          </w:tcPr>
          <w:p>
            <w:pPr>
              <w:jc w:val="center"/>
              <w:rPr>
                <w:rFonts w:ascii="Times New Roman" w:hAnsi="Times New Roman" w:eastAsia="宋体" w:cs="Times New Roman"/>
                <w:kern w:val="0"/>
                <w:sz w:val="20"/>
                <w:szCs w:val="20"/>
              </w:rPr>
            </w:pPr>
          </w:p>
        </w:tc>
        <w:tc>
          <w:tcPr>
            <w:tcW w:w="1200" w:type="dxa"/>
            <w:vAlign w:val="center"/>
          </w:tcPr>
          <w:p>
            <w:pPr>
              <w:jc w:val="center"/>
              <w:rPr>
                <w:rFonts w:ascii="Times New Roman" w:hAnsi="Times New Roman" w:eastAsia="宋体" w:cs="Times New Roman"/>
                <w:kern w:val="0"/>
                <w:sz w:val="20"/>
                <w:szCs w:val="20"/>
              </w:rPr>
            </w:pPr>
          </w:p>
        </w:tc>
        <w:tc>
          <w:tcPr>
            <w:tcW w:w="1989" w:type="dxa"/>
            <w:vAlign w:val="center"/>
          </w:tcPr>
          <w:p>
            <w:pPr>
              <w:jc w:val="center"/>
              <w:rPr>
                <w:rFonts w:ascii="Times New Roman" w:hAnsi="Times New Roman" w:eastAsia="宋体" w:cs="Times New Roman"/>
                <w:kern w:val="0"/>
                <w:sz w:val="20"/>
                <w:szCs w:val="20"/>
              </w:rPr>
            </w:pPr>
          </w:p>
        </w:tc>
      </w:tr>
    </w:tbl>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2-12</w:t>
      </w:r>
      <w:r>
        <w:rPr>
          <w:rFonts w:hint="eastAsia" w:ascii="华文中宋" w:hAnsi="华文中宋" w:eastAsia="华文中宋"/>
          <w:sz w:val="28"/>
          <w:szCs w:val="28"/>
        </w:rPr>
        <w:t>入海排污口清单</w:t>
      </w:r>
    </w:p>
    <w:tbl>
      <w:tblPr>
        <w:tblStyle w:val="24"/>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4"/>
        <w:gridCol w:w="823"/>
        <w:gridCol w:w="2187"/>
        <w:gridCol w:w="1370"/>
        <w:gridCol w:w="1911"/>
        <w:gridCol w:w="1911"/>
        <w:gridCol w:w="137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省份</w:t>
            </w:r>
          </w:p>
        </w:tc>
        <w:tc>
          <w:tcPr>
            <w:tcW w:w="824"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地市</w:t>
            </w:r>
          </w:p>
        </w:tc>
        <w:tc>
          <w:tcPr>
            <w:tcW w:w="823"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区县</w:t>
            </w:r>
          </w:p>
        </w:tc>
        <w:tc>
          <w:tcPr>
            <w:tcW w:w="2187"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入海排污口名称</w:t>
            </w:r>
          </w:p>
        </w:tc>
        <w:tc>
          <w:tcPr>
            <w:tcW w:w="1370" w:type="dxa"/>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所属海域</w:t>
            </w:r>
          </w:p>
        </w:tc>
        <w:tc>
          <w:tcPr>
            <w:tcW w:w="1911" w:type="dxa"/>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排污口类型</w:t>
            </w:r>
          </w:p>
        </w:tc>
        <w:tc>
          <w:tcPr>
            <w:tcW w:w="1911"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完成时限时间</w:t>
            </w:r>
          </w:p>
        </w:tc>
        <w:tc>
          <w:tcPr>
            <w:tcW w:w="1370"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实施进展</w:t>
            </w:r>
          </w:p>
        </w:tc>
        <w:tc>
          <w:tcPr>
            <w:tcW w:w="2728" w:type="dxa"/>
            <w:vAlign w:val="center"/>
          </w:tcPr>
          <w:p>
            <w:pPr>
              <w:widowControl/>
              <w:jc w:val="center"/>
              <w:rPr>
                <w:rFonts w:ascii="Times New Roman" w:hAnsi="Times New Roman" w:eastAsia="黑体" w:cs="Times New Roman"/>
                <w:bCs/>
                <w:color w:val="000000"/>
                <w:kern w:val="0"/>
                <w:sz w:val="20"/>
                <w:szCs w:val="21"/>
              </w:rPr>
            </w:pPr>
            <w:r>
              <w:rPr>
                <w:rFonts w:hint="eastAsia" w:ascii="Times New Roman" w:hAnsi="Times New Roman" w:eastAsia="黑体" w:cs="Times New Roman"/>
                <w:bCs/>
                <w:color w:val="000000"/>
                <w:kern w:val="0"/>
                <w:sz w:val="20"/>
                <w:szCs w:val="21"/>
              </w:rPr>
              <w:t>证明文件（文号等）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vAlign w:val="center"/>
          </w:tcPr>
          <w:p>
            <w:pPr>
              <w:jc w:val="center"/>
              <w:rPr>
                <w:rFonts w:ascii="Times New Roman" w:hAnsi="Times New Roman" w:eastAsia="宋体" w:cs="Times New Roman"/>
                <w:kern w:val="0"/>
                <w:sz w:val="20"/>
                <w:szCs w:val="20"/>
              </w:rPr>
            </w:pPr>
          </w:p>
        </w:tc>
        <w:tc>
          <w:tcPr>
            <w:tcW w:w="824" w:type="dxa"/>
            <w:vAlign w:val="center"/>
          </w:tcPr>
          <w:p>
            <w:pPr>
              <w:jc w:val="center"/>
              <w:rPr>
                <w:rFonts w:ascii="Times New Roman" w:hAnsi="Times New Roman" w:eastAsia="宋体" w:cs="Times New Roman"/>
                <w:kern w:val="0"/>
                <w:sz w:val="20"/>
                <w:szCs w:val="20"/>
              </w:rPr>
            </w:pPr>
          </w:p>
        </w:tc>
        <w:tc>
          <w:tcPr>
            <w:tcW w:w="823" w:type="dxa"/>
            <w:vAlign w:val="center"/>
          </w:tcPr>
          <w:p>
            <w:pPr>
              <w:jc w:val="center"/>
              <w:rPr>
                <w:rFonts w:ascii="Times New Roman" w:hAnsi="Times New Roman" w:eastAsia="宋体" w:cs="Times New Roman"/>
                <w:kern w:val="0"/>
                <w:sz w:val="20"/>
                <w:szCs w:val="20"/>
              </w:rPr>
            </w:pPr>
          </w:p>
        </w:tc>
        <w:tc>
          <w:tcPr>
            <w:tcW w:w="2187" w:type="dxa"/>
            <w:vAlign w:val="center"/>
          </w:tcPr>
          <w:p>
            <w:pPr>
              <w:jc w:val="center"/>
              <w:rPr>
                <w:rFonts w:ascii="Times New Roman" w:hAnsi="Times New Roman" w:eastAsia="宋体" w:cs="Times New Roman"/>
                <w:kern w:val="0"/>
                <w:sz w:val="20"/>
                <w:szCs w:val="20"/>
              </w:rPr>
            </w:pPr>
          </w:p>
        </w:tc>
        <w:tc>
          <w:tcPr>
            <w:tcW w:w="1370" w:type="dxa"/>
          </w:tcPr>
          <w:p>
            <w:pPr>
              <w:jc w:val="center"/>
              <w:rPr>
                <w:rFonts w:ascii="Times New Roman" w:hAnsi="Times New Roman" w:eastAsia="宋体" w:cs="Times New Roman"/>
                <w:kern w:val="0"/>
                <w:sz w:val="20"/>
                <w:szCs w:val="20"/>
              </w:rPr>
            </w:pPr>
          </w:p>
        </w:tc>
        <w:tc>
          <w:tcPr>
            <w:tcW w:w="1911" w:type="dxa"/>
          </w:tcPr>
          <w:p>
            <w:pPr>
              <w:jc w:val="center"/>
              <w:rPr>
                <w:rFonts w:ascii="Times New Roman" w:hAnsi="Times New Roman" w:eastAsia="宋体" w:cs="Times New Roman"/>
                <w:kern w:val="0"/>
                <w:sz w:val="20"/>
                <w:szCs w:val="20"/>
              </w:rPr>
            </w:pPr>
          </w:p>
        </w:tc>
        <w:tc>
          <w:tcPr>
            <w:tcW w:w="1911" w:type="dxa"/>
            <w:vAlign w:val="center"/>
          </w:tcPr>
          <w:p>
            <w:pPr>
              <w:jc w:val="center"/>
              <w:rPr>
                <w:rFonts w:ascii="Times New Roman" w:hAnsi="Times New Roman" w:eastAsia="宋体" w:cs="Times New Roman"/>
                <w:kern w:val="0"/>
                <w:sz w:val="20"/>
                <w:szCs w:val="20"/>
              </w:rPr>
            </w:pPr>
          </w:p>
        </w:tc>
        <w:tc>
          <w:tcPr>
            <w:tcW w:w="1370" w:type="dxa"/>
            <w:vAlign w:val="center"/>
          </w:tcPr>
          <w:p>
            <w:pPr>
              <w:jc w:val="center"/>
              <w:rPr>
                <w:rFonts w:ascii="Times New Roman" w:hAnsi="Times New Roman" w:eastAsia="宋体" w:cs="Times New Roman"/>
                <w:kern w:val="0"/>
                <w:sz w:val="20"/>
                <w:szCs w:val="20"/>
              </w:rPr>
            </w:pPr>
          </w:p>
        </w:tc>
        <w:tc>
          <w:tcPr>
            <w:tcW w:w="2728" w:type="dxa"/>
            <w:vAlign w:val="center"/>
          </w:tcPr>
          <w:p>
            <w:pPr>
              <w:jc w:val="center"/>
              <w:rPr>
                <w:rFonts w:ascii="Times New Roman" w:hAnsi="Times New Roman" w:eastAsia="宋体" w:cs="Times New Roman"/>
                <w:kern w:val="0"/>
                <w:sz w:val="20"/>
                <w:szCs w:val="20"/>
              </w:rPr>
            </w:pPr>
          </w:p>
        </w:tc>
      </w:tr>
    </w:tbl>
    <w:p>
      <w:pPr>
        <w:rPr>
          <w:rFonts w:ascii="Times New Roman" w:hAnsi="Times New Roman" w:cs="Times New Roman"/>
        </w:rPr>
      </w:pPr>
      <w:r>
        <w:rPr>
          <w:rFonts w:hint="eastAsia" w:ascii="Times New Roman" w:hAnsi="Times New Roman" w:cs="Times New Roman"/>
        </w:rPr>
        <w:t>排污口类型：填写非法、设置不合理等。</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）属于下列情形之一的，判定为非法排污口；</w:t>
      </w:r>
    </w:p>
    <w:p>
      <w:pPr>
        <w:rPr>
          <w:rFonts w:ascii="Times New Roman" w:hAnsi="Times New Roman" w:cs="Times New Roman"/>
        </w:rPr>
      </w:pPr>
      <w:r>
        <w:rPr>
          <w:rFonts w:hint="eastAsia" w:ascii="宋体" w:hAnsi="宋体" w:eastAsia="宋体" w:cs="宋体"/>
        </w:rPr>
        <w:t>①</w:t>
      </w:r>
      <w:r>
        <w:rPr>
          <w:rFonts w:ascii="Times New Roman" w:hAnsi="Times New Roman" w:cs="Times New Roman"/>
        </w:rPr>
        <w:t>1990</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防治陆源污染物污染损害海洋环境管理条例》实施后，在自然保护区、海洋特别保护区、盐场保护区、海水浴场、海滨风景名胜区、重要渔业水域和其他需要特别保护的区域，以及国家及地方相关法规规定不得排放污水的水域设置的排污口。</w:t>
      </w:r>
    </w:p>
    <w:p>
      <w:pPr>
        <w:rPr>
          <w:rFonts w:ascii="Times New Roman" w:hAnsi="Times New Roman" w:cs="Times New Roman"/>
        </w:rPr>
      </w:pPr>
      <w:r>
        <w:rPr>
          <w:rFonts w:hint="eastAsia" w:ascii="宋体" w:hAnsi="宋体" w:eastAsia="宋体" w:cs="宋体"/>
        </w:rPr>
        <w:t>②</w:t>
      </w:r>
      <w:r>
        <w:rPr>
          <w:rFonts w:ascii="Times New Roman" w:hAnsi="Times New Roman" w:cs="Times New Roman"/>
        </w:rPr>
        <w:t>1990</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日，《防治海岸工程建设项目污染损害海洋环境管理条例》实施后，设置的排污管道出水管口位置不在低潮线以下的排污口。</w:t>
      </w:r>
    </w:p>
    <w:p>
      <w:pPr>
        <w:rPr>
          <w:rFonts w:ascii="Times New Roman" w:hAnsi="Times New Roman" w:cs="Times New Roman"/>
        </w:rPr>
      </w:pPr>
      <w:r>
        <w:rPr>
          <w:rFonts w:hint="eastAsia" w:ascii="宋体" w:hAnsi="宋体" w:eastAsia="宋体" w:cs="宋体"/>
        </w:rPr>
        <w:t>③</w:t>
      </w:r>
      <w:r>
        <w:rPr>
          <w:rFonts w:ascii="Times New Roman" w:hAnsi="Times New Roman" w:cs="Times New Roman"/>
        </w:rPr>
        <w:t>2000</w:t>
      </w:r>
      <w:r>
        <w:rPr>
          <w:rFonts w:hint="eastAsia" w:ascii="Times New Roman" w:hAnsi="Times New Roman" w:cs="Times New Roman"/>
        </w:rPr>
        <w:t>年</w:t>
      </w:r>
      <w:r>
        <w:rPr>
          <w:rFonts w:ascii="Times New Roman" w:hAnsi="Times New Roman" w:cs="Times New Roman"/>
        </w:rPr>
        <w:t>4</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日，《海洋环境保护法》实施后设置的排污口，未经设区的市级以上人民政府环保部门审查批准的排污口。</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）属于下列情形之一的，判定为设置不合理的排污口；</w:t>
      </w:r>
    </w:p>
    <w:p>
      <w:pPr>
        <w:rPr>
          <w:rFonts w:ascii="Times New Roman" w:hAnsi="Times New Roman" w:cs="Times New Roman"/>
        </w:rPr>
      </w:pPr>
      <w:r>
        <w:rPr>
          <w:rFonts w:hint="eastAsia" w:ascii="宋体" w:hAnsi="宋体" w:eastAsia="宋体" w:cs="宋体"/>
        </w:rPr>
        <w:t>①</w:t>
      </w:r>
      <w:r>
        <w:rPr>
          <w:rFonts w:hint="eastAsia" w:ascii="Times New Roman" w:hAnsi="Times New Roman" w:cs="Times New Roman"/>
        </w:rPr>
        <w:t>位于一类近岸海域环境功能区内的排污口。</w:t>
      </w:r>
    </w:p>
    <w:p>
      <w:pPr>
        <w:rPr>
          <w:rFonts w:ascii="Times New Roman" w:hAnsi="Times New Roman" w:cs="Times New Roman"/>
        </w:rPr>
      </w:pPr>
      <w:r>
        <w:rPr>
          <w:rFonts w:hint="eastAsia" w:ascii="宋体" w:hAnsi="宋体" w:eastAsia="宋体" w:cs="宋体"/>
        </w:rPr>
        <w:t>②</w:t>
      </w:r>
      <w:r>
        <w:rPr>
          <w:rFonts w:hint="eastAsia" w:ascii="Times New Roman" w:hAnsi="Times New Roman" w:cs="Times New Roman"/>
        </w:rPr>
        <w:t>《防治陆源污染物污染损害海洋环境管理条例》实施（</w:t>
      </w:r>
      <w:r>
        <w:rPr>
          <w:rFonts w:ascii="Times New Roman" w:hAnsi="Times New Roman" w:cs="Times New Roman"/>
        </w:rPr>
        <w:t>1990</w:t>
      </w:r>
      <w:r>
        <w:rPr>
          <w:rFonts w:hint="eastAsia" w:ascii="Times New Roman" w:hAnsi="Times New Roman" w:cs="Times New Roman"/>
        </w:rPr>
        <w:t>年</w:t>
      </w:r>
      <w:r>
        <w:rPr>
          <w:rFonts w:ascii="Times New Roman" w:hAnsi="Times New Roman" w:cs="Times New Roman"/>
        </w:rPr>
        <w:t>8</w:t>
      </w:r>
      <w:r>
        <w:rPr>
          <w:rFonts w:hint="eastAsia" w:ascii="Times New Roman" w:hAnsi="Times New Roman" w:cs="Times New Roman"/>
        </w:rPr>
        <w:t>月</w:t>
      </w:r>
      <w:r>
        <w:rPr>
          <w:rFonts w:ascii="Times New Roman" w:hAnsi="Times New Roman" w:cs="Times New Roman"/>
        </w:rPr>
        <w:t>1</w:t>
      </w:r>
      <w:r>
        <w:rPr>
          <w:rFonts w:hint="eastAsia" w:ascii="Times New Roman" w:hAnsi="Times New Roman" w:cs="Times New Roman"/>
        </w:rPr>
        <w:t>日）前，在海洋特别保护区、海上自然保护区、海滨风景游览区、盐场保护区、海水浴场、重要渔业水域和其他需要特别保护的区域内设置的排污口，或者在上述区域设立之前设置的排污口。</w:t>
      </w:r>
    </w:p>
    <w:p>
      <w:pPr>
        <w:rPr>
          <w:rFonts w:ascii="Times New Roman" w:hAnsi="Times New Roman" w:cs="Times New Roman"/>
        </w:rPr>
      </w:pPr>
      <w:r>
        <w:rPr>
          <w:rFonts w:hint="eastAsia" w:ascii="宋体" w:hAnsi="宋体" w:eastAsia="宋体" w:cs="宋体"/>
        </w:rPr>
        <w:t>③</w:t>
      </w:r>
      <w:r>
        <w:rPr>
          <w:rFonts w:hint="eastAsia" w:ascii="Times New Roman" w:hAnsi="Times New Roman" w:cs="Times New Roman"/>
        </w:rPr>
        <w:t>已取得设区的市级以上环保部门批准但未按审批要求建设的排污口。</w:t>
      </w:r>
    </w:p>
    <w:p>
      <w:pPr>
        <w:rPr>
          <w:rFonts w:ascii="Times New Roman" w:hAnsi="Times New Roman" w:cs="Times New Roman"/>
        </w:rPr>
      </w:pPr>
      <w:r>
        <w:rPr>
          <w:rFonts w:hint="eastAsia" w:ascii="宋体" w:hAnsi="宋体" w:eastAsia="宋体" w:cs="宋体"/>
        </w:rPr>
        <w:t>④</w:t>
      </w:r>
      <w:r>
        <w:rPr>
          <w:rFonts w:hint="eastAsia" w:ascii="Times New Roman" w:hAnsi="Times New Roman" w:cs="Times New Roman"/>
        </w:rPr>
        <w:t>设置在重要环境敏感区附近，且造成环境敏感区水质超标的排污口。</w:t>
      </w:r>
    </w:p>
    <w:p>
      <w:pPr>
        <w:rPr>
          <w:rFonts w:ascii="Times New Roman" w:hAnsi="Times New Roman" w:cs="Times New Roman"/>
        </w:rPr>
      </w:pPr>
    </w:p>
    <w:p>
      <w:pPr>
        <w:pStyle w:val="4"/>
        <w:numPr>
          <w:ilvl w:val="0"/>
          <w:numId w:val="0"/>
        </w:numPr>
        <w:ind w:left="602"/>
        <w:rPr>
          <w:rFonts w:ascii="华文中宋" w:hAnsi="华文中宋" w:eastAsia="华文中宋"/>
          <w:sz w:val="28"/>
          <w:szCs w:val="28"/>
        </w:rPr>
      </w:pPr>
      <w:r>
        <w:rPr>
          <w:rFonts w:hint="eastAsia" w:ascii="华文中宋" w:hAnsi="华文中宋" w:eastAsia="华文中宋"/>
          <w:sz w:val="28"/>
          <w:szCs w:val="28"/>
        </w:rPr>
        <w:t>附表</w:t>
      </w:r>
      <w:r>
        <w:rPr>
          <w:rFonts w:ascii="华文中宋" w:hAnsi="华文中宋" w:eastAsia="华文中宋"/>
          <w:sz w:val="28"/>
          <w:szCs w:val="28"/>
        </w:rPr>
        <w:t>2-13 “</w:t>
      </w:r>
      <w:r>
        <w:rPr>
          <w:rFonts w:hint="eastAsia" w:ascii="华文中宋" w:hAnsi="华文中宋" w:eastAsia="华文中宋"/>
          <w:sz w:val="28"/>
          <w:szCs w:val="28"/>
        </w:rPr>
        <w:t>十三五</w:t>
      </w:r>
      <w:r>
        <w:rPr>
          <w:rFonts w:ascii="华文中宋" w:hAnsi="华文中宋" w:eastAsia="华文中宋"/>
          <w:sz w:val="28"/>
          <w:szCs w:val="28"/>
        </w:rPr>
        <w:t>”</w:t>
      </w:r>
      <w:r>
        <w:rPr>
          <w:rFonts w:hint="eastAsia" w:ascii="华文中宋" w:hAnsi="华文中宋" w:eastAsia="华文中宋"/>
          <w:sz w:val="28"/>
          <w:szCs w:val="28"/>
        </w:rPr>
        <w:t>水专项示范任务清单</w:t>
      </w:r>
    </w:p>
    <w:tbl>
      <w:tblPr>
        <w:tblStyle w:val="2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46"/>
        <w:gridCol w:w="1046"/>
        <w:gridCol w:w="1032"/>
        <w:gridCol w:w="812"/>
        <w:gridCol w:w="1523"/>
        <w:gridCol w:w="803"/>
        <w:gridCol w:w="1286"/>
        <w:gridCol w:w="974"/>
        <w:gridCol w:w="197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示范工程名称</w:t>
            </w:r>
          </w:p>
        </w:tc>
        <w:tc>
          <w:tcPr>
            <w:tcW w:w="1046"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所在地市</w:t>
            </w:r>
          </w:p>
        </w:tc>
        <w:tc>
          <w:tcPr>
            <w:tcW w:w="1046"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所在区县</w:t>
            </w:r>
          </w:p>
        </w:tc>
        <w:tc>
          <w:tcPr>
            <w:tcW w:w="1032"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所在水体</w:t>
            </w:r>
          </w:p>
        </w:tc>
        <w:tc>
          <w:tcPr>
            <w:tcW w:w="812"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所在地点</w:t>
            </w:r>
          </w:p>
        </w:tc>
        <w:tc>
          <w:tcPr>
            <w:tcW w:w="1523"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示范技术与内容</w:t>
            </w:r>
          </w:p>
        </w:tc>
        <w:tc>
          <w:tcPr>
            <w:tcW w:w="803"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规模</w:t>
            </w:r>
          </w:p>
        </w:tc>
        <w:tc>
          <w:tcPr>
            <w:tcW w:w="1286" w:type="dxa"/>
            <w:shd w:val="clear" w:color="auto" w:fill="auto"/>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年度目标</w:t>
            </w:r>
          </w:p>
        </w:tc>
        <w:tc>
          <w:tcPr>
            <w:tcW w:w="974"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示范进展</w:t>
            </w:r>
          </w:p>
        </w:tc>
        <w:tc>
          <w:tcPr>
            <w:tcW w:w="1978"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示范成效</w:t>
            </w:r>
          </w:p>
        </w:tc>
        <w:tc>
          <w:tcPr>
            <w:tcW w:w="2251" w:type="dxa"/>
            <w:vAlign w:val="center"/>
          </w:tcPr>
          <w:p>
            <w:pPr>
              <w:widowControl/>
              <w:jc w:val="center"/>
              <w:rPr>
                <w:rFonts w:ascii="Times New Roman" w:hAnsi="Times New Roman" w:eastAsia="黑体" w:cs="Times New Roman"/>
                <w:bCs/>
                <w:color w:val="000000"/>
                <w:kern w:val="0"/>
                <w:szCs w:val="21"/>
              </w:rPr>
            </w:pPr>
            <w:r>
              <w:rPr>
                <w:rFonts w:hint="eastAsia" w:ascii="Times New Roman" w:hAnsi="Times New Roman" w:eastAsia="黑体" w:cs="Times New Roman"/>
                <w:bCs/>
                <w:color w:val="000000"/>
                <w:kern w:val="0"/>
                <w:szCs w:val="21"/>
              </w:rPr>
              <w:t>考核认定完成情况（完成</w:t>
            </w:r>
            <w:r>
              <w:rPr>
                <w:rFonts w:ascii="Times New Roman" w:hAnsi="Times New Roman" w:eastAsia="黑体" w:cs="Times New Roman"/>
                <w:bCs/>
                <w:color w:val="000000"/>
                <w:kern w:val="0"/>
                <w:szCs w:val="21"/>
              </w:rPr>
              <w:t>/</w:t>
            </w:r>
            <w:r>
              <w:rPr>
                <w:rFonts w:hint="eastAsia" w:ascii="Times New Roman" w:hAnsi="Times New Roman" w:eastAsia="黑体" w:cs="Times New Roman"/>
                <w:bCs/>
                <w:color w:val="000000"/>
                <w:kern w:val="0"/>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7" w:type="dxa"/>
            <w:shd w:val="clear" w:color="auto" w:fill="auto"/>
            <w:vAlign w:val="center"/>
          </w:tcPr>
          <w:p>
            <w:pPr>
              <w:widowControl/>
              <w:jc w:val="center"/>
              <w:rPr>
                <w:rFonts w:ascii="Times New Roman" w:hAnsi="Times New Roman" w:cs="Times New Roman"/>
                <w:b/>
                <w:bCs/>
                <w:color w:val="000000"/>
                <w:kern w:val="0"/>
                <w:szCs w:val="21"/>
              </w:rPr>
            </w:pPr>
          </w:p>
        </w:tc>
        <w:tc>
          <w:tcPr>
            <w:tcW w:w="1046" w:type="dxa"/>
            <w:vAlign w:val="center"/>
          </w:tcPr>
          <w:p>
            <w:pPr>
              <w:widowControl/>
              <w:jc w:val="center"/>
              <w:rPr>
                <w:rFonts w:ascii="Times New Roman" w:hAnsi="Times New Roman" w:cs="Times New Roman"/>
                <w:b/>
                <w:bCs/>
                <w:color w:val="000000"/>
                <w:kern w:val="0"/>
                <w:szCs w:val="21"/>
              </w:rPr>
            </w:pPr>
          </w:p>
        </w:tc>
        <w:tc>
          <w:tcPr>
            <w:tcW w:w="1046" w:type="dxa"/>
            <w:vAlign w:val="center"/>
          </w:tcPr>
          <w:p>
            <w:pPr>
              <w:widowControl/>
              <w:jc w:val="center"/>
              <w:rPr>
                <w:rFonts w:ascii="Times New Roman" w:hAnsi="Times New Roman" w:cs="Times New Roman"/>
                <w:b/>
                <w:bCs/>
                <w:color w:val="000000"/>
                <w:kern w:val="0"/>
                <w:szCs w:val="21"/>
              </w:rPr>
            </w:pPr>
          </w:p>
        </w:tc>
        <w:tc>
          <w:tcPr>
            <w:tcW w:w="1032" w:type="dxa"/>
            <w:vAlign w:val="center"/>
          </w:tcPr>
          <w:p>
            <w:pPr>
              <w:widowControl/>
              <w:jc w:val="center"/>
              <w:rPr>
                <w:rFonts w:ascii="Times New Roman" w:hAnsi="Times New Roman" w:cs="Times New Roman"/>
                <w:b/>
                <w:bCs/>
                <w:color w:val="000000"/>
                <w:kern w:val="0"/>
                <w:szCs w:val="21"/>
              </w:rPr>
            </w:pPr>
          </w:p>
        </w:tc>
        <w:tc>
          <w:tcPr>
            <w:tcW w:w="812" w:type="dxa"/>
            <w:vAlign w:val="center"/>
          </w:tcPr>
          <w:p>
            <w:pPr>
              <w:widowControl/>
              <w:jc w:val="center"/>
              <w:rPr>
                <w:rFonts w:ascii="Times New Roman" w:hAnsi="Times New Roman" w:cs="Times New Roman"/>
                <w:b/>
                <w:bCs/>
                <w:color w:val="000000"/>
                <w:kern w:val="0"/>
                <w:szCs w:val="21"/>
              </w:rPr>
            </w:pPr>
          </w:p>
        </w:tc>
        <w:tc>
          <w:tcPr>
            <w:tcW w:w="1523" w:type="dxa"/>
            <w:vAlign w:val="center"/>
          </w:tcPr>
          <w:p>
            <w:pPr>
              <w:widowControl/>
              <w:jc w:val="center"/>
              <w:rPr>
                <w:rFonts w:ascii="Times New Roman" w:hAnsi="Times New Roman" w:cs="Times New Roman"/>
                <w:b/>
                <w:bCs/>
                <w:color w:val="000000"/>
                <w:kern w:val="0"/>
                <w:szCs w:val="21"/>
              </w:rPr>
            </w:pPr>
          </w:p>
        </w:tc>
        <w:tc>
          <w:tcPr>
            <w:tcW w:w="803" w:type="dxa"/>
            <w:shd w:val="clear" w:color="auto" w:fill="auto"/>
            <w:vAlign w:val="center"/>
          </w:tcPr>
          <w:p>
            <w:pPr>
              <w:widowControl/>
              <w:jc w:val="center"/>
              <w:rPr>
                <w:rFonts w:ascii="Times New Roman" w:hAnsi="Times New Roman" w:cs="Times New Roman"/>
                <w:b/>
                <w:bCs/>
                <w:color w:val="000000"/>
                <w:kern w:val="0"/>
                <w:szCs w:val="21"/>
              </w:rPr>
            </w:pPr>
          </w:p>
        </w:tc>
        <w:tc>
          <w:tcPr>
            <w:tcW w:w="1286" w:type="dxa"/>
            <w:shd w:val="clear" w:color="auto" w:fill="auto"/>
            <w:vAlign w:val="center"/>
          </w:tcPr>
          <w:p>
            <w:pPr>
              <w:widowControl/>
              <w:jc w:val="center"/>
              <w:rPr>
                <w:rFonts w:ascii="Times New Roman" w:hAnsi="Times New Roman" w:cs="Times New Roman"/>
                <w:b/>
                <w:bCs/>
                <w:color w:val="000000"/>
                <w:kern w:val="0"/>
                <w:szCs w:val="21"/>
              </w:rPr>
            </w:pPr>
          </w:p>
        </w:tc>
        <w:tc>
          <w:tcPr>
            <w:tcW w:w="974" w:type="dxa"/>
            <w:vAlign w:val="center"/>
          </w:tcPr>
          <w:p>
            <w:pPr>
              <w:widowControl/>
              <w:jc w:val="center"/>
              <w:rPr>
                <w:rFonts w:ascii="Times New Roman" w:hAnsi="Times New Roman" w:cs="Times New Roman"/>
                <w:b/>
                <w:bCs/>
                <w:color w:val="000000"/>
                <w:kern w:val="0"/>
                <w:szCs w:val="21"/>
              </w:rPr>
            </w:pPr>
          </w:p>
        </w:tc>
        <w:tc>
          <w:tcPr>
            <w:tcW w:w="1978" w:type="dxa"/>
            <w:vAlign w:val="center"/>
          </w:tcPr>
          <w:p>
            <w:pPr>
              <w:widowControl/>
              <w:jc w:val="center"/>
              <w:rPr>
                <w:rFonts w:ascii="Times New Roman" w:hAnsi="Times New Roman" w:cs="Times New Roman"/>
                <w:b/>
                <w:bCs/>
                <w:color w:val="000000"/>
                <w:kern w:val="0"/>
                <w:szCs w:val="21"/>
              </w:rPr>
            </w:pPr>
          </w:p>
        </w:tc>
        <w:tc>
          <w:tcPr>
            <w:tcW w:w="2251" w:type="dxa"/>
            <w:vAlign w:val="center"/>
          </w:tcPr>
          <w:p>
            <w:pPr>
              <w:widowControl/>
              <w:jc w:val="center"/>
              <w:rPr>
                <w:rFonts w:ascii="Times New Roman" w:hAnsi="Times New Roman" w:cs="Times New Roman"/>
                <w:b/>
                <w:bCs/>
                <w:color w:val="000000"/>
                <w:kern w:val="0"/>
                <w:szCs w:val="21"/>
              </w:rPr>
            </w:pPr>
          </w:p>
        </w:tc>
      </w:tr>
    </w:tbl>
    <w:p>
      <w:pPr>
        <w:rPr>
          <w:rFonts w:ascii="Times New Roman" w:hAnsi="Times New Roman" w:cs="Times New Roman"/>
        </w:rPr>
      </w:pPr>
    </w:p>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pStyle w:val="3"/>
        <w:numPr>
          <w:ilvl w:val="0"/>
          <w:numId w:val="0"/>
        </w:numPr>
        <w:ind w:left="600"/>
      </w:pPr>
      <w:bookmarkStart w:id="55" w:name="_Toc461612516"/>
      <w:bookmarkStart w:id="56" w:name="_Toc470183697"/>
      <w:r>
        <w:rPr>
          <w:rFonts w:hint="eastAsia"/>
        </w:rPr>
        <w:t>附件</w:t>
      </w:r>
      <w:r>
        <w:t>3</w:t>
      </w:r>
      <w:r>
        <w:rPr>
          <w:rFonts w:hint="eastAsia"/>
        </w:rPr>
        <w:t>：重点工作台账建设要求</w:t>
      </w:r>
      <w:bookmarkEnd w:id="55"/>
      <w:bookmarkEnd w:id="56"/>
    </w:p>
    <w:p>
      <w:pPr>
        <w:pStyle w:val="4"/>
        <w:numPr>
          <w:ilvl w:val="2"/>
          <w:numId w:val="2"/>
        </w:numPr>
        <w:ind w:firstLine="602"/>
        <w:rPr>
          <w:rFonts w:ascii="Times New Roman"/>
        </w:rPr>
      </w:pPr>
      <w:bookmarkStart w:id="57" w:name="_Toc399538836"/>
      <w:r>
        <w:rPr>
          <w:rFonts w:hint="eastAsia" w:ascii="Times New Roman"/>
        </w:rPr>
        <w:t>总体要求</w:t>
      </w:r>
      <w:bookmarkEnd w:id="57"/>
    </w:p>
    <w:p>
      <w:pPr>
        <w:spacing w:line="360" w:lineRule="auto"/>
        <w:ind w:firstLine="588" w:firstLineChars="196"/>
        <w:rPr>
          <w:rFonts w:ascii="Times New Roman" w:hAnsi="Times New Roman" w:eastAsia="仿宋_GB2312" w:cs="Times New Roman"/>
          <w:color w:val="FF0000"/>
          <w:kern w:val="0"/>
          <w:sz w:val="30"/>
          <w:szCs w:val="30"/>
        </w:rPr>
      </w:pPr>
      <w:r>
        <w:rPr>
          <w:rFonts w:hint="eastAsia" w:ascii="Times New Roman" w:hAnsi="Times New Roman" w:eastAsia="仿宋_GB2312" w:cs="Times New Roman"/>
          <w:color w:val="181818"/>
          <w:kern w:val="0"/>
          <w:sz w:val="30"/>
          <w:szCs w:val="30"/>
        </w:rPr>
        <w:t>根据《考核规定》，对《水十条》重点工作制定台账要求，台账信息必须真实、准确，同时逐步实现纸质档案向电子档案的过渡。</w:t>
      </w:r>
      <w:r>
        <w:rPr>
          <w:rFonts w:hint="eastAsia" w:ascii="Times New Roman" w:hAnsi="Times New Roman" w:eastAsia="仿宋_GB2312" w:cs="Times New Roman"/>
          <w:kern w:val="0"/>
          <w:sz w:val="30"/>
          <w:szCs w:val="30"/>
        </w:rPr>
        <w:t>其中，电子档案应包括《考核规定》自查报告编制大纲中要求的全部清单、所要求的各个统计表中涉及的具体项目清单、各类证明文件的电子版。</w:t>
      </w:r>
    </w:p>
    <w:p>
      <w:pPr>
        <w:pStyle w:val="4"/>
        <w:numPr>
          <w:ilvl w:val="2"/>
          <w:numId w:val="2"/>
        </w:numPr>
        <w:ind w:firstLine="602"/>
        <w:rPr>
          <w:rFonts w:ascii="Times New Roman"/>
        </w:rPr>
      </w:pPr>
      <w:bookmarkStart w:id="58" w:name="_Toc399538844"/>
      <w:bookmarkStart w:id="59" w:name="_Toc399538837"/>
      <w:r>
        <w:rPr>
          <w:rFonts w:ascii="Times New Roman"/>
        </w:rPr>
        <w:t>“</w:t>
      </w:r>
      <w:r>
        <w:rPr>
          <w:rFonts w:hint="eastAsia" w:ascii="Times New Roman"/>
        </w:rPr>
        <w:t>十小</w:t>
      </w:r>
      <w:r>
        <w:rPr>
          <w:rFonts w:ascii="Times New Roman"/>
        </w:rPr>
        <w:t>”</w:t>
      </w:r>
      <w:r>
        <w:rPr>
          <w:rFonts w:hint="eastAsia" w:ascii="Times New Roman"/>
        </w:rPr>
        <w:t>取缔项目</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w:t>
      </w:r>
      <w:r>
        <w:rPr>
          <w:rFonts w:hint="eastAsia" w:ascii="Times New Roman" w:hAnsi="Times New Roman" w:eastAsia="仿宋_GB2312" w:cs="Times New Roman"/>
          <w:color w:val="181818"/>
          <w:kern w:val="0"/>
          <w:sz w:val="30"/>
          <w:szCs w:val="30"/>
        </w:rPr>
        <w:t>）卷内目录；</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2</w:t>
      </w:r>
      <w:r>
        <w:rPr>
          <w:rFonts w:hint="eastAsia" w:ascii="Times New Roman" w:hAnsi="Times New Roman" w:eastAsia="仿宋_GB2312" w:cs="Times New Roman"/>
          <w:color w:val="181818"/>
          <w:kern w:val="0"/>
          <w:sz w:val="30"/>
          <w:szCs w:val="30"/>
        </w:rPr>
        <w:t>）取缔项目简介（包括名称、行业、产品产能、关闭原因、关闭开始时间、拆除完成时间等）；</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3</w:t>
      </w:r>
      <w:r>
        <w:rPr>
          <w:rFonts w:hint="eastAsia" w:ascii="Times New Roman" w:hAnsi="Times New Roman" w:eastAsia="仿宋_GB2312" w:cs="Times New Roman"/>
          <w:color w:val="181818"/>
          <w:kern w:val="0"/>
          <w:sz w:val="30"/>
          <w:szCs w:val="30"/>
        </w:rPr>
        <w:t>）当地政府取缔关停的文件；</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4</w:t>
      </w:r>
      <w:r>
        <w:rPr>
          <w:rFonts w:hint="eastAsia" w:ascii="Times New Roman" w:hAnsi="Times New Roman" w:eastAsia="仿宋_GB2312" w:cs="Times New Roman"/>
          <w:color w:val="181818"/>
          <w:kern w:val="0"/>
          <w:sz w:val="30"/>
          <w:szCs w:val="30"/>
        </w:rPr>
        <w:t>）工商部门出具的营业执照吊销证明；</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5</w:t>
      </w:r>
      <w:r>
        <w:rPr>
          <w:rFonts w:hint="eastAsia" w:ascii="Times New Roman" w:hAnsi="Times New Roman" w:eastAsia="仿宋_GB2312" w:cs="Times New Roman"/>
          <w:color w:val="181818"/>
          <w:kern w:val="0"/>
          <w:sz w:val="30"/>
          <w:szCs w:val="30"/>
        </w:rPr>
        <w:t>）供电、水部门下发的停电、停水通知或出具的证明；</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6</w:t>
      </w:r>
      <w:r>
        <w:rPr>
          <w:rFonts w:hint="eastAsia" w:ascii="Times New Roman" w:hAnsi="Times New Roman" w:eastAsia="仿宋_GB2312" w:cs="Times New Roman"/>
          <w:color w:val="181818"/>
          <w:kern w:val="0"/>
          <w:sz w:val="30"/>
          <w:szCs w:val="30"/>
        </w:rPr>
        <w:t>）企业关闭、拆除前后及过程中的可对比照片；</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7</w:t>
      </w:r>
      <w:r>
        <w:rPr>
          <w:rFonts w:hint="eastAsia" w:ascii="Times New Roman" w:hAnsi="Times New Roman" w:eastAsia="仿宋_GB2312" w:cs="Times New Roman"/>
          <w:color w:val="181818"/>
          <w:kern w:val="0"/>
          <w:sz w:val="30"/>
          <w:szCs w:val="30"/>
        </w:rPr>
        <w:t>）企业关闭、拆除前后及过程中环境监察现场记录；</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8</w:t>
      </w:r>
      <w:r>
        <w:rPr>
          <w:rFonts w:hint="eastAsia" w:ascii="Times New Roman" w:hAnsi="Times New Roman" w:eastAsia="仿宋_GB2312" w:cs="Times New Roman"/>
          <w:color w:val="181818"/>
          <w:kern w:val="0"/>
          <w:sz w:val="30"/>
          <w:szCs w:val="30"/>
        </w:rPr>
        <w:t>）永久性关停的现场。</w:t>
      </w:r>
    </w:p>
    <w:bookmarkEnd w:id="58"/>
    <w:p>
      <w:pPr>
        <w:pStyle w:val="4"/>
        <w:numPr>
          <w:ilvl w:val="2"/>
          <w:numId w:val="2"/>
        </w:numPr>
        <w:ind w:firstLine="602"/>
        <w:rPr>
          <w:rFonts w:ascii="Times New Roman"/>
        </w:rPr>
      </w:pPr>
      <w:r>
        <w:rPr>
          <w:rFonts w:hint="eastAsia" w:ascii="Times New Roman"/>
        </w:rPr>
        <w:t>工业集聚区污水集中处理设施和在线监测建设项目</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w:t>
      </w:r>
      <w:r>
        <w:rPr>
          <w:rFonts w:hint="eastAsia" w:ascii="Times New Roman" w:hAnsi="Times New Roman" w:eastAsia="仿宋_GB2312" w:cs="Times New Roman"/>
          <w:color w:val="181818"/>
          <w:kern w:val="0"/>
          <w:sz w:val="30"/>
          <w:szCs w:val="30"/>
        </w:rPr>
        <w:t>）卷内目录；</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2</w:t>
      </w:r>
      <w:r>
        <w:rPr>
          <w:rFonts w:hint="eastAsia" w:ascii="Times New Roman" w:hAnsi="Times New Roman" w:eastAsia="仿宋_GB2312" w:cs="Times New Roman"/>
          <w:color w:val="181818"/>
          <w:kern w:val="0"/>
          <w:sz w:val="30"/>
          <w:szCs w:val="30"/>
        </w:rPr>
        <w:t>）项目基本情况介绍（集聚区名称、规模、主导行业、预处理、集中处理设施工艺、完成时间等）；</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3</w:t>
      </w:r>
      <w:r>
        <w:rPr>
          <w:rFonts w:hint="eastAsia" w:ascii="Times New Roman" w:hAnsi="Times New Roman" w:eastAsia="仿宋_GB2312" w:cs="Times New Roman"/>
          <w:color w:val="181818"/>
          <w:kern w:val="0"/>
          <w:sz w:val="30"/>
          <w:szCs w:val="30"/>
        </w:rPr>
        <w:t>）环保部门环评及批复；</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4</w:t>
      </w:r>
      <w:r>
        <w:rPr>
          <w:rFonts w:hint="eastAsia" w:ascii="Times New Roman" w:hAnsi="Times New Roman" w:eastAsia="仿宋_GB2312" w:cs="Times New Roman"/>
          <w:color w:val="181818"/>
          <w:kern w:val="0"/>
          <w:sz w:val="30"/>
          <w:szCs w:val="30"/>
        </w:rPr>
        <w:t>）环境保护竣工验收报告及批复；</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7</w:t>
      </w:r>
      <w:r>
        <w:rPr>
          <w:rFonts w:hint="eastAsia" w:ascii="Times New Roman" w:hAnsi="Times New Roman" w:eastAsia="仿宋_GB2312" w:cs="Times New Roman"/>
          <w:color w:val="181818"/>
          <w:kern w:val="0"/>
          <w:sz w:val="30"/>
          <w:szCs w:val="30"/>
        </w:rPr>
        <w:t>）验收后现场监察记录；</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8</w:t>
      </w:r>
      <w:r>
        <w:rPr>
          <w:rFonts w:hint="eastAsia" w:ascii="Times New Roman" w:hAnsi="Times New Roman" w:eastAsia="仿宋_GB2312" w:cs="Times New Roman"/>
          <w:color w:val="181818"/>
          <w:kern w:val="0"/>
          <w:sz w:val="30"/>
          <w:szCs w:val="30"/>
        </w:rPr>
        <w:t>）验收后监督性监测报告；</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10</w:t>
      </w:r>
      <w:r>
        <w:rPr>
          <w:rFonts w:hint="eastAsia" w:ascii="Times New Roman" w:hAnsi="Times New Roman" w:eastAsia="仿宋_GB2312" w:cs="Times New Roman"/>
          <w:color w:val="181818"/>
          <w:kern w:val="0"/>
          <w:sz w:val="30"/>
          <w:szCs w:val="30"/>
        </w:rPr>
        <w:t>）可研及批复；</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11</w:t>
      </w:r>
      <w:r>
        <w:rPr>
          <w:rFonts w:hint="eastAsia" w:ascii="Times New Roman" w:hAnsi="Times New Roman" w:eastAsia="仿宋_GB2312" w:cs="Times New Roman"/>
          <w:color w:val="181818"/>
          <w:kern w:val="0"/>
          <w:sz w:val="30"/>
          <w:szCs w:val="30"/>
        </w:rPr>
        <w:t>）在线监测有效性审核相关文件。</w:t>
      </w:r>
    </w:p>
    <w:p>
      <w:pPr>
        <w:pStyle w:val="4"/>
        <w:ind w:firstLine="602"/>
        <w:rPr>
          <w:rFonts w:ascii="Times New Roman"/>
        </w:rPr>
      </w:pPr>
      <w:r>
        <w:rPr>
          <w:rFonts w:hint="eastAsia" w:ascii="Times New Roman"/>
        </w:rPr>
        <w:t>城镇生活治理污染治理</w:t>
      </w:r>
      <w:r>
        <w:rPr>
          <w:rFonts w:hint="eastAsia" w:ascii="Times New Roman"/>
          <w:bCs/>
          <w:color w:val="181818"/>
        </w:rPr>
        <w:t>项目</w:t>
      </w:r>
      <w:bookmarkEnd w:id="59"/>
    </w:p>
    <w:p>
      <w:pPr>
        <w:widowControl/>
        <w:spacing w:line="375" w:lineRule="atLeast"/>
        <w:ind w:firstLine="602" w:firstLineChars="200"/>
        <w:jc w:val="left"/>
        <w:rPr>
          <w:rFonts w:ascii="Times New Roman" w:hAnsi="Times New Roman" w:eastAsia="仿宋_GB2312" w:cs="Times New Roman"/>
          <w:b/>
          <w:color w:val="181818"/>
          <w:kern w:val="0"/>
          <w:sz w:val="30"/>
          <w:szCs w:val="30"/>
        </w:rPr>
      </w:pPr>
      <w:r>
        <w:rPr>
          <w:rFonts w:hint="eastAsia" w:ascii="Times New Roman" w:hAnsi="Times New Roman" w:eastAsia="仿宋_GB2312" w:cs="Times New Roman"/>
          <w:b/>
          <w:color w:val="181818"/>
          <w:kern w:val="0"/>
          <w:sz w:val="30"/>
          <w:szCs w:val="30"/>
        </w:rPr>
        <w:t>新建污水处理厂项目的台账资料包括：</w:t>
      </w:r>
    </w:p>
    <w:p>
      <w:pPr>
        <w:widowControl/>
        <w:spacing w:line="375" w:lineRule="atLeast"/>
        <w:ind w:firstLine="663" w:firstLineChars="221"/>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w:t>
      </w:r>
      <w:r>
        <w:rPr>
          <w:rFonts w:hint="eastAsia" w:ascii="Times New Roman" w:hAnsi="Times New Roman" w:eastAsia="仿宋_GB2312" w:cs="Times New Roman"/>
          <w:color w:val="181818"/>
          <w:kern w:val="0"/>
          <w:sz w:val="30"/>
          <w:szCs w:val="30"/>
        </w:rPr>
        <w:t>）卷内目录；</w:t>
      </w:r>
    </w:p>
    <w:p>
      <w:pPr>
        <w:widowControl/>
        <w:spacing w:line="375" w:lineRule="atLeast"/>
        <w:ind w:firstLine="663" w:firstLineChars="221"/>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2</w:t>
      </w:r>
      <w:r>
        <w:rPr>
          <w:rFonts w:hint="eastAsia" w:ascii="Times New Roman" w:hAnsi="Times New Roman" w:eastAsia="仿宋_GB2312" w:cs="Times New Roman"/>
          <w:color w:val="181818"/>
          <w:kern w:val="0"/>
          <w:sz w:val="30"/>
          <w:szCs w:val="30"/>
        </w:rPr>
        <w:t>）项目基本情况介绍（名称、规模、工艺、项目简况、完成时间等）；</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bookmarkStart w:id="60" w:name="_Toc309738057"/>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3</w:t>
      </w:r>
      <w:r>
        <w:rPr>
          <w:rFonts w:hint="eastAsia" w:ascii="Times New Roman" w:hAnsi="Times New Roman" w:eastAsia="仿宋_GB2312" w:cs="Times New Roman"/>
          <w:color w:val="181818"/>
          <w:kern w:val="0"/>
          <w:sz w:val="30"/>
          <w:szCs w:val="30"/>
        </w:rPr>
        <w:t>）环保部门的环评批复文件；</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4</w:t>
      </w:r>
      <w:r>
        <w:rPr>
          <w:rFonts w:hint="eastAsia" w:ascii="Times New Roman" w:hAnsi="Times New Roman" w:eastAsia="仿宋_GB2312" w:cs="Times New Roman"/>
          <w:color w:val="181818"/>
          <w:kern w:val="0"/>
          <w:sz w:val="30"/>
          <w:szCs w:val="30"/>
        </w:rPr>
        <w:t>）发改部门的可研批复文件；</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5</w:t>
      </w:r>
      <w:r>
        <w:rPr>
          <w:rFonts w:hint="eastAsia" w:ascii="Times New Roman" w:hAnsi="Times New Roman" w:eastAsia="仿宋_GB2312" w:cs="Times New Roman"/>
          <w:color w:val="181818"/>
          <w:kern w:val="0"/>
          <w:sz w:val="30"/>
          <w:szCs w:val="30"/>
        </w:rPr>
        <w:t>）环境保护竣工验收报告及批复、住建部门和有关部门出具的认可文件、环保</w:t>
      </w:r>
      <w:r>
        <w:rPr>
          <w:rFonts w:ascii="Times New Roman" w:hAnsi="Times New Roman" w:eastAsia="仿宋_GB2312" w:cs="Times New Roman"/>
          <w:color w:val="181818"/>
          <w:kern w:val="0"/>
          <w:sz w:val="30"/>
          <w:szCs w:val="30"/>
        </w:rPr>
        <w:t>“</w:t>
      </w:r>
      <w:r>
        <w:rPr>
          <w:rFonts w:hint="eastAsia" w:ascii="Times New Roman" w:hAnsi="Times New Roman" w:eastAsia="仿宋_GB2312" w:cs="Times New Roman"/>
          <w:color w:val="181818"/>
          <w:kern w:val="0"/>
          <w:sz w:val="30"/>
          <w:szCs w:val="30"/>
        </w:rPr>
        <w:t>三同时</w:t>
      </w:r>
      <w:r>
        <w:rPr>
          <w:rFonts w:ascii="Times New Roman" w:hAnsi="Times New Roman" w:eastAsia="仿宋_GB2312" w:cs="Times New Roman"/>
          <w:color w:val="181818"/>
          <w:kern w:val="0"/>
          <w:sz w:val="30"/>
          <w:szCs w:val="30"/>
        </w:rPr>
        <w:t>”</w:t>
      </w:r>
      <w:r>
        <w:rPr>
          <w:rFonts w:hint="eastAsia" w:ascii="Times New Roman" w:hAnsi="Times New Roman" w:eastAsia="仿宋_GB2312" w:cs="Times New Roman"/>
          <w:color w:val="181818"/>
          <w:kern w:val="0"/>
          <w:sz w:val="30"/>
          <w:szCs w:val="30"/>
        </w:rPr>
        <w:t>验收文件或者准许使用文件并报建设行政主管部门备案为项目完成的依据。</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住房城乡建设部门的认可文件是指：住房城乡建设部门根据《全国城镇污水处理信息系统》、《全国城镇生活垃圾处理信息系统》中记录的该项目动态进展情况所出具的认可文件。</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6</w:t>
      </w:r>
      <w:r>
        <w:rPr>
          <w:rFonts w:hint="eastAsia" w:ascii="Times New Roman" w:hAnsi="Times New Roman" w:eastAsia="仿宋_GB2312" w:cs="Times New Roman"/>
          <w:color w:val="181818"/>
          <w:kern w:val="0"/>
          <w:sz w:val="30"/>
          <w:szCs w:val="30"/>
        </w:rPr>
        <w:t>）每月现场监察记录；</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7</w:t>
      </w:r>
      <w:r>
        <w:rPr>
          <w:rFonts w:hint="eastAsia" w:ascii="Times New Roman" w:hAnsi="Times New Roman" w:eastAsia="仿宋_GB2312" w:cs="Times New Roman"/>
          <w:color w:val="181818"/>
          <w:kern w:val="0"/>
          <w:sz w:val="30"/>
          <w:szCs w:val="30"/>
        </w:rPr>
        <w:t>）每月监督性监测报告；</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8</w:t>
      </w:r>
      <w:r>
        <w:rPr>
          <w:rFonts w:hint="eastAsia" w:ascii="Times New Roman" w:hAnsi="Times New Roman" w:eastAsia="仿宋_GB2312" w:cs="Times New Roman"/>
          <w:color w:val="181818"/>
          <w:kern w:val="0"/>
          <w:sz w:val="30"/>
          <w:szCs w:val="30"/>
        </w:rPr>
        <w:t>）企业自测监测数据；</w:t>
      </w:r>
    </w:p>
    <w:bookmarkEnd w:id="60"/>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9</w:t>
      </w:r>
      <w:r>
        <w:rPr>
          <w:rFonts w:hint="eastAsia" w:ascii="Times New Roman" w:hAnsi="Times New Roman" w:eastAsia="仿宋_GB2312" w:cs="Times New Roman"/>
          <w:color w:val="181818"/>
          <w:kern w:val="0"/>
          <w:sz w:val="30"/>
          <w:szCs w:val="30"/>
        </w:rPr>
        <w:t>）污泥处理处置合同（复印件）。</w:t>
      </w:r>
    </w:p>
    <w:p>
      <w:pPr>
        <w:widowControl/>
        <w:spacing w:line="375" w:lineRule="atLeast"/>
        <w:ind w:firstLine="602" w:firstLineChars="200"/>
        <w:jc w:val="left"/>
        <w:rPr>
          <w:rFonts w:ascii="Times New Roman" w:hAnsi="Times New Roman" w:eastAsia="仿宋_GB2312" w:cs="Times New Roman"/>
          <w:b/>
          <w:color w:val="181818"/>
          <w:kern w:val="0"/>
          <w:sz w:val="30"/>
          <w:szCs w:val="30"/>
        </w:rPr>
      </w:pPr>
      <w:r>
        <w:rPr>
          <w:rFonts w:hint="eastAsia" w:ascii="Times New Roman" w:hAnsi="Times New Roman" w:eastAsia="仿宋_GB2312" w:cs="Times New Roman"/>
          <w:b/>
          <w:color w:val="181818"/>
          <w:kern w:val="0"/>
          <w:sz w:val="30"/>
          <w:szCs w:val="30"/>
        </w:rPr>
        <w:t>除上述资料外，以下各类项目的台账资料还包括：</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w:t>
      </w:r>
      <w:r>
        <w:rPr>
          <w:rFonts w:hint="eastAsia" w:ascii="Times New Roman" w:hAnsi="Times New Roman" w:eastAsia="仿宋_GB2312" w:cs="Times New Roman"/>
          <w:color w:val="181818"/>
          <w:kern w:val="0"/>
          <w:sz w:val="30"/>
          <w:szCs w:val="30"/>
        </w:rPr>
        <w:t>）完善管网的项目，还需准备：</w:t>
      </w:r>
      <w:r>
        <w:rPr>
          <w:rFonts w:hint="eastAsia" w:ascii="宋体" w:hAnsi="宋体" w:eastAsia="宋体" w:cs="宋体"/>
          <w:color w:val="181818"/>
          <w:kern w:val="0"/>
          <w:sz w:val="30"/>
          <w:szCs w:val="30"/>
        </w:rPr>
        <w:t>①</w:t>
      </w:r>
      <w:r>
        <w:rPr>
          <w:rFonts w:hint="eastAsia" w:ascii="Times New Roman" w:hAnsi="Times New Roman" w:eastAsia="仿宋_GB2312" w:cs="Times New Roman"/>
          <w:color w:val="181818"/>
          <w:kern w:val="0"/>
          <w:sz w:val="30"/>
          <w:szCs w:val="30"/>
        </w:rPr>
        <w:t>管网工程施工合同；</w:t>
      </w:r>
      <w:r>
        <w:rPr>
          <w:rFonts w:hint="eastAsia" w:ascii="宋体" w:hAnsi="宋体" w:eastAsia="宋体" w:cs="宋体"/>
          <w:color w:val="181818"/>
          <w:kern w:val="0"/>
          <w:sz w:val="30"/>
          <w:szCs w:val="30"/>
        </w:rPr>
        <w:t>②</w:t>
      </w:r>
      <w:r>
        <w:rPr>
          <w:rFonts w:hint="eastAsia" w:ascii="Times New Roman" w:hAnsi="Times New Roman" w:eastAsia="仿宋_GB2312" w:cs="Times New Roman"/>
          <w:color w:val="181818"/>
          <w:kern w:val="0"/>
          <w:sz w:val="30"/>
          <w:szCs w:val="30"/>
        </w:rPr>
        <w:t>管网竣工验收备案证书。</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2</w:t>
      </w:r>
      <w:r>
        <w:rPr>
          <w:rFonts w:hint="eastAsia" w:ascii="Times New Roman" w:hAnsi="Times New Roman" w:eastAsia="仿宋_GB2312" w:cs="Times New Roman"/>
          <w:color w:val="181818"/>
          <w:kern w:val="0"/>
          <w:sz w:val="30"/>
          <w:szCs w:val="30"/>
        </w:rPr>
        <w:t>）提标改造的项目，还需准备：</w:t>
      </w:r>
      <w:r>
        <w:rPr>
          <w:rFonts w:hint="eastAsia" w:ascii="宋体" w:hAnsi="宋体" w:eastAsia="宋体" w:cs="宋体"/>
          <w:color w:val="181818"/>
          <w:kern w:val="0"/>
          <w:sz w:val="30"/>
          <w:szCs w:val="30"/>
        </w:rPr>
        <w:t>①</w:t>
      </w:r>
      <w:r>
        <w:rPr>
          <w:rFonts w:hint="eastAsia" w:ascii="Times New Roman" w:hAnsi="Times New Roman" w:eastAsia="仿宋_GB2312" w:cs="Times New Roman"/>
          <w:color w:val="181818"/>
          <w:kern w:val="0"/>
          <w:sz w:val="30"/>
          <w:szCs w:val="30"/>
        </w:rPr>
        <w:t>进出水量记录相关文件；</w:t>
      </w:r>
      <w:r>
        <w:rPr>
          <w:rFonts w:hint="eastAsia" w:ascii="宋体" w:hAnsi="宋体" w:eastAsia="宋体" w:cs="宋体"/>
          <w:color w:val="181818"/>
          <w:kern w:val="0"/>
          <w:sz w:val="30"/>
          <w:szCs w:val="30"/>
        </w:rPr>
        <w:t>②</w:t>
      </w:r>
      <w:r>
        <w:rPr>
          <w:rFonts w:hint="eastAsia" w:ascii="Times New Roman" w:hAnsi="Times New Roman" w:eastAsia="仿宋_GB2312" w:cs="Times New Roman"/>
          <w:color w:val="181818"/>
          <w:kern w:val="0"/>
          <w:sz w:val="30"/>
          <w:szCs w:val="30"/>
        </w:rPr>
        <w:t>污水处理厂提标改造的处理单元照片。</w:t>
      </w:r>
    </w:p>
    <w:p>
      <w:pPr>
        <w:widowControl/>
        <w:spacing w:line="375" w:lineRule="atLeast"/>
        <w:ind w:firstLine="600" w:firstLineChars="20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3</w:t>
      </w:r>
      <w:r>
        <w:rPr>
          <w:rFonts w:hint="eastAsia" w:ascii="Times New Roman" w:hAnsi="Times New Roman" w:eastAsia="仿宋_GB2312" w:cs="Times New Roman"/>
          <w:color w:val="181818"/>
          <w:kern w:val="0"/>
          <w:sz w:val="30"/>
          <w:szCs w:val="30"/>
        </w:rPr>
        <w:t>）再生水利用设施的项目，还需准备：</w:t>
      </w:r>
      <w:r>
        <w:rPr>
          <w:rFonts w:hint="eastAsia" w:ascii="宋体" w:hAnsi="宋体" w:eastAsia="宋体" w:cs="宋体"/>
          <w:color w:val="181818"/>
          <w:kern w:val="0"/>
          <w:sz w:val="30"/>
          <w:szCs w:val="30"/>
        </w:rPr>
        <w:t>①</w:t>
      </w:r>
      <w:r>
        <w:rPr>
          <w:rFonts w:hint="eastAsia" w:ascii="Times New Roman" w:hAnsi="Times New Roman" w:eastAsia="仿宋_GB2312" w:cs="Times New Roman"/>
          <w:color w:val="181818"/>
          <w:kern w:val="0"/>
          <w:sz w:val="30"/>
          <w:szCs w:val="30"/>
        </w:rPr>
        <w:t>回用协议或合同（需要有供水协议和售水清单）；</w:t>
      </w:r>
      <w:r>
        <w:rPr>
          <w:rFonts w:hint="eastAsia" w:ascii="宋体" w:hAnsi="宋体" w:eastAsia="宋体" w:cs="宋体"/>
          <w:color w:val="181818"/>
          <w:kern w:val="0"/>
          <w:sz w:val="30"/>
          <w:szCs w:val="30"/>
        </w:rPr>
        <w:t>②</w:t>
      </w:r>
      <w:r>
        <w:rPr>
          <w:rFonts w:hint="eastAsia" w:ascii="Times New Roman" w:hAnsi="Times New Roman" w:eastAsia="仿宋_GB2312" w:cs="Times New Roman"/>
          <w:color w:val="181818"/>
          <w:kern w:val="0"/>
          <w:sz w:val="30"/>
          <w:szCs w:val="30"/>
        </w:rPr>
        <w:t>进出水量记录相关文件；</w:t>
      </w:r>
      <w:r>
        <w:rPr>
          <w:rFonts w:hint="eastAsia" w:ascii="宋体" w:hAnsi="宋体" w:eastAsia="宋体" w:cs="宋体"/>
          <w:color w:val="181818"/>
          <w:kern w:val="0"/>
          <w:sz w:val="30"/>
          <w:szCs w:val="30"/>
        </w:rPr>
        <w:t>③</w:t>
      </w:r>
      <w:r>
        <w:rPr>
          <w:rFonts w:hint="eastAsia" w:ascii="Times New Roman" w:hAnsi="Times New Roman" w:eastAsia="仿宋_GB2312" w:cs="Times New Roman"/>
          <w:color w:val="181818"/>
          <w:kern w:val="0"/>
          <w:sz w:val="30"/>
          <w:szCs w:val="30"/>
        </w:rPr>
        <w:t>中水管网建设情况（使用管网运输的）；</w:t>
      </w:r>
      <w:bookmarkStart w:id="61" w:name="_Toc399538842"/>
      <w:r>
        <w:rPr>
          <w:rFonts w:hint="eastAsia" w:ascii="宋体" w:hAnsi="宋体" w:eastAsia="宋体" w:cs="宋体"/>
          <w:color w:val="181818"/>
          <w:kern w:val="0"/>
          <w:sz w:val="30"/>
          <w:szCs w:val="30"/>
        </w:rPr>
        <w:t>④</w:t>
      </w:r>
      <w:r>
        <w:rPr>
          <w:rFonts w:hint="eastAsia" w:ascii="Times New Roman" w:hAnsi="Times New Roman" w:eastAsia="仿宋_GB2312" w:cs="Times New Roman"/>
          <w:color w:val="181818"/>
          <w:kern w:val="0"/>
          <w:sz w:val="30"/>
          <w:szCs w:val="30"/>
        </w:rPr>
        <w:t>管网竣工验收备案证书（使用管网运输的）。</w:t>
      </w:r>
    </w:p>
    <w:bookmarkEnd w:id="61"/>
    <w:p>
      <w:pPr>
        <w:pStyle w:val="4"/>
        <w:ind w:firstLine="602"/>
        <w:rPr>
          <w:rFonts w:ascii="Times New Roman"/>
        </w:rPr>
      </w:pPr>
      <w:r>
        <w:rPr>
          <w:rFonts w:hint="eastAsia" w:ascii="Times New Roman"/>
        </w:rPr>
        <w:t>畜禽养殖污染防治项目</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1</w:t>
      </w:r>
      <w:r>
        <w:rPr>
          <w:rFonts w:hint="eastAsia" w:ascii="Times New Roman" w:hAnsi="Times New Roman" w:eastAsia="仿宋_GB2312" w:cs="Times New Roman"/>
          <w:color w:val="181818"/>
          <w:kern w:val="0"/>
          <w:sz w:val="30"/>
          <w:szCs w:val="30"/>
        </w:rPr>
        <w:t>）项目简介。主要包括三部分内容，一是项目基本情况，包括项目地点、养殖量、舍栏面积等情况；二是治污设施建设运行情况和清洁生产、综合利用措施采取情况；三是资金补助情况。</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2</w:t>
      </w:r>
      <w:r>
        <w:rPr>
          <w:rFonts w:hint="eastAsia" w:ascii="Times New Roman" w:hAnsi="Times New Roman" w:eastAsia="仿宋_GB2312" w:cs="Times New Roman"/>
          <w:color w:val="181818"/>
          <w:kern w:val="0"/>
          <w:sz w:val="30"/>
          <w:szCs w:val="30"/>
        </w:rPr>
        <w:t>）养殖量有关材料。养殖场当年养殖量证明材料，需由辖区农业、畜牧部门提供。</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3</w:t>
      </w:r>
      <w:r>
        <w:rPr>
          <w:rFonts w:hint="eastAsia" w:ascii="Times New Roman" w:hAnsi="Times New Roman" w:eastAsia="仿宋_GB2312" w:cs="Times New Roman"/>
          <w:color w:val="181818"/>
          <w:kern w:val="0"/>
          <w:sz w:val="30"/>
          <w:szCs w:val="30"/>
        </w:rPr>
        <w:t>）治污设施建设情况。清洁生产措施和污染治理设施照片，包括雨污分流、干湿分离的情况、粪便储存池、尿液储存池、粪尿输送工具、有机肥生产车间及设备、厌氧反应池、好氧反应池、氧化塘、人工湿地等，污染治理设施照片必须能反映该设施属于该养殖场。</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4</w:t>
      </w:r>
      <w:r>
        <w:rPr>
          <w:rFonts w:hint="eastAsia" w:ascii="Times New Roman" w:hAnsi="Times New Roman" w:eastAsia="仿宋_GB2312" w:cs="Times New Roman"/>
          <w:color w:val="181818"/>
          <w:kern w:val="0"/>
          <w:sz w:val="30"/>
          <w:szCs w:val="30"/>
        </w:rPr>
        <w:t>）其他证明材料（污染治理设施有关材料）。</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①</w:t>
      </w:r>
      <w:r>
        <w:rPr>
          <w:rFonts w:hint="eastAsia" w:ascii="Times New Roman" w:hAnsi="Times New Roman" w:eastAsia="仿宋_GB2312" w:cs="Times New Roman"/>
          <w:color w:val="181818"/>
          <w:kern w:val="0"/>
          <w:sz w:val="30"/>
          <w:szCs w:val="30"/>
        </w:rPr>
        <w:t>新（扩）建养殖场必须提供环境影响评价报告；</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②</w:t>
      </w:r>
      <w:r>
        <w:rPr>
          <w:rFonts w:hint="eastAsia" w:ascii="Times New Roman" w:hAnsi="Times New Roman" w:eastAsia="仿宋_GB2312" w:cs="Times New Roman"/>
          <w:color w:val="181818"/>
          <w:kern w:val="0"/>
          <w:sz w:val="30"/>
          <w:szCs w:val="30"/>
        </w:rPr>
        <w:t>项目竣工验收材料，包括：环保局或发改委、财政局等相关权威单位出具的竣工验收材料；环评</w:t>
      </w:r>
      <w:r>
        <w:rPr>
          <w:rFonts w:ascii="Times New Roman" w:hAnsi="Times New Roman" w:eastAsia="仿宋_GB2312" w:cs="Times New Roman"/>
          <w:color w:val="181818"/>
          <w:kern w:val="0"/>
          <w:sz w:val="30"/>
          <w:szCs w:val="30"/>
        </w:rPr>
        <w:t>“</w:t>
      </w:r>
      <w:r>
        <w:rPr>
          <w:rFonts w:hint="eastAsia" w:ascii="Times New Roman" w:hAnsi="Times New Roman" w:eastAsia="仿宋_GB2312" w:cs="Times New Roman"/>
          <w:color w:val="181818"/>
          <w:kern w:val="0"/>
          <w:sz w:val="30"/>
          <w:szCs w:val="30"/>
        </w:rPr>
        <w:t>三同时</w:t>
      </w:r>
      <w:r>
        <w:rPr>
          <w:rFonts w:ascii="Times New Roman" w:hAnsi="Times New Roman" w:eastAsia="仿宋_GB2312" w:cs="Times New Roman"/>
          <w:color w:val="181818"/>
          <w:kern w:val="0"/>
          <w:sz w:val="30"/>
          <w:szCs w:val="30"/>
        </w:rPr>
        <w:t>”</w:t>
      </w:r>
      <w:r>
        <w:rPr>
          <w:rFonts w:hint="eastAsia" w:ascii="Times New Roman" w:hAnsi="Times New Roman" w:eastAsia="仿宋_GB2312" w:cs="Times New Roman"/>
          <w:color w:val="181818"/>
          <w:kern w:val="0"/>
          <w:sz w:val="30"/>
          <w:szCs w:val="30"/>
        </w:rPr>
        <w:t>验收报告；其他支持竣工验收的材料（如审计材料、竣工照片等）；</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③</w:t>
      </w:r>
      <w:r>
        <w:rPr>
          <w:rFonts w:hint="eastAsia" w:ascii="Times New Roman" w:hAnsi="Times New Roman" w:eastAsia="仿宋_GB2312" w:cs="Times New Roman"/>
          <w:color w:val="181818"/>
          <w:kern w:val="0"/>
          <w:sz w:val="30"/>
          <w:szCs w:val="30"/>
        </w:rPr>
        <w:t>有污染物排放的必须提供监测报告，其中采用农业利用模式的可不提供监测报告；</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④</w:t>
      </w:r>
      <w:r>
        <w:rPr>
          <w:rFonts w:hint="eastAsia" w:ascii="Times New Roman" w:hAnsi="Times New Roman" w:eastAsia="仿宋_GB2312" w:cs="Times New Roman"/>
          <w:color w:val="181818"/>
          <w:kern w:val="0"/>
          <w:sz w:val="30"/>
          <w:szCs w:val="30"/>
        </w:rPr>
        <w:t>新建治污设施经费来源材料。属于政府支持项目必须提供政府补贴相关文件、资金下拨文件。</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⑤</w:t>
      </w:r>
      <w:r>
        <w:rPr>
          <w:rFonts w:hint="eastAsia" w:ascii="Times New Roman" w:hAnsi="Times New Roman" w:eastAsia="仿宋_GB2312" w:cs="Times New Roman"/>
          <w:color w:val="181818"/>
          <w:kern w:val="0"/>
          <w:sz w:val="30"/>
          <w:szCs w:val="30"/>
        </w:rPr>
        <w:t>环保部门现场监察材料。提供新建（改扩建）治污设施及畜禽养殖场环境保护部门现场监察相关资料，尤其是能够证明设施建设前后相关差别的材料。</w:t>
      </w:r>
      <w:bookmarkStart w:id="62" w:name="_Toc399538849"/>
      <w:r>
        <w:rPr>
          <w:rFonts w:hint="eastAsia" w:ascii="Times New Roman" w:hAnsi="Times New Roman" w:eastAsia="仿宋_GB2312" w:cs="Times New Roman"/>
          <w:color w:val="181818"/>
          <w:kern w:val="0"/>
          <w:sz w:val="30"/>
          <w:szCs w:val="30"/>
        </w:rPr>
        <w:t>材料应能够佐证新建治污设施建设、竣工及运行情况。</w:t>
      </w:r>
    </w:p>
    <w:bookmarkEnd w:id="62"/>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Times New Roman" w:hAnsi="Times New Roman" w:eastAsia="仿宋_GB2312" w:cs="Times New Roman"/>
          <w:color w:val="181818"/>
          <w:kern w:val="0"/>
          <w:sz w:val="30"/>
          <w:szCs w:val="30"/>
        </w:rPr>
        <w:t>（</w:t>
      </w:r>
      <w:r>
        <w:rPr>
          <w:rFonts w:ascii="Times New Roman" w:hAnsi="Times New Roman" w:eastAsia="仿宋_GB2312" w:cs="Times New Roman"/>
          <w:color w:val="181818"/>
          <w:kern w:val="0"/>
          <w:sz w:val="30"/>
          <w:szCs w:val="30"/>
        </w:rPr>
        <w:t>5</w:t>
      </w:r>
      <w:r>
        <w:rPr>
          <w:rFonts w:hint="eastAsia" w:ascii="Times New Roman" w:hAnsi="Times New Roman" w:eastAsia="仿宋_GB2312" w:cs="Times New Roman"/>
          <w:color w:val="181818"/>
          <w:kern w:val="0"/>
          <w:sz w:val="30"/>
          <w:szCs w:val="30"/>
        </w:rPr>
        <w:t>）取缔关闭养殖场和养殖专业户项目。</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①</w:t>
      </w:r>
      <w:r>
        <w:rPr>
          <w:rFonts w:hint="eastAsia" w:ascii="Times New Roman" w:hAnsi="Times New Roman" w:eastAsia="仿宋_GB2312" w:cs="Times New Roman"/>
          <w:color w:val="181818"/>
          <w:kern w:val="0"/>
          <w:sz w:val="30"/>
          <w:szCs w:val="30"/>
        </w:rPr>
        <w:t>畜禽养殖污染防治规划，体现地方政府统一规划禁养区等信息；</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②</w:t>
      </w:r>
      <w:r>
        <w:rPr>
          <w:rFonts w:hint="eastAsia" w:ascii="Times New Roman" w:hAnsi="Times New Roman" w:eastAsia="仿宋_GB2312" w:cs="Times New Roman"/>
          <w:color w:val="181818"/>
          <w:kern w:val="0"/>
          <w:sz w:val="30"/>
          <w:szCs w:val="30"/>
        </w:rPr>
        <w:t>取缔关闭文件，禁养区关闭养殖场（专业户）清单，需由辖区政府提供；</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③</w:t>
      </w:r>
      <w:r>
        <w:rPr>
          <w:rFonts w:hint="eastAsia" w:ascii="Times New Roman" w:hAnsi="Times New Roman" w:eastAsia="仿宋_GB2312" w:cs="Times New Roman"/>
          <w:color w:val="181818"/>
          <w:kern w:val="0"/>
          <w:sz w:val="30"/>
          <w:szCs w:val="30"/>
        </w:rPr>
        <w:t>补助资金证明（明确：资金总额、每头</w:t>
      </w:r>
      <w:r>
        <w:rPr>
          <w:rFonts w:ascii="Times New Roman" w:hAnsi="Times New Roman" w:eastAsia="仿宋_GB2312" w:cs="Times New Roman"/>
          <w:color w:val="181818"/>
          <w:kern w:val="0"/>
          <w:sz w:val="30"/>
          <w:szCs w:val="30"/>
        </w:rPr>
        <w:t>/</w:t>
      </w:r>
      <w:r>
        <w:rPr>
          <w:rFonts w:hint="eastAsia" w:ascii="Times New Roman" w:hAnsi="Times New Roman" w:eastAsia="仿宋_GB2312" w:cs="Times New Roman"/>
          <w:color w:val="181818"/>
          <w:kern w:val="0"/>
          <w:sz w:val="30"/>
          <w:szCs w:val="30"/>
        </w:rPr>
        <w:t>羽补助标准、领取补助的名单及签字等信息），需由辖区政府提供；</w:t>
      </w:r>
    </w:p>
    <w:p>
      <w:pPr>
        <w:widowControl/>
        <w:spacing w:line="375" w:lineRule="atLeast"/>
        <w:ind w:firstLine="480"/>
        <w:jc w:val="left"/>
        <w:rPr>
          <w:rFonts w:ascii="Times New Roman" w:hAnsi="Times New Roman" w:eastAsia="仿宋_GB2312" w:cs="Times New Roman"/>
          <w:color w:val="181818"/>
          <w:kern w:val="0"/>
          <w:sz w:val="30"/>
          <w:szCs w:val="30"/>
        </w:rPr>
      </w:pPr>
      <w:r>
        <w:rPr>
          <w:rFonts w:hint="eastAsia" w:ascii="宋体" w:hAnsi="宋体" w:eastAsia="宋体" w:cs="宋体"/>
          <w:color w:val="181818"/>
          <w:kern w:val="0"/>
          <w:sz w:val="30"/>
          <w:szCs w:val="30"/>
        </w:rPr>
        <w:t>④</w:t>
      </w:r>
      <w:r>
        <w:rPr>
          <w:rFonts w:hint="eastAsia" w:ascii="Times New Roman" w:hAnsi="Times New Roman" w:eastAsia="仿宋_GB2312" w:cs="Times New Roman"/>
          <w:color w:val="181818"/>
          <w:kern w:val="0"/>
          <w:sz w:val="30"/>
          <w:szCs w:val="30"/>
        </w:rPr>
        <w:t>拆除前后照片。</w:t>
      </w:r>
    </w:p>
    <w:p>
      <w:pPr>
        <w:pStyle w:val="4"/>
        <w:ind w:firstLine="602"/>
        <w:rPr>
          <w:rFonts w:ascii="Times New Roman"/>
        </w:rPr>
      </w:pPr>
      <w:r>
        <w:rPr>
          <w:rFonts w:hint="eastAsia" w:ascii="Times New Roman"/>
        </w:rPr>
        <w:t>农村环境综合整治项目</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）国家下达的农村环境综合整治项目的年度要求；</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2</w:t>
      </w:r>
      <w:r>
        <w:rPr>
          <w:rFonts w:hint="eastAsia" w:ascii="Times New Roman" w:hAnsi="Times New Roman" w:eastAsia="仿宋_GB2312" w:cs="Times New Roman"/>
          <w:bCs/>
          <w:color w:val="181818"/>
          <w:kern w:val="0"/>
          <w:sz w:val="30"/>
          <w:szCs w:val="30"/>
        </w:rPr>
        <w:t>）各省（区、市）建制村四项指标完成情况统计表。</w:t>
      </w:r>
    </w:p>
    <w:p>
      <w:pPr>
        <w:pStyle w:val="4"/>
        <w:ind w:firstLine="602"/>
        <w:rPr>
          <w:rFonts w:ascii="Times New Roman"/>
        </w:rPr>
      </w:pPr>
      <w:r>
        <w:rPr>
          <w:rFonts w:hint="eastAsia" w:ascii="Times New Roman"/>
        </w:rPr>
        <w:t>饮用水源环境保护规范化建设项目</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）本省级行政区乡镇及以上饮用水源环境保护规范化建设情况介绍。</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2</w:t>
      </w:r>
      <w:r>
        <w:rPr>
          <w:rFonts w:hint="eastAsia" w:ascii="Times New Roman" w:hAnsi="Times New Roman" w:eastAsia="仿宋_GB2312" w:cs="Times New Roman"/>
          <w:bCs/>
          <w:color w:val="181818"/>
          <w:kern w:val="0"/>
          <w:sz w:val="30"/>
          <w:szCs w:val="30"/>
        </w:rPr>
        <w:t>）饮用水源规范化建设项目清单。</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3</w:t>
      </w:r>
      <w:r>
        <w:rPr>
          <w:rFonts w:hint="eastAsia" w:ascii="Times New Roman" w:hAnsi="Times New Roman" w:eastAsia="仿宋_GB2312" w:cs="Times New Roman"/>
          <w:bCs/>
          <w:color w:val="181818"/>
          <w:kern w:val="0"/>
          <w:sz w:val="30"/>
          <w:szCs w:val="30"/>
        </w:rPr>
        <w:t>）项目完成情况及相关验收、批复或评估文件。</w:t>
      </w:r>
    </w:p>
    <w:p>
      <w:pPr>
        <w:pStyle w:val="4"/>
        <w:ind w:firstLine="602"/>
        <w:rPr>
          <w:rFonts w:ascii="Times New Roman"/>
        </w:rPr>
      </w:pPr>
      <w:r>
        <w:rPr>
          <w:rFonts w:hint="eastAsia" w:ascii="Times New Roman"/>
        </w:rPr>
        <w:t>地下水调查、加油站地下油罐更新改造项目</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）集中式地下水型饮用水水源补给区环境状况调查验收报告、以及验收评审意见。</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2</w:t>
      </w:r>
      <w:r>
        <w:rPr>
          <w:rFonts w:hint="eastAsia" w:ascii="Times New Roman" w:hAnsi="Times New Roman" w:eastAsia="仿宋_GB2312" w:cs="Times New Roman"/>
          <w:bCs/>
          <w:color w:val="181818"/>
          <w:kern w:val="0"/>
          <w:sz w:val="30"/>
          <w:szCs w:val="30"/>
        </w:rPr>
        <w:t>）统计加油站地下油罐的更新改造情况，以及地方政府部门出具的验收报告（表）等。</w:t>
      </w:r>
    </w:p>
    <w:p>
      <w:pPr>
        <w:pStyle w:val="4"/>
        <w:ind w:firstLine="602"/>
        <w:rPr>
          <w:rFonts w:ascii="Times New Roman"/>
        </w:rPr>
      </w:pPr>
      <w:r>
        <w:rPr>
          <w:rFonts w:ascii="Times New Roman"/>
        </w:rPr>
        <w:t>“</w:t>
      </w:r>
      <w:r>
        <w:rPr>
          <w:rFonts w:hint="eastAsia" w:ascii="Times New Roman"/>
        </w:rPr>
        <w:t>十三五</w:t>
      </w:r>
      <w:r>
        <w:rPr>
          <w:rFonts w:ascii="Times New Roman"/>
        </w:rPr>
        <w:t>”</w:t>
      </w:r>
      <w:r>
        <w:rPr>
          <w:rFonts w:hint="eastAsia" w:ascii="Times New Roman"/>
        </w:rPr>
        <w:t>水专项示范任务</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）本省级行政区</w:t>
      </w:r>
      <w:r>
        <w:rPr>
          <w:rFonts w:ascii="Times New Roman" w:hAnsi="Times New Roman" w:eastAsia="仿宋_GB2312" w:cs="Times New Roman"/>
          <w:bCs/>
          <w:color w:val="181818"/>
          <w:kern w:val="0"/>
          <w:sz w:val="30"/>
          <w:szCs w:val="30"/>
        </w:rPr>
        <w:t>“</w:t>
      </w:r>
      <w:r>
        <w:rPr>
          <w:rFonts w:hint="eastAsia" w:ascii="Times New Roman" w:hAnsi="Times New Roman" w:eastAsia="仿宋_GB2312" w:cs="Times New Roman"/>
          <w:bCs/>
          <w:color w:val="181818"/>
          <w:kern w:val="0"/>
          <w:sz w:val="30"/>
          <w:szCs w:val="30"/>
        </w:rPr>
        <w:t>十三五</w:t>
      </w:r>
      <w:r>
        <w:rPr>
          <w:rFonts w:ascii="Times New Roman" w:hAnsi="Times New Roman" w:eastAsia="仿宋_GB2312" w:cs="Times New Roman"/>
          <w:bCs/>
          <w:color w:val="181818"/>
          <w:kern w:val="0"/>
          <w:sz w:val="30"/>
          <w:szCs w:val="30"/>
        </w:rPr>
        <w:t>”</w:t>
      </w:r>
      <w:r>
        <w:rPr>
          <w:rFonts w:hint="eastAsia" w:ascii="Times New Roman" w:hAnsi="Times New Roman" w:eastAsia="仿宋_GB2312" w:cs="Times New Roman"/>
          <w:bCs/>
          <w:color w:val="181818"/>
          <w:kern w:val="0"/>
          <w:sz w:val="30"/>
          <w:szCs w:val="30"/>
        </w:rPr>
        <w:t>水专项示范任务清单；</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2</w:t>
      </w: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w:t>
      </w:r>
      <w:r>
        <w:rPr>
          <w:rFonts w:hint="eastAsia" w:ascii="Times New Roman" w:hAnsi="Times New Roman" w:eastAsia="仿宋_GB2312" w:cs="Times New Roman"/>
          <w:bCs/>
          <w:color w:val="181818"/>
          <w:kern w:val="0"/>
          <w:sz w:val="30"/>
          <w:szCs w:val="30"/>
        </w:rPr>
        <w:t>十三五</w:t>
      </w:r>
      <w:r>
        <w:rPr>
          <w:rFonts w:ascii="Times New Roman" w:hAnsi="Times New Roman" w:eastAsia="仿宋_GB2312" w:cs="Times New Roman"/>
          <w:bCs/>
          <w:color w:val="181818"/>
          <w:kern w:val="0"/>
          <w:sz w:val="30"/>
          <w:szCs w:val="30"/>
        </w:rPr>
        <w:t>”</w:t>
      </w:r>
      <w:r>
        <w:rPr>
          <w:rFonts w:hint="eastAsia" w:ascii="Times New Roman" w:hAnsi="Times New Roman" w:eastAsia="仿宋_GB2312" w:cs="Times New Roman"/>
          <w:bCs/>
          <w:color w:val="181818"/>
          <w:kern w:val="0"/>
          <w:sz w:val="30"/>
          <w:szCs w:val="30"/>
        </w:rPr>
        <w:t>水专项的任务合同书和年度计划；</w:t>
      </w:r>
    </w:p>
    <w:p>
      <w:pPr>
        <w:spacing w:line="360" w:lineRule="auto"/>
        <w:ind w:firstLine="588" w:firstLineChars="196"/>
        <w:rPr>
          <w:rFonts w:ascii="Times New Roman" w:hAnsi="Times New Roman" w:eastAsia="仿宋_GB2312" w:cs="Times New Roman"/>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3</w:t>
      </w:r>
      <w:r>
        <w:rPr>
          <w:rFonts w:hint="eastAsia" w:ascii="Times New Roman" w:hAnsi="Times New Roman" w:eastAsia="仿宋_GB2312" w:cs="Times New Roman"/>
          <w:bCs/>
          <w:color w:val="181818"/>
          <w:kern w:val="0"/>
          <w:sz w:val="30"/>
          <w:szCs w:val="30"/>
        </w:rPr>
        <w:t>）由地方水专项办出具的示范任务进展报告（如已验收，则提供示范任务验收文</w:t>
      </w:r>
      <w:r>
        <w:rPr>
          <w:rFonts w:hint="eastAsia" w:ascii="Times New Roman" w:hAnsi="Times New Roman" w:eastAsia="仿宋_GB2312" w:cs="Times New Roman"/>
          <w:sz w:val="30"/>
          <w:szCs w:val="30"/>
        </w:rPr>
        <w:t>件）。</w:t>
      </w:r>
    </w:p>
    <w:p>
      <w:pPr>
        <w:pStyle w:val="4"/>
        <w:ind w:firstLine="602"/>
        <w:rPr>
          <w:rFonts w:ascii="Times New Roman"/>
        </w:rPr>
      </w:pPr>
      <w:r>
        <w:rPr>
          <w:rFonts w:hint="eastAsia" w:ascii="Times New Roman"/>
        </w:rPr>
        <w:t>环境质量达标方案</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）针对《目标责任书》不达标断面制定的水体达标方案；</w:t>
      </w:r>
    </w:p>
    <w:p>
      <w:pPr>
        <w:spacing w:line="360" w:lineRule="auto"/>
        <w:ind w:firstLine="588" w:firstLineChars="196"/>
        <w:rPr>
          <w:rFonts w:ascii="Times New Roman" w:hAnsi="Times New Roman" w:eastAsia="仿宋_GB2312" w:cs="Times New Roman"/>
          <w:bCs/>
          <w:color w:val="181818"/>
          <w:kern w:val="0"/>
          <w:sz w:val="30"/>
          <w:szCs w:val="3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2</w:t>
      </w:r>
      <w:r>
        <w:rPr>
          <w:rFonts w:hint="eastAsia" w:ascii="Times New Roman" w:hAnsi="Times New Roman" w:eastAsia="仿宋_GB2312" w:cs="Times New Roman"/>
          <w:bCs/>
          <w:color w:val="181818"/>
          <w:kern w:val="0"/>
          <w:sz w:val="30"/>
          <w:szCs w:val="30"/>
        </w:rPr>
        <w:t>）地方政府部门出具的方案批复实施文件。</w:t>
      </w:r>
    </w:p>
    <w:p>
      <w:pPr>
        <w:pStyle w:val="4"/>
        <w:ind w:firstLine="602"/>
        <w:rPr>
          <w:rFonts w:ascii="Times New Roman"/>
        </w:rPr>
      </w:pPr>
      <w:r>
        <w:rPr>
          <w:rFonts w:hint="eastAsia" w:ascii="Times New Roman"/>
        </w:rPr>
        <w:t>入海排污口</w:t>
      </w:r>
    </w:p>
    <w:p>
      <w:pPr>
        <w:spacing w:line="360" w:lineRule="auto"/>
        <w:ind w:firstLine="588" w:firstLineChars="196"/>
        <w:rPr>
          <w:rFonts w:ascii="Times New Roman" w:hAnsi="Times New Roman" w:cs="Times New Roman"/>
          <w:bCs/>
          <w:color w:val="181818"/>
          <w:kern w:val="0"/>
        </w:rPr>
      </w:pPr>
      <w:r>
        <w:rPr>
          <w:rFonts w:hint="eastAsia" w:ascii="Times New Roman" w:hAnsi="Times New Roman" w:eastAsia="仿宋_GB2312" w:cs="Times New Roman"/>
          <w:bCs/>
          <w:color w:val="181818"/>
          <w:kern w:val="0"/>
          <w:sz w:val="30"/>
          <w:szCs w:val="30"/>
        </w:rPr>
        <w:t>（</w:t>
      </w:r>
      <w:r>
        <w:rPr>
          <w:rFonts w:ascii="Times New Roman" w:hAnsi="Times New Roman" w:eastAsia="仿宋_GB2312" w:cs="Times New Roman"/>
          <w:bCs/>
          <w:color w:val="181818"/>
          <w:kern w:val="0"/>
          <w:sz w:val="30"/>
          <w:szCs w:val="30"/>
        </w:rPr>
        <w:t>1</w:t>
      </w:r>
      <w:r>
        <w:rPr>
          <w:rFonts w:hint="eastAsia" w:ascii="Times New Roman" w:hAnsi="Times New Roman" w:eastAsia="仿宋_GB2312" w:cs="Times New Roman"/>
          <w:bCs/>
          <w:color w:val="181818"/>
          <w:kern w:val="0"/>
          <w:sz w:val="30"/>
          <w:szCs w:val="30"/>
        </w:rPr>
        <w:t>）省（区、市）人民政府发布的关于清理非法和不合理入海排污口的政策性文件；</w:t>
      </w:r>
    </w:p>
    <w:p>
      <w:pPr>
        <w:pStyle w:val="30"/>
        <w:rPr>
          <w:b/>
        </w:rPr>
      </w:pPr>
      <w:r>
        <w:rPr>
          <w:rFonts w:hint="eastAsia"/>
          <w:bCs/>
          <w:color w:val="181818"/>
          <w:kern w:val="0"/>
        </w:rPr>
        <w:t>（</w:t>
      </w:r>
      <w:r>
        <w:rPr>
          <w:bCs/>
          <w:color w:val="181818"/>
          <w:kern w:val="0"/>
        </w:rPr>
        <w:t>2</w:t>
      </w:r>
      <w:r>
        <w:rPr>
          <w:rFonts w:hint="eastAsia"/>
          <w:bCs/>
          <w:color w:val="181818"/>
          <w:kern w:val="0"/>
        </w:rPr>
        <w:t>）要清</w:t>
      </w:r>
      <w:r>
        <w:rPr>
          <w:rFonts w:hint="eastAsia"/>
        </w:rPr>
        <w:t>理的入海排污口的全口径清单及完成情况。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92719"/>
    </w:sdtPr>
    <w:sdtContent>
      <w:p>
        <w:pPr>
          <w:pStyle w:val="11"/>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Style w:val="22"/>
        </w:rPr>
        <w:footnoteRef/>
      </w:r>
      <w:r>
        <w:rPr>
          <w:rFonts w:hint="eastAsia"/>
        </w:rPr>
        <w:t>达标填埋是指污泥处理后达到《城镇污水处理厂污泥处置 混合填埋用泥质》（GB/T 23485）要求，并妥善处理的填埋方式。按城市分别核定行政区域采用填埋方式处理的污泥规模，其中达标填埋的污泥量需按照80%含水量污泥计（吨）。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C29"/>
    <w:multiLevelType w:val="multilevel"/>
    <w:tmpl w:val="161C6C29"/>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B7"/>
    <w:rsid w:val="0000567D"/>
    <w:rsid w:val="00005BDC"/>
    <w:rsid w:val="00007048"/>
    <w:rsid w:val="00007966"/>
    <w:rsid w:val="00010068"/>
    <w:rsid w:val="0001060B"/>
    <w:rsid w:val="00012F25"/>
    <w:rsid w:val="000138EC"/>
    <w:rsid w:val="00013A14"/>
    <w:rsid w:val="00015A94"/>
    <w:rsid w:val="00015F72"/>
    <w:rsid w:val="0002351F"/>
    <w:rsid w:val="00023E50"/>
    <w:rsid w:val="000324A9"/>
    <w:rsid w:val="000372B2"/>
    <w:rsid w:val="00037CE5"/>
    <w:rsid w:val="00040219"/>
    <w:rsid w:val="00042353"/>
    <w:rsid w:val="000426C3"/>
    <w:rsid w:val="000437A4"/>
    <w:rsid w:val="00043EDC"/>
    <w:rsid w:val="000469C7"/>
    <w:rsid w:val="00051B67"/>
    <w:rsid w:val="00051D7B"/>
    <w:rsid w:val="00055209"/>
    <w:rsid w:val="00057AD6"/>
    <w:rsid w:val="000608E6"/>
    <w:rsid w:val="00064A2E"/>
    <w:rsid w:val="00066E0B"/>
    <w:rsid w:val="000670F0"/>
    <w:rsid w:val="0007272B"/>
    <w:rsid w:val="00072C8E"/>
    <w:rsid w:val="00077148"/>
    <w:rsid w:val="00080D43"/>
    <w:rsid w:val="000810B2"/>
    <w:rsid w:val="00081629"/>
    <w:rsid w:val="0009078E"/>
    <w:rsid w:val="00096224"/>
    <w:rsid w:val="000A1EAB"/>
    <w:rsid w:val="000A3B81"/>
    <w:rsid w:val="000A6FA5"/>
    <w:rsid w:val="000B2390"/>
    <w:rsid w:val="000B33AF"/>
    <w:rsid w:val="000B678B"/>
    <w:rsid w:val="000C3865"/>
    <w:rsid w:val="000C4AFB"/>
    <w:rsid w:val="000C4F8E"/>
    <w:rsid w:val="000C75E9"/>
    <w:rsid w:val="000D0564"/>
    <w:rsid w:val="000D13D5"/>
    <w:rsid w:val="000D1860"/>
    <w:rsid w:val="000D4DB1"/>
    <w:rsid w:val="000D5292"/>
    <w:rsid w:val="000D5D83"/>
    <w:rsid w:val="000D61F9"/>
    <w:rsid w:val="000E0A4B"/>
    <w:rsid w:val="000E0EB7"/>
    <w:rsid w:val="000E1ED6"/>
    <w:rsid w:val="000E1F40"/>
    <w:rsid w:val="000E3D88"/>
    <w:rsid w:val="000E5416"/>
    <w:rsid w:val="000E5E6E"/>
    <w:rsid w:val="000E6263"/>
    <w:rsid w:val="000E64F0"/>
    <w:rsid w:val="000F03E8"/>
    <w:rsid w:val="000F3F2E"/>
    <w:rsid w:val="000F45CC"/>
    <w:rsid w:val="00101448"/>
    <w:rsid w:val="00107DF9"/>
    <w:rsid w:val="00110F6B"/>
    <w:rsid w:val="001117D8"/>
    <w:rsid w:val="00111C76"/>
    <w:rsid w:val="001170B6"/>
    <w:rsid w:val="00126146"/>
    <w:rsid w:val="00127A78"/>
    <w:rsid w:val="00127C58"/>
    <w:rsid w:val="001301D6"/>
    <w:rsid w:val="00131B42"/>
    <w:rsid w:val="00132A74"/>
    <w:rsid w:val="00132FD7"/>
    <w:rsid w:val="00135DE7"/>
    <w:rsid w:val="00143602"/>
    <w:rsid w:val="00147A6A"/>
    <w:rsid w:val="00147A8C"/>
    <w:rsid w:val="0015063D"/>
    <w:rsid w:val="001538BD"/>
    <w:rsid w:val="00154785"/>
    <w:rsid w:val="00156CB4"/>
    <w:rsid w:val="001623A6"/>
    <w:rsid w:val="00162C0E"/>
    <w:rsid w:val="00164324"/>
    <w:rsid w:val="00166DF1"/>
    <w:rsid w:val="001705B0"/>
    <w:rsid w:val="00171F19"/>
    <w:rsid w:val="001738FC"/>
    <w:rsid w:val="001743A9"/>
    <w:rsid w:val="00176CD4"/>
    <w:rsid w:val="00176E64"/>
    <w:rsid w:val="00177D54"/>
    <w:rsid w:val="00183E4B"/>
    <w:rsid w:val="00185CC8"/>
    <w:rsid w:val="0019159F"/>
    <w:rsid w:val="00193B4B"/>
    <w:rsid w:val="00195F09"/>
    <w:rsid w:val="001A0E9D"/>
    <w:rsid w:val="001A1ABA"/>
    <w:rsid w:val="001A1DE2"/>
    <w:rsid w:val="001A2961"/>
    <w:rsid w:val="001A5FDF"/>
    <w:rsid w:val="001A6D3C"/>
    <w:rsid w:val="001B180D"/>
    <w:rsid w:val="001B2B6B"/>
    <w:rsid w:val="001B4F5F"/>
    <w:rsid w:val="001C1BB6"/>
    <w:rsid w:val="001C1BF4"/>
    <w:rsid w:val="001C4B09"/>
    <w:rsid w:val="001C59B2"/>
    <w:rsid w:val="001C69E4"/>
    <w:rsid w:val="001D00AC"/>
    <w:rsid w:val="001D425D"/>
    <w:rsid w:val="001D4E5D"/>
    <w:rsid w:val="001E313C"/>
    <w:rsid w:val="001E386F"/>
    <w:rsid w:val="001F27BB"/>
    <w:rsid w:val="001F3558"/>
    <w:rsid w:val="00202A6E"/>
    <w:rsid w:val="00207314"/>
    <w:rsid w:val="00210FA0"/>
    <w:rsid w:val="0021120F"/>
    <w:rsid w:val="0021247B"/>
    <w:rsid w:val="00213EA9"/>
    <w:rsid w:val="002252D3"/>
    <w:rsid w:val="00225816"/>
    <w:rsid w:val="00225F91"/>
    <w:rsid w:val="00226386"/>
    <w:rsid w:val="00231F66"/>
    <w:rsid w:val="0023306F"/>
    <w:rsid w:val="00233E42"/>
    <w:rsid w:val="002413D1"/>
    <w:rsid w:val="00241562"/>
    <w:rsid w:val="002417F8"/>
    <w:rsid w:val="00241A19"/>
    <w:rsid w:val="002441BA"/>
    <w:rsid w:val="00246350"/>
    <w:rsid w:val="00250496"/>
    <w:rsid w:val="002519DB"/>
    <w:rsid w:val="00252FFA"/>
    <w:rsid w:val="002542A6"/>
    <w:rsid w:val="00264C40"/>
    <w:rsid w:val="00264ED8"/>
    <w:rsid w:val="002652EA"/>
    <w:rsid w:val="00265DB1"/>
    <w:rsid w:val="002712EF"/>
    <w:rsid w:val="00272978"/>
    <w:rsid w:val="00274D7F"/>
    <w:rsid w:val="0027617C"/>
    <w:rsid w:val="00276DC3"/>
    <w:rsid w:val="00277168"/>
    <w:rsid w:val="00277332"/>
    <w:rsid w:val="002802F3"/>
    <w:rsid w:val="00282A6C"/>
    <w:rsid w:val="00285190"/>
    <w:rsid w:val="00285EF0"/>
    <w:rsid w:val="00292C8F"/>
    <w:rsid w:val="0029556E"/>
    <w:rsid w:val="00295F26"/>
    <w:rsid w:val="002960A1"/>
    <w:rsid w:val="002A09F8"/>
    <w:rsid w:val="002A0AC7"/>
    <w:rsid w:val="002A1134"/>
    <w:rsid w:val="002A16C3"/>
    <w:rsid w:val="002A31BF"/>
    <w:rsid w:val="002A3B78"/>
    <w:rsid w:val="002A4B43"/>
    <w:rsid w:val="002A605B"/>
    <w:rsid w:val="002B2BF2"/>
    <w:rsid w:val="002B5443"/>
    <w:rsid w:val="002C3C84"/>
    <w:rsid w:val="002C5064"/>
    <w:rsid w:val="002C553F"/>
    <w:rsid w:val="002C794E"/>
    <w:rsid w:val="002D0BFD"/>
    <w:rsid w:val="002D626F"/>
    <w:rsid w:val="002D62C2"/>
    <w:rsid w:val="002E2056"/>
    <w:rsid w:val="002E23AA"/>
    <w:rsid w:val="002E2A1A"/>
    <w:rsid w:val="002E2F7A"/>
    <w:rsid w:val="002E570B"/>
    <w:rsid w:val="002E68FE"/>
    <w:rsid w:val="002E7D06"/>
    <w:rsid w:val="002F0FDE"/>
    <w:rsid w:val="002F4C25"/>
    <w:rsid w:val="002F7689"/>
    <w:rsid w:val="003006D8"/>
    <w:rsid w:val="0030073C"/>
    <w:rsid w:val="00300830"/>
    <w:rsid w:val="003038E2"/>
    <w:rsid w:val="00305577"/>
    <w:rsid w:val="003064F9"/>
    <w:rsid w:val="003066A1"/>
    <w:rsid w:val="00306EBA"/>
    <w:rsid w:val="003112EE"/>
    <w:rsid w:val="00312D60"/>
    <w:rsid w:val="00313A79"/>
    <w:rsid w:val="00314B3D"/>
    <w:rsid w:val="00322D4C"/>
    <w:rsid w:val="00324CE6"/>
    <w:rsid w:val="00331723"/>
    <w:rsid w:val="00331BFD"/>
    <w:rsid w:val="0033474B"/>
    <w:rsid w:val="0033555A"/>
    <w:rsid w:val="0033733D"/>
    <w:rsid w:val="00340AF3"/>
    <w:rsid w:val="00342B86"/>
    <w:rsid w:val="00343C65"/>
    <w:rsid w:val="00352386"/>
    <w:rsid w:val="00353FDB"/>
    <w:rsid w:val="0035690F"/>
    <w:rsid w:val="0035779C"/>
    <w:rsid w:val="0036470F"/>
    <w:rsid w:val="0036599D"/>
    <w:rsid w:val="00366EF6"/>
    <w:rsid w:val="003676C7"/>
    <w:rsid w:val="0037011A"/>
    <w:rsid w:val="0037388B"/>
    <w:rsid w:val="003746E9"/>
    <w:rsid w:val="003760DE"/>
    <w:rsid w:val="003774E0"/>
    <w:rsid w:val="00381F37"/>
    <w:rsid w:val="00383A5C"/>
    <w:rsid w:val="0039274C"/>
    <w:rsid w:val="00392AEC"/>
    <w:rsid w:val="003932F7"/>
    <w:rsid w:val="00396359"/>
    <w:rsid w:val="003A3891"/>
    <w:rsid w:val="003A4DF7"/>
    <w:rsid w:val="003A663B"/>
    <w:rsid w:val="003A6AD3"/>
    <w:rsid w:val="003A733E"/>
    <w:rsid w:val="003A73F4"/>
    <w:rsid w:val="003B7489"/>
    <w:rsid w:val="003C0CC3"/>
    <w:rsid w:val="003C167A"/>
    <w:rsid w:val="003C1A52"/>
    <w:rsid w:val="003C7AAA"/>
    <w:rsid w:val="003C7CB7"/>
    <w:rsid w:val="003D0758"/>
    <w:rsid w:val="003D3F3D"/>
    <w:rsid w:val="003D40BC"/>
    <w:rsid w:val="003D59C5"/>
    <w:rsid w:val="003E3039"/>
    <w:rsid w:val="003E31F7"/>
    <w:rsid w:val="003F059A"/>
    <w:rsid w:val="003F2F0A"/>
    <w:rsid w:val="003F3E94"/>
    <w:rsid w:val="003F6747"/>
    <w:rsid w:val="003F6B71"/>
    <w:rsid w:val="003F7E04"/>
    <w:rsid w:val="00406FFF"/>
    <w:rsid w:val="00407EC1"/>
    <w:rsid w:val="00411E13"/>
    <w:rsid w:val="00414948"/>
    <w:rsid w:val="004162BF"/>
    <w:rsid w:val="00416711"/>
    <w:rsid w:val="00420739"/>
    <w:rsid w:val="00423E14"/>
    <w:rsid w:val="004256CD"/>
    <w:rsid w:val="00430DED"/>
    <w:rsid w:val="00433B69"/>
    <w:rsid w:val="0043535F"/>
    <w:rsid w:val="00435FAA"/>
    <w:rsid w:val="00441586"/>
    <w:rsid w:val="004445C6"/>
    <w:rsid w:val="00444E64"/>
    <w:rsid w:val="00446C0C"/>
    <w:rsid w:val="004506E9"/>
    <w:rsid w:val="00451173"/>
    <w:rsid w:val="00453535"/>
    <w:rsid w:val="004573CE"/>
    <w:rsid w:val="00460730"/>
    <w:rsid w:val="00462781"/>
    <w:rsid w:val="00463C15"/>
    <w:rsid w:val="0046580A"/>
    <w:rsid w:val="00471E14"/>
    <w:rsid w:val="0047264E"/>
    <w:rsid w:val="0047451C"/>
    <w:rsid w:val="00475801"/>
    <w:rsid w:val="00480AE3"/>
    <w:rsid w:val="004822EA"/>
    <w:rsid w:val="004842C4"/>
    <w:rsid w:val="00486B20"/>
    <w:rsid w:val="004874E5"/>
    <w:rsid w:val="0049119C"/>
    <w:rsid w:val="0049473C"/>
    <w:rsid w:val="00494C50"/>
    <w:rsid w:val="0049595E"/>
    <w:rsid w:val="0049734A"/>
    <w:rsid w:val="004A7B37"/>
    <w:rsid w:val="004B78E3"/>
    <w:rsid w:val="004C0F39"/>
    <w:rsid w:val="004C6EDF"/>
    <w:rsid w:val="004C7C5C"/>
    <w:rsid w:val="004D0778"/>
    <w:rsid w:val="004D1774"/>
    <w:rsid w:val="004D3DEB"/>
    <w:rsid w:val="004D4067"/>
    <w:rsid w:val="004D6893"/>
    <w:rsid w:val="004E1E72"/>
    <w:rsid w:val="004E2C2F"/>
    <w:rsid w:val="004E2FEA"/>
    <w:rsid w:val="004E4D83"/>
    <w:rsid w:val="004F2D32"/>
    <w:rsid w:val="004F52D1"/>
    <w:rsid w:val="004F571A"/>
    <w:rsid w:val="004F6FCA"/>
    <w:rsid w:val="0050047B"/>
    <w:rsid w:val="005007CA"/>
    <w:rsid w:val="00501DA9"/>
    <w:rsid w:val="00511CC4"/>
    <w:rsid w:val="00512451"/>
    <w:rsid w:val="00512F24"/>
    <w:rsid w:val="0051486C"/>
    <w:rsid w:val="0051550C"/>
    <w:rsid w:val="0052647E"/>
    <w:rsid w:val="0052658A"/>
    <w:rsid w:val="00527366"/>
    <w:rsid w:val="005358B9"/>
    <w:rsid w:val="005362FD"/>
    <w:rsid w:val="00544D1F"/>
    <w:rsid w:val="005527D1"/>
    <w:rsid w:val="00553BA6"/>
    <w:rsid w:val="005549CF"/>
    <w:rsid w:val="0056052A"/>
    <w:rsid w:val="00560D69"/>
    <w:rsid w:val="005626E4"/>
    <w:rsid w:val="00564706"/>
    <w:rsid w:val="0056508C"/>
    <w:rsid w:val="005660FF"/>
    <w:rsid w:val="005666ED"/>
    <w:rsid w:val="0056681E"/>
    <w:rsid w:val="005668D8"/>
    <w:rsid w:val="00572FA3"/>
    <w:rsid w:val="005802DA"/>
    <w:rsid w:val="00580BA7"/>
    <w:rsid w:val="00581F6F"/>
    <w:rsid w:val="00583882"/>
    <w:rsid w:val="00583E39"/>
    <w:rsid w:val="0059038E"/>
    <w:rsid w:val="00593A08"/>
    <w:rsid w:val="00596324"/>
    <w:rsid w:val="005A0006"/>
    <w:rsid w:val="005A10C0"/>
    <w:rsid w:val="005A23F4"/>
    <w:rsid w:val="005A2BCB"/>
    <w:rsid w:val="005A7EDA"/>
    <w:rsid w:val="005B118C"/>
    <w:rsid w:val="005B1AEA"/>
    <w:rsid w:val="005B1EEC"/>
    <w:rsid w:val="005B21B3"/>
    <w:rsid w:val="005B5FC8"/>
    <w:rsid w:val="005B7D20"/>
    <w:rsid w:val="005C1D86"/>
    <w:rsid w:val="005C36AD"/>
    <w:rsid w:val="005C6670"/>
    <w:rsid w:val="005C6E37"/>
    <w:rsid w:val="005C7E1E"/>
    <w:rsid w:val="005D6DAB"/>
    <w:rsid w:val="005D7361"/>
    <w:rsid w:val="005F4E9E"/>
    <w:rsid w:val="005F7495"/>
    <w:rsid w:val="006007E5"/>
    <w:rsid w:val="0060395D"/>
    <w:rsid w:val="00615160"/>
    <w:rsid w:val="00615BA8"/>
    <w:rsid w:val="006203C4"/>
    <w:rsid w:val="00622843"/>
    <w:rsid w:val="00624B22"/>
    <w:rsid w:val="006257A4"/>
    <w:rsid w:val="006276C7"/>
    <w:rsid w:val="0063346B"/>
    <w:rsid w:val="00635961"/>
    <w:rsid w:val="0063736D"/>
    <w:rsid w:val="006445D9"/>
    <w:rsid w:val="006511A0"/>
    <w:rsid w:val="0065122B"/>
    <w:rsid w:val="006522D8"/>
    <w:rsid w:val="006542C1"/>
    <w:rsid w:val="00655962"/>
    <w:rsid w:val="00660F55"/>
    <w:rsid w:val="006615FE"/>
    <w:rsid w:val="006673A5"/>
    <w:rsid w:val="006702A4"/>
    <w:rsid w:val="00671245"/>
    <w:rsid w:val="00673E63"/>
    <w:rsid w:val="00681094"/>
    <w:rsid w:val="00683016"/>
    <w:rsid w:val="0068799B"/>
    <w:rsid w:val="0069036E"/>
    <w:rsid w:val="006913DD"/>
    <w:rsid w:val="006927C7"/>
    <w:rsid w:val="00695FA1"/>
    <w:rsid w:val="0069741D"/>
    <w:rsid w:val="006A01D5"/>
    <w:rsid w:val="006A4EAC"/>
    <w:rsid w:val="006B4873"/>
    <w:rsid w:val="006B4E5E"/>
    <w:rsid w:val="006B66FD"/>
    <w:rsid w:val="006C3B49"/>
    <w:rsid w:val="006D4BB8"/>
    <w:rsid w:val="006D68ED"/>
    <w:rsid w:val="006D72E3"/>
    <w:rsid w:val="006D7E65"/>
    <w:rsid w:val="006E3055"/>
    <w:rsid w:val="006E58F0"/>
    <w:rsid w:val="006E5C02"/>
    <w:rsid w:val="006F0C8C"/>
    <w:rsid w:val="006F6A2B"/>
    <w:rsid w:val="00701727"/>
    <w:rsid w:val="00702D0E"/>
    <w:rsid w:val="00704093"/>
    <w:rsid w:val="00704E45"/>
    <w:rsid w:val="00710690"/>
    <w:rsid w:val="0071193B"/>
    <w:rsid w:val="00712EB9"/>
    <w:rsid w:val="007169EA"/>
    <w:rsid w:val="00717067"/>
    <w:rsid w:val="007177CE"/>
    <w:rsid w:val="00724525"/>
    <w:rsid w:val="00725DFC"/>
    <w:rsid w:val="00726115"/>
    <w:rsid w:val="00726656"/>
    <w:rsid w:val="007271D2"/>
    <w:rsid w:val="00727E86"/>
    <w:rsid w:val="00731571"/>
    <w:rsid w:val="00731DE6"/>
    <w:rsid w:val="007339D2"/>
    <w:rsid w:val="00733A50"/>
    <w:rsid w:val="007407D5"/>
    <w:rsid w:val="00743682"/>
    <w:rsid w:val="0074411F"/>
    <w:rsid w:val="0075074C"/>
    <w:rsid w:val="0075101D"/>
    <w:rsid w:val="00751138"/>
    <w:rsid w:val="00753768"/>
    <w:rsid w:val="0075387A"/>
    <w:rsid w:val="00755C15"/>
    <w:rsid w:val="007565F3"/>
    <w:rsid w:val="00761446"/>
    <w:rsid w:val="00762DFB"/>
    <w:rsid w:val="0076402B"/>
    <w:rsid w:val="00764630"/>
    <w:rsid w:val="00766C69"/>
    <w:rsid w:val="00777CA7"/>
    <w:rsid w:val="00784F54"/>
    <w:rsid w:val="00791170"/>
    <w:rsid w:val="007911F7"/>
    <w:rsid w:val="0079336E"/>
    <w:rsid w:val="00794B98"/>
    <w:rsid w:val="00797851"/>
    <w:rsid w:val="007A259D"/>
    <w:rsid w:val="007A3A7F"/>
    <w:rsid w:val="007B2C29"/>
    <w:rsid w:val="007B2DB1"/>
    <w:rsid w:val="007B4E80"/>
    <w:rsid w:val="007B5EBD"/>
    <w:rsid w:val="007C5041"/>
    <w:rsid w:val="007C788F"/>
    <w:rsid w:val="007C7CCB"/>
    <w:rsid w:val="007D118F"/>
    <w:rsid w:val="007D29EE"/>
    <w:rsid w:val="007D6901"/>
    <w:rsid w:val="007E022F"/>
    <w:rsid w:val="007E49C9"/>
    <w:rsid w:val="007F0907"/>
    <w:rsid w:val="00803699"/>
    <w:rsid w:val="00803FC2"/>
    <w:rsid w:val="00803FE9"/>
    <w:rsid w:val="00804A5E"/>
    <w:rsid w:val="0082256C"/>
    <w:rsid w:val="008260CF"/>
    <w:rsid w:val="008262F5"/>
    <w:rsid w:val="00834456"/>
    <w:rsid w:val="00834D82"/>
    <w:rsid w:val="00841B40"/>
    <w:rsid w:val="00842EFE"/>
    <w:rsid w:val="00844D08"/>
    <w:rsid w:val="008525B5"/>
    <w:rsid w:val="0086192B"/>
    <w:rsid w:val="008646BB"/>
    <w:rsid w:val="00865B04"/>
    <w:rsid w:val="00871D38"/>
    <w:rsid w:val="00872E90"/>
    <w:rsid w:val="00874F79"/>
    <w:rsid w:val="00876029"/>
    <w:rsid w:val="00880860"/>
    <w:rsid w:val="00880D45"/>
    <w:rsid w:val="00881B54"/>
    <w:rsid w:val="00882806"/>
    <w:rsid w:val="0088611F"/>
    <w:rsid w:val="00894C2B"/>
    <w:rsid w:val="008A0569"/>
    <w:rsid w:val="008A329A"/>
    <w:rsid w:val="008A395A"/>
    <w:rsid w:val="008A5C1F"/>
    <w:rsid w:val="008B20DE"/>
    <w:rsid w:val="008B3348"/>
    <w:rsid w:val="008B4042"/>
    <w:rsid w:val="008B499B"/>
    <w:rsid w:val="008B6537"/>
    <w:rsid w:val="008C0749"/>
    <w:rsid w:val="008C16ED"/>
    <w:rsid w:val="008C4F51"/>
    <w:rsid w:val="008C5166"/>
    <w:rsid w:val="008C6774"/>
    <w:rsid w:val="008D26AB"/>
    <w:rsid w:val="008D2EB9"/>
    <w:rsid w:val="008E1C45"/>
    <w:rsid w:val="008E4454"/>
    <w:rsid w:val="008E693A"/>
    <w:rsid w:val="008E6951"/>
    <w:rsid w:val="008F0EC7"/>
    <w:rsid w:val="008F3668"/>
    <w:rsid w:val="009011F5"/>
    <w:rsid w:val="0090477D"/>
    <w:rsid w:val="00904D92"/>
    <w:rsid w:val="00905BA4"/>
    <w:rsid w:val="00906F87"/>
    <w:rsid w:val="00907566"/>
    <w:rsid w:val="00911CED"/>
    <w:rsid w:val="0091358E"/>
    <w:rsid w:val="00913F8D"/>
    <w:rsid w:val="009163DE"/>
    <w:rsid w:val="009176EB"/>
    <w:rsid w:val="00917D73"/>
    <w:rsid w:val="009225E9"/>
    <w:rsid w:val="009269F4"/>
    <w:rsid w:val="009352B8"/>
    <w:rsid w:val="009360A0"/>
    <w:rsid w:val="00936A93"/>
    <w:rsid w:val="0093799F"/>
    <w:rsid w:val="00946709"/>
    <w:rsid w:val="009477C4"/>
    <w:rsid w:val="00947CCE"/>
    <w:rsid w:val="00951B1C"/>
    <w:rsid w:val="0095234D"/>
    <w:rsid w:val="00952F3C"/>
    <w:rsid w:val="009542B8"/>
    <w:rsid w:val="0095597C"/>
    <w:rsid w:val="00956BEB"/>
    <w:rsid w:val="00957EDC"/>
    <w:rsid w:val="00961A9D"/>
    <w:rsid w:val="0096207C"/>
    <w:rsid w:val="00963379"/>
    <w:rsid w:val="009643C3"/>
    <w:rsid w:val="00967EAE"/>
    <w:rsid w:val="0097397D"/>
    <w:rsid w:val="00974117"/>
    <w:rsid w:val="00975D6D"/>
    <w:rsid w:val="00980027"/>
    <w:rsid w:val="0098250A"/>
    <w:rsid w:val="009831C2"/>
    <w:rsid w:val="00983253"/>
    <w:rsid w:val="0098538C"/>
    <w:rsid w:val="009853F4"/>
    <w:rsid w:val="009857FA"/>
    <w:rsid w:val="00987413"/>
    <w:rsid w:val="00987F44"/>
    <w:rsid w:val="00990C50"/>
    <w:rsid w:val="009917D6"/>
    <w:rsid w:val="0099565D"/>
    <w:rsid w:val="00995BA9"/>
    <w:rsid w:val="00995BEF"/>
    <w:rsid w:val="0099691F"/>
    <w:rsid w:val="009A248E"/>
    <w:rsid w:val="009A47A2"/>
    <w:rsid w:val="009A7D3E"/>
    <w:rsid w:val="009B03FF"/>
    <w:rsid w:val="009B15A8"/>
    <w:rsid w:val="009B2656"/>
    <w:rsid w:val="009B5385"/>
    <w:rsid w:val="009B55F2"/>
    <w:rsid w:val="009B5C3B"/>
    <w:rsid w:val="009B5FCF"/>
    <w:rsid w:val="009C01E9"/>
    <w:rsid w:val="009C0571"/>
    <w:rsid w:val="009C077B"/>
    <w:rsid w:val="009C1E53"/>
    <w:rsid w:val="009C5937"/>
    <w:rsid w:val="009C59D9"/>
    <w:rsid w:val="009C68B8"/>
    <w:rsid w:val="009D1FA1"/>
    <w:rsid w:val="009D2E8F"/>
    <w:rsid w:val="009D3742"/>
    <w:rsid w:val="009D5749"/>
    <w:rsid w:val="009E132A"/>
    <w:rsid w:val="009F2302"/>
    <w:rsid w:val="009F4FE1"/>
    <w:rsid w:val="00A01792"/>
    <w:rsid w:val="00A01DCD"/>
    <w:rsid w:val="00A0501D"/>
    <w:rsid w:val="00A061B4"/>
    <w:rsid w:val="00A066C7"/>
    <w:rsid w:val="00A133D4"/>
    <w:rsid w:val="00A14801"/>
    <w:rsid w:val="00A14BF1"/>
    <w:rsid w:val="00A15F44"/>
    <w:rsid w:val="00A23140"/>
    <w:rsid w:val="00A253D3"/>
    <w:rsid w:val="00A26A8C"/>
    <w:rsid w:val="00A276FE"/>
    <w:rsid w:val="00A354C0"/>
    <w:rsid w:val="00A416DE"/>
    <w:rsid w:val="00A440F8"/>
    <w:rsid w:val="00A44371"/>
    <w:rsid w:val="00A523C2"/>
    <w:rsid w:val="00A528BC"/>
    <w:rsid w:val="00A53F3C"/>
    <w:rsid w:val="00A552CA"/>
    <w:rsid w:val="00A5595A"/>
    <w:rsid w:val="00A57FAE"/>
    <w:rsid w:val="00A61F1A"/>
    <w:rsid w:val="00A64CEF"/>
    <w:rsid w:val="00A66EFF"/>
    <w:rsid w:val="00A73051"/>
    <w:rsid w:val="00A73D5E"/>
    <w:rsid w:val="00A748E2"/>
    <w:rsid w:val="00A758C1"/>
    <w:rsid w:val="00A762D5"/>
    <w:rsid w:val="00A83337"/>
    <w:rsid w:val="00A96CA6"/>
    <w:rsid w:val="00A96DE8"/>
    <w:rsid w:val="00A97400"/>
    <w:rsid w:val="00AA05BE"/>
    <w:rsid w:val="00AA0F19"/>
    <w:rsid w:val="00AA5B5A"/>
    <w:rsid w:val="00AB35A5"/>
    <w:rsid w:val="00AB431B"/>
    <w:rsid w:val="00AB47C3"/>
    <w:rsid w:val="00AB744C"/>
    <w:rsid w:val="00AC16B3"/>
    <w:rsid w:val="00AC3219"/>
    <w:rsid w:val="00AD09C0"/>
    <w:rsid w:val="00AD3C95"/>
    <w:rsid w:val="00AD5E91"/>
    <w:rsid w:val="00AE090F"/>
    <w:rsid w:val="00AE1977"/>
    <w:rsid w:val="00AE4BB3"/>
    <w:rsid w:val="00AE6D74"/>
    <w:rsid w:val="00AF1435"/>
    <w:rsid w:val="00AF1C5C"/>
    <w:rsid w:val="00AF22C1"/>
    <w:rsid w:val="00AF4B2D"/>
    <w:rsid w:val="00AF50E5"/>
    <w:rsid w:val="00AF653D"/>
    <w:rsid w:val="00AF6B91"/>
    <w:rsid w:val="00B0131A"/>
    <w:rsid w:val="00B01A3C"/>
    <w:rsid w:val="00B02F95"/>
    <w:rsid w:val="00B1349E"/>
    <w:rsid w:val="00B14F03"/>
    <w:rsid w:val="00B161FE"/>
    <w:rsid w:val="00B17A76"/>
    <w:rsid w:val="00B232AC"/>
    <w:rsid w:val="00B26673"/>
    <w:rsid w:val="00B2709F"/>
    <w:rsid w:val="00B27C2D"/>
    <w:rsid w:val="00B27C6C"/>
    <w:rsid w:val="00B32E33"/>
    <w:rsid w:val="00B35C41"/>
    <w:rsid w:val="00B401B2"/>
    <w:rsid w:val="00B41917"/>
    <w:rsid w:val="00B4301C"/>
    <w:rsid w:val="00B46450"/>
    <w:rsid w:val="00B51886"/>
    <w:rsid w:val="00B5238F"/>
    <w:rsid w:val="00B55E86"/>
    <w:rsid w:val="00B73BA9"/>
    <w:rsid w:val="00B76DC5"/>
    <w:rsid w:val="00B77DF4"/>
    <w:rsid w:val="00B81DBC"/>
    <w:rsid w:val="00B81F1F"/>
    <w:rsid w:val="00B83C58"/>
    <w:rsid w:val="00B907B8"/>
    <w:rsid w:val="00B920D5"/>
    <w:rsid w:val="00B92285"/>
    <w:rsid w:val="00B931CD"/>
    <w:rsid w:val="00B9351B"/>
    <w:rsid w:val="00B93E94"/>
    <w:rsid w:val="00B94702"/>
    <w:rsid w:val="00BA3C5E"/>
    <w:rsid w:val="00BB13A7"/>
    <w:rsid w:val="00BB187B"/>
    <w:rsid w:val="00BB1B7D"/>
    <w:rsid w:val="00BB2B36"/>
    <w:rsid w:val="00BB78C3"/>
    <w:rsid w:val="00BB7C42"/>
    <w:rsid w:val="00BC1FD2"/>
    <w:rsid w:val="00BC2978"/>
    <w:rsid w:val="00BC503A"/>
    <w:rsid w:val="00BD1D0C"/>
    <w:rsid w:val="00BD4E57"/>
    <w:rsid w:val="00BD51F0"/>
    <w:rsid w:val="00BD75C4"/>
    <w:rsid w:val="00BF0DD9"/>
    <w:rsid w:val="00BF2DD4"/>
    <w:rsid w:val="00BF4B03"/>
    <w:rsid w:val="00BF5FC1"/>
    <w:rsid w:val="00BF6465"/>
    <w:rsid w:val="00C0535A"/>
    <w:rsid w:val="00C12ACC"/>
    <w:rsid w:val="00C20616"/>
    <w:rsid w:val="00C22520"/>
    <w:rsid w:val="00C2414D"/>
    <w:rsid w:val="00C3151A"/>
    <w:rsid w:val="00C376E5"/>
    <w:rsid w:val="00C40FC4"/>
    <w:rsid w:val="00C433AD"/>
    <w:rsid w:val="00C438AE"/>
    <w:rsid w:val="00C471C3"/>
    <w:rsid w:val="00C50D17"/>
    <w:rsid w:val="00C5127F"/>
    <w:rsid w:val="00C530C6"/>
    <w:rsid w:val="00C54E7F"/>
    <w:rsid w:val="00C654C9"/>
    <w:rsid w:val="00C65531"/>
    <w:rsid w:val="00C707B7"/>
    <w:rsid w:val="00C71071"/>
    <w:rsid w:val="00C71C40"/>
    <w:rsid w:val="00C732EB"/>
    <w:rsid w:val="00C80931"/>
    <w:rsid w:val="00C814A6"/>
    <w:rsid w:val="00C82FF4"/>
    <w:rsid w:val="00C8325E"/>
    <w:rsid w:val="00C84319"/>
    <w:rsid w:val="00C845A5"/>
    <w:rsid w:val="00C90085"/>
    <w:rsid w:val="00C94625"/>
    <w:rsid w:val="00C979AF"/>
    <w:rsid w:val="00CA04F2"/>
    <w:rsid w:val="00CA64FA"/>
    <w:rsid w:val="00CB0B76"/>
    <w:rsid w:val="00CB1FA1"/>
    <w:rsid w:val="00CB603E"/>
    <w:rsid w:val="00CC4050"/>
    <w:rsid w:val="00CC6B55"/>
    <w:rsid w:val="00CD28E7"/>
    <w:rsid w:val="00CD2D75"/>
    <w:rsid w:val="00CD377A"/>
    <w:rsid w:val="00CD3B33"/>
    <w:rsid w:val="00CE6E14"/>
    <w:rsid w:val="00CE79A8"/>
    <w:rsid w:val="00CF0772"/>
    <w:rsid w:val="00CF2F44"/>
    <w:rsid w:val="00CF3816"/>
    <w:rsid w:val="00CF3F7E"/>
    <w:rsid w:val="00CF5390"/>
    <w:rsid w:val="00CF653C"/>
    <w:rsid w:val="00CF7923"/>
    <w:rsid w:val="00D037A9"/>
    <w:rsid w:val="00D04BEA"/>
    <w:rsid w:val="00D05125"/>
    <w:rsid w:val="00D12948"/>
    <w:rsid w:val="00D14089"/>
    <w:rsid w:val="00D1456B"/>
    <w:rsid w:val="00D1775B"/>
    <w:rsid w:val="00D178BE"/>
    <w:rsid w:val="00D27F53"/>
    <w:rsid w:val="00D3119F"/>
    <w:rsid w:val="00D35B8A"/>
    <w:rsid w:val="00D4062F"/>
    <w:rsid w:val="00D41EC8"/>
    <w:rsid w:val="00D43C1B"/>
    <w:rsid w:val="00D440A3"/>
    <w:rsid w:val="00D46031"/>
    <w:rsid w:val="00D525F9"/>
    <w:rsid w:val="00D54C78"/>
    <w:rsid w:val="00D55B50"/>
    <w:rsid w:val="00D56FED"/>
    <w:rsid w:val="00D63807"/>
    <w:rsid w:val="00D63FB3"/>
    <w:rsid w:val="00D65653"/>
    <w:rsid w:val="00D721C9"/>
    <w:rsid w:val="00D7277D"/>
    <w:rsid w:val="00D73882"/>
    <w:rsid w:val="00D74CE7"/>
    <w:rsid w:val="00D7550B"/>
    <w:rsid w:val="00D85ADC"/>
    <w:rsid w:val="00D8773A"/>
    <w:rsid w:val="00D87A78"/>
    <w:rsid w:val="00D914F0"/>
    <w:rsid w:val="00D93202"/>
    <w:rsid w:val="00D94B81"/>
    <w:rsid w:val="00D95022"/>
    <w:rsid w:val="00D96E1F"/>
    <w:rsid w:val="00D970C4"/>
    <w:rsid w:val="00D970F8"/>
    <w:rsid w:val="00DA032C"/>
    <w:rsid w:val="00DA167C"/>
    <w:rsid w:val="00DA5CFB"/>
    <w:rsid w:val="00DB1F11"/>
    <w:rsid w:val="00DB40BA"/>
    <w:rsid w:val="00DB40F0"/>
    <w:rsid w:val="00DB5422"/>
    <w:rsid w:val="00DB6455"/>
    <w:rsid w:val="00DB76B9"/>
    <w:rsid w:val="00DC18AE"/>
    <w:rsid w:val="00DC780A"/>
    <w:rsid w:val="00DC7C7D"/>
    <w:rsid w:val="00DC7E96"/>
    <w:rsid w:val="00DD0B33"/>
    <w:rsid w:val="00DD6074"/>
    <w:rsid w:val="00DE1FC7"/>
    <w:rsid w:val="00DE290E"/>
    <w:rsid w:val="00DE2D67"/>
    <w:rsid w:val="00DE40EB"/>
    <w:rsid w:val="00DE6F2E"/>
    <w:rsid w:val="00DF2CFD"/>
    <w:rsid w:val="00DF3319"/>
    <w:rsid w:val="00DF47CC"/>
    <w:rsid w:val="00DF55AC"/>
    <w:rsid w:val="00E0026A"/>
    <w:rsid w:val="00E0331A"/>
    <w:rsid w:val="00E0340E"/>
    <w:rsid w:val="00E0655B"/>
    <w:rsid w:val="00E06A5D"/>
    <w:rsid w:val="00E07208"/>
    <w:rsid w:val="00E10621"/>
    <w:rsid w:val="00E1792B"/>
    <w:rsid w:val="00E26473"/>
    <w:rsid w:val="00E32722"/>
    <w:rsid w:val="00E33A81"/>
    <w:rsid w:val="00E36066"/>
    <w:rsid w:val="00E40844"/>
    <w:rsid w:val="00E416F0"/>
    <w:rsid w:val="00E4568E"/>
    <w:rsid w:val="00E46FF3"/>
    <w:rsid w:val="00E57894"/>
    <w:rsid w:val="00E6510B"/>
    <w:rsid w:val="00E708EE"/>
    <w:rsid w:val="00E70C98"/>
    <w:rsid w:val="00E718A4"/>
    <w:rsid w:val="00E7530E"/>
    <w:rsid w:val="00E761DD"/>
    <w:rsid w:val="00E77609"/>
    <w:rsid w:val="00E80201"/>
    <w:rsid w:val="00E81CEB"/>
    <w:rsid w:val="00E84617"/>
    <w:rsid w:val="00E85B3C"/>
    <w:rsid w:val="00E86C16"/>
    <w:rsid w:val="00E92217"/>
    <w:rsid w:val="00E96672"/>
    <w:rsid w:val="00EA0428"/>
    <w:rsid w:val="00EA1F49"/>
    <w:rsid w:val="00EA3411"/>
    <w:rsid w:val="00EA3577"/>
    <w:rsid w:val="00EA7DEB"/>
    <w:rsid w:val="00EB3634"/>
    <w:rsid w:val="00EC37EE"/>
    <w:rsid w:val="00EC748E"/>
    <w:rsid w:val="00ED0BAD"/>
    <w:rsid w:val="00ED1EE8"/>
    <w:rsid w:val="00ED245F"/>
    <w:rsid w:val="00ED27C8"/>
    <w:rsid w:val="00ED296B"/>
    <w:rsid w:val="00ED73E2"/>
    <w:rsid w:val="00EE4644"/>
    <w:rsid w:val="00EF02AE"/>
    <w:rsid w:val="00EF28B0"/>
    <w:rsid w:val="00EF3C5A"/>
    <w:rsid w:val="00EF4845"/>
    <w:rsid w:val="00F0013B"/>
    <w:rsid w:val="00F006D8"/>
    <w:rsid w:val="00F019CC"/>
    <w:rsid w:val="00F02183"/>
    <w:rsid w:val="00F132E8"/>
    <w:rsid w:val="00F13A3D"/>
    <w:rsid w:val="00F1506C"/>
    <w:rsid w:val="00F20853"/>
    <w:rsid w:val="00F20E4C"/>
    <w:rsid w:val="00F21392"/>
    <w:rsid w:val="00F2372E"/>
    <w:rsid w:val="00F40D35"/>
    <w:rsid w:val="00F41798"/>
    <w:rsid w:val="00F46F1F"/>
    <w:rsid w:val="00F52916"/>
    <w:rsid w:val="00F54AD3"/>
    <w:rsid w:val="00F60D1C"/>
    <w:rsid w:val="00F62266"/>
    <w:rsid w:val="00F63B11"/>
    <w:rsid w:val="00F734A9"/>
    <w:rsid w:val="00F73E28"/>
    <w:rsid w:val="00F75BB7"/>
    <w:rsid w:val="00F819F1"/>
    <w:rsid w:val="00F858C6"/>
    <w:rsid w:val="00F8659D"/>
    <w:rsid w:val="00F900FC"/>
    <w:rsid w:val="00F91540"/>
    <w:rsid w:val="00FA2AD0"/>
    <w:rsid w:val="00FA73A8"/>
    <w:rsid w:val="00FA7C88"/>
    <w:rsid w:val="00FB4E97"/>
    <w:rsid w:val="00FC07A8"/>
    <w:rsid w:val="00FD3F6B"/>
    <w:rsid w:val="00FD6621"/>
    <w:rsid w:val="00FE3C66"/>
    <w:rsid w:val="00FE4FB7"/>
    <w:rsid w:val="00FF0663"/>
    <w:rsid w:val="00FF1B5E"/>
    <w:rsid w:val="00FF29D4"/>
    <w:rsid w:val="00FF31F5"/>
    <w:rsid w:val="3A80718B"/>
    <w:rsid w:val="64B239E1"/>
    <w:rsid w:val="6B885BF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numPr>
        <w:ilvl w:val="0"/>
        <w:numId w:val="1"/>
      </w:numPr>
      <w:spacing w:line="360" w:lineRule="auto"/>
      <w:ind w:firstLine="600" w:firstLineChars="200"/>
      <w:outlineLvl w:val="0"/>
    </w:pPr>
    <w:rPr>
      <w:rFonts w:ascii="Times New Roman" w:hAnsi="Times New Roman" w:eastAsia="黑体" w:cs="Times New Roman"/>
      <w:sz w:val="30"/>
      <w:szCs w:val="30"/>
    </w:rPr>
  </w:style>
  <w:style w:type="paragraph" w:styleId="3">
    <w:name w:val="heading 2"/>
    <w:basedOn w:val="1"/>
    <w:next w:val="1"/>
    <w:link w:val="27"/>
    <w:unhideWhenUsed/>
    <w:qFormat/>
    <w:uiPriority w:val="9"/>
    <w:pPr>
      <w:numPr>
        <w:ilvl w:val="1"/>
        <w:numId w:val="1"/>
      </w:numPr>
      <w:spacing w:line="360" w:lineRule="auto"/>
      <w:ind w:firstLine="200" w:firstLineChars="200"/>
      <w:outlineLvl w:val="1"/>
    </w:pPr>
    <w:rPr>
      <w:rFonts w:ascii="Times New Roman" w:hAnsi="Times New Roman" w:eastAsia="黑体" w:cs="Times New Roman"/>
      <w:sz w:val="30"/>
      <w:szCs w:val="30"/>
    </w:rPr>
  </w:style>
  <w:style w:type="paragraph" w:styleId="4">
    <w:name w:val="heading 3"/>
    <w:basedOn w:val="1"/>
    <w:next w:val="1"/>
    <w:link w:val="28"/>
    <w:unhideWhenUsed/>
    <w:qFormat/>
    <w:uiPriority w:val="9"/>
    <w:pPr>
      <w:numPr>
        <w:ilvl w:val="2"/>
        <w:numId w:val="1"/>
      </w:numPr>
      <w:spacing w:line="360" w:lineRule="auto"/>
      <w:ind w:firstLine="200" w:firstLineChars="200"/>
      <w:outlineLvl w:val="2"/>
    </w:pPr>
    <w:rPr>
      <w:rFonts w:ascii="楷体_GB2312" w:hAnsi="Times New Roman" w:eastAsia="楷体_GB2312" w:cs="Times New Roman"/>
      <w:b/>
      <w:sz w:val="30"/>
      <w:szCs w:val="30"/>
    </w:rPr>
  </w:style>
  <w:style w:type="paragraph" w:styleId="5">
    <w:name w:val="heading 4"/>
    <w:basedOn w:val="1"/>
    <w:next w:val="1"/>
    <w:link w:val="29"/>
    <w:unhideWhenUsed/>
    <w:qFormat/>
    <w:uiPriority w:val="9"/>
    <w:pPr>
      <w:numPr>
        <w:ilvl w:val="3"/>
        <w:numId w:val="1"/>
      </w:numPr>
      <w:ind w:firstLine="562" w:firstLineChars="200"/>
      <w:outlineLvl w:val="3"/>
    </w:pPr>
    <w:rPr>
      <w:rFonts w:ascii="Times New Roman" w:hAnsi="Times New Roman" w:eastAsia="仿宋_GB2312" w:cs="Times New Roman"/>
      <w:b/>
      <w:sz w:val="28"/>
      <w:szCs w:val="28"/>
    </w:rPr>
  </w:style>
  <w:style w:type="character" w:default="1" w:styleId="18">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1"/>
    <w:unhideWhenUsed/>
    <w:qFormat/>
    <w:uiPriority w:val="99"/>
    <w:rPr>
      <w:b/>
      <w:bCs/>
    </w:rPr>
  </w:style>
  <w:style w:type="paragraph" w:styleId="7">
    <w:name w:val="annotation text"/>
    <w:basedOn w:val="1"/>
    <w:link w:val="40"/>
    <w:unhideWhenUsed/>
    <w:qFormat/>
    <w:uiPriority w:val="99"/>
    <w:pPr>
      <w:jc w:val="left"/>
    </w:pPr>
  </w:style>
  <w:style w:type="paragraph" w:styleId="8">
    <w:name w:val="Document Map"/>
    <w:basedOn w:val="1"/>
    <w:link w:val="44"/>
    <w:unhideWhenUsed/>
    <w:uiPriority w:val="99"/>
    <w:rPr>
      <w:rFonts w:ascii="宋体" w:eastAsia="宋体"/>
      <w:sz w:val="18"/>
      <w:szCs w:val="18"/>
    </w:rPr>
  </w:style>
  <w:style w:type="paragraph" w:styleId="9">
    <w:name w:val="toc 3"/>
    <w:basedOn w:val="1"/>
    <w:next w:val="1"/>
    <w:unhideWhenUsed/>
    <w:uiPriority w:val="39"/>
    <w:pPr>
      <w:ind w:left="840" w:leftChars="400"/>
    </w:pPr>
  </w:style>
  <w:style w:type="paragraph" w:styleId="10">
    <w:name w:val="Balloon Text"/>
    <w:basedOn w:val="1"/>
    <w:link w:val="34"/>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b/>
    </w:rPr>
  </w:style>
  <w:style w:type="paragraph" w:styleId="14">
    <w:name w:val="footnote text"/>
    <w:basedOn w:val="1"/>
    <w:link w:val="43"/>
    <w:unhideWhenUsed/>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styleId="17">
    <w:name w:val="Title"/>
    <w:basedOn w:val="1"/>
    <w:next w:val="1"/>
    <w:link w:val="35"/>
    <w:qFormat/>
    <w:uiPriority w:val="10"/>
    <w:pPr>
      <w:spacing w:before="240" w:after="60"/>
      <w:jc w:val="center"/>
      <w:outlineLvl w:val="0"/>
    </w:pPr>
    <w:rPr>
      <w:rFonts w:eastAsia="宋体" w:asciiTheme="majorHAnsi" w:hAnsiTheme="majorHAnsi" w:cstheme="majorBidi"/>
      <w:b/>
      <w:bCs/>
      <w:sz w:val="32"/>
      <w:szCs w:val="32"/>
    </w:r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unhideWhenUsed/>
    <w:uiPriority w:val="99"/>
    <w:rPr>
      <w:sz w:val="21"/>
      <w:szCs w:val="21"/>
    </w:rPr>
  </w:style>
  <w:style w:type="character" w:styleId="22">
    <w:name w:val="footnote reference"/>
    <w:basedOn w:val="18"/>
    <w:unhideWhenUsed/>
    <w:qFormat/>
    <w:uiPriority w:val="99"/>
    <w:rPr>
      <w:vertAlign w:val="superscript"/>
    </w:rPr>
  </w:style>
  <w:style w:type="table" w:styleId="24">
    <w:name w:val="Table Grid"/>
    <w:basedOn w:val="2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列出段落1"/>
    <w:basedOn w:val="1"/>
    <w:qFormat/>
    <w:uiPriority w:val="34"/>
    <w:pPr>
      <w:ind w:firstLine="420" w:firstLineChars="200"/>
    </w:pPr>
  </w:style>
  <w:style w:type="character" w:customStyle="1" w:styleId="26">
    <w:name w:val="标题 1 Char"/>
    <w:basedOn w:val="18"/>
    <w:link w:val="2"/>
    <w:uiPriority w:val="9"/>
    <w:rPr>
      <w:rFonts w:ascii="Times New Roman" w:hAnsi="Times New Roman" w:eastAsia="黑体" w:cs="Times New Roman"/>
      <w:sz w:val="30"/>
      <w:szCs w:val="30"/>
    </w:rPr>
  </w:style>
  <w:style w:type="character" w:customStyle="1" w:styleId="27">
    <w:name w:val="标题 2 Char"/>
    <w:basedOn w:val="18"/>
    <w:link w:val="3"/>
    <w:uiPriority w:val="9"/>
    <w:rPr>
      <w:rFonts w:ascii="Times New Roman" w:hAnsi="Times New Roman" w:eastAsia="黑体" w:cs="Times New Roman"/>
      <w:sz w:val="30"/>
      <w:szCs w:val="30"/>
    </w:rPr>
  </w:style>
  <w:style w:type="character" w:customStyle="1" w:styleId="28">
    <w:name w:val="标题 3 Char"/>
    <w:basedOn w:val="18"/>
    <w:link w:val="4"/>
    <w:uiPriority w:val="9"/>
    <w:rPr>
      <w:rFonts w:ascii="楷体_GB2312" w:hAnsi="Times New Roman" w:eastAsia="楷体_GB2312" w:cs="Times New Roman"/>
      <w:b/>
      <w:sz w:val="30"/>
      <w:szCs w:val="30"/>
    </w:rPr>
  </w:style>
  <w:style w:type="character" w:customStyle="1" w:styleId="29">
    <w:name w:val="标题 4 Char"/>
    <w:basedOn w:val="18"/>
    <w:link w:val="5"/>
    <w:qFormat/>
    <w:uiPriority w:val="9"/>
    <w:rPr>
      <w:rFonts w:ascii="Times New Roman" w:hAnsi="Times New Roman" w:eastAsia="仿宋_GB2312" w:cs="Times New Roman"/>
      <w:b/>
      <w:sz w:val="28"/>
      <w:szCs w:val="28"/>
    </w:rPr>
  </w:style>
  <w:style w:type="paragraph" w:customStyle="1" w:styleId="30">
    <w:name w:val="标准文字"/>
    <w:basedOn w:val="1"/>
    <w:link w:val="31"/>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31">
    <w:name w:val="标准文字 Char"/>
    <w:link w:val="30"/>
    <w:locked/>
    <w:uiPriority w:val="0"/>
    <w:rPr>
      <w:rFonts w:ascii="Times New Roman" w:hAnsi="Times New Roman" w:eastAsia="仿宋_GB2312" w:cs="Times New Roman"/>
      <w:sz w:val="30"/>
      <w:szCs w:val="30"/>
    </w:rPr>
  </w:style>
  <w:style w:type="character" w:customStyle="1" w:styleId="32">
    <w:name w:val="页眉 Char"/>
    <w:basedOn w:val="18"/>
    <w:link w:val="12"/>
    <w:uiPriority w:val="99"/>
    <w:rPr>
      <w:sz w:val="18"/>
      <w:szCs w:val="18"/>
    </w:rPr>
  </w:style>
  <w:style w:type="character" w:customStyle="1" w:styleId="33">
    <w:name w:val="页脚 Char"/>
    <w:basedOn w:val="18"/>
    <w:link w:val="11"/>
    <w:uiPriority w:val="99"/>
    <w:rPr>
      <w:sz w:val="18"/>
      <w:szCs w:val="18"/>
    </w:rPr>
  </w:style>
  <w:style w:type="character" w:customStyle="1" w:styleId="34">
    <w:name w:val="批注框文本 Char"/>
    <w:basedOn w:val="18"/>
    <w:link w:val="10"/>
    <w:semiHidden/>
    <w:uiPriority w:val="99"/>
    <w:rPr>
      <w:sz w:val="18"/>
      <w:szCs w:val="18"/>
    </w:rPr>
  </w:style>
  <w:style w:type="character" w:customStyle="1" w:styleId="35">
    <w:name w:val="标题 Char"/>
    <w:basedOn w:val="18"/>
    <w:link w:val="17"/>
    <w:qFormat/>
    <w:uiPriority w:val="10"/>
    <w:rPr>
      <w:rFonts w:eastAsia="宋体" w:asciiTheme="majorHAnsi" w:hAnsiTheme="majorHAnsi" w:cstheme="majorBidi"/>
      <w:b/>
      <w:bCs/>
      <w:sz w:val="32"/>
      <w:szCs w:val="32"/>
    </w:rPr>
  </w:style>
  <w:style w:type="paragraph" w:customStyle="1" w:styleId="36">
    <w:name w:val="Char8"/>
    <w:basedOn w:val="1"/>
    <w:uiPriority w:val="0"/>
    <w:pPr>
      <w:tabs>
        <w:tab w:val="left" w:pos="840"/>
      </w:tabs>
      <w:ind w:left="840" w:hanging="420"/>
    </w:pPr>
    <w:rPr>
      <w:rFonts w:ascii="Times New Roman" w:hAnsi="Times New Roman" w:eastAsia="宋体" w:cs="Times New Roman"/>
      <w:sz w:val="28"/>
      <w:szCs w:val="20"/>
    </w:rPr>
  </w:style>
  <w:style w:type="paragraph" w:customStyle="1" w:styleId="37">
    <w:name w:val="页脚1"/>
    <w:basedOn w:val="1"/>
    <w:uiPriority w:val="0"/>
    <w:pPr>
      <w:tabs>
        <w:tab w:val="center" w:pos="4153"/>
        <w:tab w:val="right" w:pos="8306"/>
      </w:tabs>
      <w:snapToGrid w:val="0"/>
      <w:jc w:val="left"/>
    </w:pPr>
    <w:rPr>
      <w:rFonts w:ascii="Calibri" w:hAnsi="Calibri" w:eastAsia="宋体" w:cs="Times New Roman"/>
      <w:sz w:val="18"/>
      <w:szCs w:val="20"/>
    </w:rPr>
  </w:style>
  <w:style w:type="character" w:customStyle="1" w:styleId="38">
    <w:name w:val="占位符文本1"/>
    <w:basedOn w:val="18"/>
    <w:semiHidden/>
    <w:uiPriority w:val="99"/>
    <w:rPr>
      <w:color w:val="808080"/>
    </w:rPr>
  </w:style>
  <w:style w:type="paragraph" w:customStyle="1" w:styleId="39">
    <w:name w:val="TOC 标题1"/>
    <w:basedOn w:val="2"/>
    <w:next w:val="1"/>
    <w:unhideWhenUsed/>
    <w:qFormat/>
    <w:uiPriority w:val="39"/>
    <w:pPr>
      <w:keepNext/>
      <w:keepLines/>
      <w:widowControl/>
      <w:numPr>
        <w:numId w:val="0"/>
      </w:numPr>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40">
    <w:name w:val="批注文字 Char"/>
    <w:basedOn w:val="18"/>
    <w:link w:val="7"/>
    <w:semiHidden/>
    <w:qFormat/>
    <w:uiPriority w:val="99"/>
  </w:style>
  <w:style w:type="character" w:customStyle="1" w:styleId="41">
    <w:name w:val="批注主题 Char"/>
    <w:basedOn w:val="40"/>
    <w:link w:val="6"/>
    <w:semiHidden/>
    <w:qFormat/>
    <w:uiPriority w:val="99"/>
    <w:rPr>
      <w:b/>
      <w:bCs/>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3">
    <w:name w:val="脚注文本 Char"/>
    <w:basedOn w:val="18"/>
    <w:link w:val="14"/>
    <w:semiHidden/>
    <w:qFormat/>
    <w:uiPriority w:val="99"/>
    <w:rPr>
      <w:sz w:val="18"/>
      <w:szCs w:val="18"/>
    </w:rPr>
  </w:style>
  <w:style w:type="character" w:customStyle="1" w:styleId="44">
    <w:name w:val="文档结构图 Char"/>
    <w:basedOn w:val="18"/>
    <w:link w:val="8"/>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B79E2-4814-4F79-B4CC-DD0F13E538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2554</Words>
  <Characters>14559</Characters>
  <Lines>121</Lines>
  <Paragraphs>34</Paragraphs>
  <TotalTime>0</TotalTime>
  <ScaleCrop>false</ScaleCrop>
  <LinksUpToDate>false</LinksUpToDate>
  <CharactersWithSpaces>17079</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2016-12-23T01:02:00Z</dcterms:created>
  <dc:creator>Administrator</dc:creator>
  <cp:lastModifiedBy>dell</cp:lastModifiedBy>
  <cp:lastPrinted>2016-12-22T13:37:00Z</cp:lastPrinted>
  <dcterms:modified xsi:type="dcterms:W3CDTF">2016-12-26T08:13:28Z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