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Times New Roman" w:cs="Times New Roman"/>
          <w:b/>
          <w:bCs/>
          <w:snapToGrid w:val="0"/>
          <w:color w:val="000000" w:themeColor="text1"/>
          <w:spacing w:val="0"/>
          <w:w w:val="100"/>
          <w:kern w:val="18"/>
          <w:position w:val="0"/>
          <w:sz w:val="44"/>
          <w:szCs w:val="44"/>
          <w:lang w:val="zh-CN" w:eastAsia="zh-CN" w:bidi="ar-SA"/>
          <w14:textFill>
            <w14:solidFill>
              <w14:schemeClr w14:val="tx1"/>
            </w14:solidFill>
          </w14:textFill>
        </w:rPr>
      </w:pPr>
    </w:p>
    <w:p>
      <w:pPr>
        <w:rPr>
          <w:rFonts w:hint="eastAsia" w:ascii="Times New Roman" w:hAnsi="Times New Roman" w:eastAsia="Times New Roman" w:cs="Times New Roman"/>
          <w:b/>
          <w:bCs/>
          <w:snapToGrid w:val="0"/>
          <w:color w:val="000000" w:themeColor="text1"/>
          <w:spacing w:val="0"/>
          <w:w w:val="100"/>
          <w:kern w:val="18"/>
          <w:position w:val="0"/>
          <w:sz w:val="44"/>
          <w:szCs w:val="44"/>
          <w:lang w:val="zh-CN" w:eastAsia="zh-CN" w:bidi="ar-SA"/>
          <w14:textFill>
            <w14:solidFill>
              <w14:schemeClr w14:val="tx1"/>
            </w14:solidFill>
          </w14:textFill>
        </w:rPr>
      </w:pPr>
    </w:p>
    <w:p>
      <w:pPr>
        <w:shd w:val="clear" w:color="auto" w:fill="auto"/>
        <w:spacing w:line="480" w:lineRule="auto"/>
        <w:jc w:val="center"/>
        <w:rPr>
          <w:rFonts w:hint="default" w:ascii="Times New Roman" w:hAnsi="Times New Roman" w:eastAsia="楷体_GB2312" w:cs="Times New Roman"/>
          <w:b/>
          <w:bCs/>
          <w:color w:val="000000" w:themeColor="text1"/>
          <w:spacing w:val="20"/>
          <w:sz w:val="44"/>
          <w:szCs w:val="44"/>
          <w14:textFill>
            <w14:solidFill>
              <w14:schemeClr w14:val="tx1"/>
            </w14:solidFill>
          </w14:textFill>
        </w:rPr>
      </w:pPr>
      <w:r>
        <w:rPr>
          <w:rFonts w:hint="default" w:ascii="Times New Roman" w:hAnsi="Times New Roman" w:eastAsia="楷体_GB2312" w:cs="Times New Roman"/>
          <w:b/>
          <w:bCs/>
          <w:color w:val="000000" w:themeColor="text1"/>
          <w:spacing w:val="20"/>
          <w:sz w:val="44"/>
          <w:szCs w:val="44"/>
          <w:lang w:val="zh-CN" w:eastAsia="zh-CN"/>
          <w14:textFill>
            <w14:solidFill>
              <w14:schemeClr w14:val="tx1"/>
            </w14:solidFill>
          </w14:textFill>
        </w:rPr>
        <w:t>克拉玛依高新技术产业开发区热动力中心</w:t>
      </w:r>
      <w:r>
        <w:rPr>
          <w:rFonts w:hint="default" w:ascii="Times New Roman" w:hAnsi="Times New Roman" w:eastAsia="楷体_GB2312" w:cs="Times New Roman"/>
          <w:b/>
          <w:bCs/>
          <w:color w:val="000000" w:themeColor="text1"/>
          <w:spacing w:val="20"/>
          <w:sz w:val="44"/>
          <w:szCs w:val="44"/>
          <w:lang w:val="en-US" w:eastAsia="zh-CN"/>
          <w14:textFill>
            <w14:solidFill>
              <w14:schemeClr w14:val="tx1"/>
            </w14:solidFill>
          </w14:textFill>
        </w:rPr>
        <w:t>2×2.5万千瓦背压机组发电项目</w:t>
      </w:r>
    </w:p>
    <w:p>
      <w:pPr>
        <w:spacing w:line="480" w:lineRule="auto"/>
        <w:jc w:val="center"/>
        <w:rPr>
          <w:rFonts w:hint="eastAsia" w:ascii="楷体_GB2312" w:hAnsi="宋体" w:eastAsia="楷体_GB2312"/>
          <w:b w:val="0"/>
          <w:color w:val="000000" w:themeColor="text1"/>
          <w:spacing w:val="20"/>
          <w:sz w:val="32"/>
          <w:szCs w:val="32"/>
          <w14:textFill>
            <w14:solidFill>
              <w14:schemeClr w14:val="tx1"/>
            </w14:solidFill>
          </w14:textFill>
        </w:rPr>
      </w:pPr>
      <w:r>
        <w:rPr>
          <w:rFonts w:hint="eastAsia" w:ascii="楷体_GB2312" w:hAnsi="宋体" w:eastAsia="楷体_GB2312"/>
          <w:b w:val="0"/>
          <w:color w:val="000000" w:themeColor="text1"/>
          <w:spacing w:val="20"/>
          <w:sz w:val="32"/>
          <w:szCs w:val="32"/>
          <w14:textFill>
            <w14:solidFill>
              <w14:schemeClr w14:val="tx1"/>
            </w14:solidFill>
          </w14:textFill>
        </w:rPr>
        <w:t>环境影响报告书</w:t>
      </w:r>
    </w:p>
    <w:p>
      <w:pPr>
        <w:spacing w:line="240" w:lineRule="auto"/>
        <w:jc w:val="center"/>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（送审稿）</w:t>
      </w:r>
    </w:p>
    <w:p>
      <w:pPr>
        <w:spacing w:line="240" w:lineRule="auto"/>
        <w:jc w:val="center"/>
        <w:rPr>
          <w:rFonts w:hint="eastAsia" w:ascii="宋体" w:hAnsi="宋体"/>
          <w:color w:val="000000" w:themeColor="text1"/>
          <w:sz w:val="28"/>
          <w:szCs w:val="28"/>
          <w14:textFill>
            <w14:solidFill>
              <w14:schemeClr w14:val="tx1"/>
            </w14:solidFill>
          </w14:textFill>
        </w:rPr>
      </w:pPr>
    </w:p>
    <w:p>
      <w:pPr>
        <w:jc w:val="center"/>
        <w:rPr>
          <w:rFonts w:hint="eastAsia" w:ascii="宋体" w:hAnsi="宋体"/>
          <w:color w:val="000000" w:themeColor="text1"/>
          <w:sz w:val="24"/>
          <w:szCs w:val="24"/>
          <w14:textFill>
            <w14:solidFill>
              <w14:schemeClr w14:val="tx1"/>
            </w14:solidFill>
          </w14:textFill>
        </w:rPr>
      </w:pPr>
    </w:p>
    <w:p>
      <w:pPr>
        <w:spacing w:line="240" w:lineRule="auto"/>
        <w:ind w:firstLine="1800" w:firstLineChars="600"/>
        <w:rPr>
          <w:rFonts w:hint="eastAsia" w:ascii="宋体" w:hAnsi="宋体"/>
          <w:b w:val="0"/>
          <w:bCs w:val="0"/>
          <w:color w:val="000000" w:themeColor="text1"/>
          <w:sz w:val="30"/>
          <w:szCs w:val="30"/>
          <w14:textFill>
            <w14:solidFill>
              <w14:schemeClr w14:val="tx1"/>
            </w14:solidFill>
          </w14:textFill>
        </w:rPr>
      </w:pPr>
    </w:p>
    <w:p>
      <w:pPr>
        <w:pStyle w:val="2"/>
        <w:rPr>
          <w:rFonts w:hint="eastAsia" w:ascii="宋体" w:hAnsi="宋体"/>
          <w:b w:val="0"/>
          <w:bCs w:val="0"/>
          <w:color w:val="000000" w:themeColor="text1"/>
          <w:sz w:val="30"/>
          <w:szCs w:val="30"/>
          <w14:textFill>
            <w14:solidFill>
              <w14:schemeClr w14:val="tx1"/>
            </w14:solidFill>
          </w14:textFill>
        </w:rPr>
      </w:pPr>
    </w:p>
    <w:p>
      <w:pPr>
        <w:pStyle w:val="2"/>
        <w:rPr>
          <w:rFonts w:hint="eastAsia" w:ascii="宋体" w:hAnsi="宋体"/>
          <w:b w:val="0"/>
          <w:bCs w:val="0"/>
          <w:color w:val="000000" w:themeColor="text1"/>
          <w:sz w:val="30"/>
          <w:szCs w:val="30"/>
          <w14:textFill>
            <w14:solidFill>
              <w14:schemeClr w14:val="tx1"/>
            </w14:solidFill>
          </w14:textFill>
        </w:rPr>
      </w:pPr>
    </w:p>
    <w:p>
      <w:pPr>
        <w:pStyle w:val="2"/>
        <w:rPr>
          <w:rFonts w:hint="eastAsia" w:ascii="宋体" w:hAnsi="宋体"/>
          <w:b w:val="0"/>
          <w:bCs w:val="0"/>
          <w:color w:val="000000" w:themeColor="text1"/>
          <w:sz w:val="30"/>
          <w:szCs w:val="30"/>
          <w14:textFill>
            <w14:solidFill>
              <w14:schemeClr w14:val="tx1"/>
            </w14:solidFill>
          </w14:textFill>
        </w:rPr>
      </w:pPr>
    </w:p>
    <w:p>
      <w:pPr>
        <w:pStyle w:val="2"/>
        <w:rPr>
          <w:rFonts w:hint="eastAsia" w:ascii="宋体" w:hAnsi="宋体"/>
          <w:b w:val="0"/>
          <w:bCs w:val="0"/>
          <w:color w:val="000000" w:themeColor="text1"/>
          <w:sz w:val="30"/>
          <w:szCs w:val="30"/>
          <w14:textFill>
            <w14:solidFill>
              <w14:schemeClr w14:val="tx1"/>
            </w14:solidFill>
          </w14:textFill>
        </w:rPr>
      </w:pPr>
    </w:p>
    <w:p>
      <w:pPr>
        <w:spacing w:line="240" w:lineRule="auto"/>
        <w:ind w:firstLine="1800" w:firstLineChars="600"/>
        <w:rPr>
          <w:rFonts w:hint="eastAsia" w:ascii="宋体" w:hAnsi="宋体"/>
          <w:b w:val="0"/>
          <w:bCs w:val="0"/>
          <w:color w:val="000000" w:themeColor="text1"/>
          <w:sz w:val="30"/>
          <w:szCs w:val="30"/>
          <w14:textFill>
            <w14:solidFill>
              <w14:schemeClr w14:val="tx1"/>
            </w14:solidFill>
          </w14:textFill>
        </w:rPr>
      </w:pPr>
    </w:p>
    <w:p>
      <w:pPr>
        <w:shd w:val="clear" w:color="auto" w:fill="auto"/>
        <w:spacing w:line="480" w:lineRule="auto"/>
        <w:jc w:val="center"/>
        <w:rPr>
          <w:rFonts w:hint="default" w:ascii="Times New Roman" w:hAnsi="Times New Roman" w:eastAsia="楷体_GB2312" w:cs="Times New Roman"/>
          <w:b w:val="0"/>
          <w:color w:val="000000" w:themeColor="text1"/>
          <w:spacing w:val="20"/>
          <w:sz w:val="32"/>
          <w:szCs w:val="32"/>
          <w14:textFill>
            <w14:solidFill>
              <w14:schemeClr w14:val="tx1"/>
            </w14:solidFill>
          </w14:textFill>
        </w:rPr>
      </w:pPr>
      <w:r>
        <w:rPr>
          <w:rFonts w:hint="default" w:ascii="Times New Roman" w:hAnsi="Times New Roman" w:eastAsia="楷体_GB2312" w:cs="Times New Roman"/>
          <w:b w:val="0"/>
          <w:color w:val="000000" w:themeColor="text1"/>
          <w:spacing w:val="20"/>
          <w:sz w:val="32"/>
          <w:szCs w:val="32"/>
          <w14:textFill>
            <w14:solidFill>
              <w14:schemeClr w14:val="tx1"/>
            </w14:solidFill>
          </w14:textFill>
        </w:rPr>
        <w:t>建设单位：</w:t>
      </w:r>
      <w:r>
        <w:rPr>
          <w:rFonts w:hint="eastAsia" w:ascii="Times New Roman" w:hAnsi="Times New Roman" w:eastAsia="楷体_GB2312" w:cs="Times New Roman"/>
          <w:b w:val="0"/>
          <w:color w:val="000000" w:themeColor="text1"/>
          <w:spacing w:val="20"/>
          <w:sz w:val="32"/>
          <w:szCs w:val="32"/>
          <w14:textFill>
            <w14:solidFill>
              <w14:schemeClr w14:val="tx1"/>
            </w14:solidFill>
          </w14:textFill>
        </w:rPr>
        <w:t>新疆正恒清洁能源有限公司</w:t>
      </w:r>
    </w:p>
    <w:p>
      <w:pPr>
        <w:shd w:val="clear" w:color="auto" w:fill="auto"/>
        <w:spacing w:line="480" w:lineRule="auto"/>
        <w:jc w:val="center"/>
        <w:rPr>
          <w:rFonts w:hint="default" w:ascii="Times New Roman" w:hAnsi="Times New Roman" w:eastAsia="楷体_GB2312" w:cs="Times New Roman"/>
          <w:b w:val="0"/>
          <w:color w:val="000000" w:themeColor="text1"/>
          <w:spacing w:val="20"/>
          <w:sz w:val="32"/>
          <w:szCs w:val="32"/>
          <w:lang w:val="en-US" w:eastAsia="zh-CN"/>
          <w14:textFill>
            <w14:solidFill>
              <w14:schemeClr w14:val="tx1"/>
            </w14:solidFill>
          </w14:textFill>
        </w:rPr>
      </w:pPr>
      <w:r>
        <w:rPr>
          <w:rFonts w:hint="default" w:ascii="Times New Roman" w:hAnsi="Times New Roman" w:eastAsia="楷体_GB2312" w:cs="Times New Roman"/>
          <w:b w:val="0"/>
          <w:color w:val="000000" w:themeColor="text1"/>
          <w:spacing w:val="20"/>
          <w:sz w:val="32"/>
          <w:szCs w:val="32"/>
          <w14:textFill>
            <w14:solidFill>
              <w14:schemeClr w14:val="tx1"/>
            </w14:solidFill>
          </w14:textFill>
        </w:rPr>
        <w:t xml:space="preserve"> </w:t>
      </w:r>
      <w:r>
        <w:rPr>
          <w:rFonts w:hint="default" w:ascii="Times New Roman" w:hAnsi="Times New Roman" w:eastAsia="楷体_GB2312" w:cs="Times New Roman"/>
          <w:b w:val="0"/>
          <w:color w:val="000000" w:themeColor="text1"/>
          <w:spacing w:val="20"/>
          <w:sz w:val="32"/>
          <w:szCs w:val="32"/>
          <w:lang w:eastAsia="zh-CN"/>
          <w14:textFill>
            <w14:solidFill>
              <w14:schemeClr w14:val="tx1"/>
            </w14:solidFill>
          </w14:textFill>
        </w:rPr>
        <w:t>编制日期：</w:t>
      </w:r>
      <w:r>
        <w:rPr>
          <w:rFonts w:hint="default" w:ascii="Times New Roman" w:hAnsi="Times New Roman" w:eastAsia="楷体_GB2312" w:cs="Times New Roman"/>
          <w:b w:val="0"/>
          <w:color w:val="000000" w:themeColor="text1"/>
          <w:spacing w:val="20"/>
          <w:sz w:val="32"/>
          <w:szCs w:val="32"/>
          <w:lang w:val="en-US" w:eastAsia="zh-CN"/>
          <w14:textFill>
            <w14:solidFill>
              <w14:schemeClr w14:val="tx1"/>
            </w14:solidFill>
          </w14:textFill>
        </w:rPr>
        <w:t>2019年7月</w:t>
      </w:r>
    </w:p>
    <w:p>
      <w:pPr>
        <w:rPr>
          <w:rFonts w:hint="eastAsia" w:ascii="Times New Roman" w:hAnsi="Times New Roman" w:eastAsia="Times New Roman" w:cs="Times New Roman"/>
          <w:b/>
          <w:bCs/>
          <w:snapToGrid w:val="0"/>
          <w:color w:val="000000" w:themeColor="text1"/>
          <w:spacing w:val="0"/>
          <w:w w:val="100"/>
          <w:kern w:val="18"/>
          <w:position w:val="0"/>
          <w:sz w:val="44"/>
          <w:szCs w:val="44"/>
          <w:lang w:val="zh-CN" w:eastAsia="zh-CN" w:bidi="ar-SA"/>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Times New Roman" w:cs="Times New Roman"/>
          <w:b/>
          <w:bCs/>
          <w:snapToGrid w:val="0"/>
          <w:color w:val="000000" w:themeColor="text1"/>
          <w:spacing w:val="0"/>
          <w:w w:val="100"/>
          <w:kern w:val="18"/>
          <w:position w:val="0"/>
          <w:sz w:val="44"/>
          <w:szCs w:val="44"/>
          <w:lang w:val="zh-CN" w:eastAsia="zh-CN" w:bidi="ar-SA"/>
          <w14:textFill>
            <w14:solidFill>
              <w14:schemeClr w14:val="tx1"/>
            </w14:solidFill>
          </w14:textFill>
        </w:rPr>
        <w:br w:type="page"/>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000000" w:themeColor="text1"/>
          <w:lang w:val="zh-CN"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000000" w:themeColor="text1"/>
          <w:sz w:val="44"/>
          <w:szCs w:val="44"/>
          <w:lang w:val="zh-CN" w:eastAsia="zh-CN"/>
          <w14:textFill>
            <w14:solidFill>
              <w14:schemeClr w14:val="tx1"/>
            </w14:solidFill>
          </w14:textFill>
        </w:rPr>
      </w:pPr>
      <w:r>
        <w:rPr>
          <w:rFonts w:hint="eastAsia"/>
          <w:b/>
          <w:bCs/>
          <w:color w:val="000000" w:themeColor="text1"/>
          <w:sz w:val="44"/>
          <w:szCs w:val="44"/>
          <w:lang w:val="zh-CN" w:eastAsia="zh-CN"/>
          <w14:textFill>
            <w14:solidFill>
              <w14:schemeClr w14:val="tx1"/>
            </w14:solidFill>
          </w14:textFill>
        </w:rPr>
        <w:t>目录</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TOC \o "1-2" \h \u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_Toc14290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Times New Roman" w:cs="Times New Roman"/>
          <w:bCs/>
          <w:snapToGrid w:val="0"/>
          <w:color w:val="000000" w:themeColor="text1"/>
          <w:spacing w:val="0"/>
          <w:w w:val="100"/>
          <w:kern w:val="18"/>
          <w:position w:val="0"/>
          <w:szCs w:val="44"/>
          <w:lang w:val="en-US" w:eastAsia="zh-CN" w:bidi="ar-SA"/>
          <w14:textFill>
            <w14:solidFill>
              <w14:schemeClr w14:val="tx1"/>
            </w14:solidFill>
          </w14:textFill>
        </w:rPr>
        <w:t>1</w:t>
      </w:r>
      <w:r>
        <w:rPr>
          <w:rFonts w:hint="default" w:ascii="Times New Roman" w:hAnsi="Times New Roman" w:eastAsia="Times New Roman" w:cs="Times New Roman"/>
          <w:bCs/>
          <w:snapToGrid w:val="0"/>
          <w:color w:val="000000" w:themeColor="text1"/>
          <w:spacing w:val="0"/>
          <w:w w:val="100"/>
          <w:kern w:val="18"/>
          <w:position w:val="0"/>
          <w:szCs w:val="44"/>
          <w:lang w:val="zh-CN" w:eastAsia="zh-CN" w:bidi="ar-SA"/>
          <w14:textFill>
            <w14:solidFill>
              <w14:schemeClr w14:val="tx1"/>
            </w14:solidFill>
          </w14:textFill>
        </w:rPr>
        <w:t>总则</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_Toc14290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_Toc15920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Times New Roman" w:cs="Times New Roman"/>
          <w:bCs/>
          <w:snapToGrid w:val="0"/>
          <w:color w:val="000000" w:themeColor="text1"/>
          <w:spacing w:val="0"/>
          <w:w w:val="100"/>
          <w:kern w:val="18"/>
          <w:position w:val="0"/>
          <w:szCs w:val="32"/>
          <w:lang w:val="en-US" w:eastAsia="en-US" w:bidi="ar-SA"/>
          <w14:textFill>
            <w14:solidFill>
              <w14:schemeClr w14:val="tx1"/>
            </w14:solidFill>
          </w14:textFill>
        </w:rPr>
        <w:t>1.1</w:t>
      </w:r>
      <w:r>
        <w:rPr>
          <w:rFonts w:hint="default" w:ascii="Times New Roman" w:hAnsi="Times New Roman" w:eastAsia="Times New Roman" w:cs="Times New Roman"/>
          <w:bCs/>
          <w:snapToGrid w:val="0"/>
          <w:color w:val="000000" w:themeColor="text1"/>
          <w:spacing w:val="0"/>
          <w:w w:val="100"/>
          <w:kern w:val="18"/>
          <w:position w:val="0"/>
          <w:szCs w:val="32"/>
          <w:lang w:val="zh-CN" w:eastAsia="zh-CN" w:bidi="ar-SA"/>
          <w14:textFill>
            <w14:solidFill>
              <w14:schemeClr w14:val="tx1"/>
            </w14:solidFill>
          </w14:textFill>
        </w:rPr>
        <w:t>评价依据</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_Toc15920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_Toc25911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pacing w:val="0"/>
          <w:w w:val="100"/>
          <w:kern w:val="18"/>
          <w:position w:val="0"/>
          <w:szCs w:val="32"/>
          <w:lang w:val="en-US" w:eastAsia="zh-CN" w:bidi="ar-SA"/>
          <w14:textFill>
            <w14:solidFill>
              <w14:schemeClr w14:val="tx1"/>
            </w14:solidFill>
          </w14:textFill>
        </w:rPr>
        <w:t>1.2评价目的</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_Toc25911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_Toc9517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Times New Roman" w:cs="Times New Roman"/>
          <w:bCs/>
          <w:snapToGrid w:val="0"/>
          <w:color w:val="000000" w:themeColor="text1"/>
          <w:spacing w:val="0"/>
          <w:w w:val="100"/>
          <w:kern w:val="18"/>
          <w:position w:val="0"/>
          <w:szCs w:val="32"/>
          <w:lang w:val="en-US" w:eastAsia="zh-CN" w:bidi="ar-SA"/>
          <w14:textFill>
            <w14:solidFill>
              <w14:schemeClr w14:val="tx1"/>
            </w14:solidFill>
          </w14:textFill>
        </w:rPr>
        <w:t>1.3</w:t>
      </w:r>
      <w:r>
        <w:rPr>
          <w:rFonts w:hint="default" w:ascii="Times New Roman" w:hAnsi="Times New Roman" w:eastAsia="Times New Roman" w:cs="Times New Roman"/>
          <w:bCs/>
          <w:snapToGrid w:val="0"/>
          <w:color w:val="000000" w:themeColor="text1"/>
          <w:spacing w:val="0"/>
          <w:w w:val="100"/>
          <w:kern w:val="18"/>
          <w:position w:val="0"/>
          <w:szCs w:val="32"/>
          <w:lang w:val="zh-CN" w:eastAsia="zh-CN" w:bidi="ar-SA"/>
          <w14:textFill>
            <w14:solidFill>
              <w14:schemeClr w14:val="tx1"/>
            </w14:solidFill>
          </w14:textFill>
        </w:rPr>
        <w:t>评价原则</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_Toc9517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_Toc23517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Times New Roman" w:cs="Times New Roman"/>
          <w:bCs/>
          <w:snapToGrid w:val="0"/>
          <w:color w:val="000000" w:themeColor="text1"/>
          <w:spacing w:val="0"/>
          <w:w w:val="100"/>
          <w:kern w:val="18"/>
          <w:position w:val="0"/>
          <w:szCs w:val="32"/>
          <w:lang w:val="en-US" w:eastAsia="zh-CN" w:bidi="ar-SA"/>
          <w14:textFill>
            <w14:solidFill>
              <w14:schemeClr w14:val="tx1"/>
            </w14:solidFill>
          </w14:textFill>
        </w:rPr>
        <w:t>1.4</w:t>
      </w:r>
      <w:r>
        <w:rPr>
          <w:rFonts w:hint="default" w:ascii="Times New Roman" w:hAnsi="Times New Roman" w:eastAsia="Times New Roman" w:cs="Times New Roman"/>
          <w:bCs/>
          <w:snapToGrid w:val="0"/>
          <w:color w:val="000000" w:themeColor="text1"/>
          <w:spacing w:val="0"/>
          <w:w w:val="100"/>
          <w:kern w:val="18"/>
          <w:position w:val="0"/>
          <w:szCs w:val="32"/>
          <w:lang w:val="zh-CN" w:eastAsia="zh-CN" w:bidi="ar-SA"/>
          <w14:textFill>
            <w14:solidFill>
              <w14:schemeClr w14:val="tx1"/>
            </w14:solidFill>
          </w14:textFill>
        </w:rPr>
        <w:t>环境影响评价因子识别与筛选</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_Toc23517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_Toc24349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Times New Roman" w:cs="Times New Roman"/>
          <w:color w:val="000000" w:themeColor="text1"/>
          <w:szCs w:val="32"/>
          <w:lang w:val="en-US" w:eastAsia="zh-CN"/>
          <w14:textFill>
            <w14:solidFill>
              <w14:schemeClr w14:val="tx1"/>
            </w14:solidFill>
          </w14:textFill>
        </w:rPr>
        <w:t>1.5</w:t>
      </w:r>
      <w:r>
        <w:rPr>
          <w:rFonts w:hint="default" w:ascii="Times New Roman" w:hAnsi="Times New Roman" w:eastAsia="Times New Roman" w:cs="Times New Roman"/>
          <w:color w:val="000000" w:themeColor="text1"/>
          <w:szCs w:val="32"/>
          <w14:textFill>
            <w14:solidFill>
              <w14:schemeClr w14:val="tx1"/>
            </w14:solidFill>
          </w14:textFill>
        </w:rPr>
        <w:t>环境质量功能区划及评价标准</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_Toc24349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_Toc23712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Times New Roman" w:cs="Times New Roman"/>
          <w:bCs/>
          <w:snapToGrid w:val="0"/>
          <w:color w:val="000000" w:themeColor="text1"/>
          <w:spacing w:val="0"/>
          <w:w w:val="100"/>
          <w:kern w:val="18"/>
          <w:position w:val="0"/>
          <w:szCs w:val="32"/>
          <w:lang w:val="en-US" w:eastAsia="en-US" w:bidi="ar-SA"/>
          <w14:textFill>
            <w14:solidFill>
              <w14:schemeClr w14:val="tx1"/>
            </w14:solidFill>
          </w14:textFill>
        </w:rPr>
        <w:t>1.</w:t>
      </w:r>
      <w:r>
        <w:rPr>
          <w:rFonts w:hint="default" w:ascii="Times New Roman" w:hAnsi="Times New Roman" w:eastAsia="宋体" w:cs="Times New Roman"/>
          <w:bCs/>
          <w:snapToGrid w:val="0"/>
          <w:color w:val="000000" w:themeColor="text1"/>
          <w:spacing w:val="0"/>
          <w:w w:val="100"/>
          <w:kern w:val="18"/>
          <w:position w:val="0"/>
          <w:szCs w:val="32"/>
          <w:lang w:val="en-US" w:eastAsia="zh-CN" w:bidi="ar-SA"/>
          <w14:textFill>
            <w14:solidFill>
              <w14:schemeClr w14:val="tx1"/>
            </w14:solidFill>
          </w14:textFill>
        </w:rPr>
        <w:t>6</w:t>
      </w:r>
      <w:r>
        <w:rPr>
          <w:rFonts w:hint="default" w:ascii="Times New Roman" w:hAnsi="Times New Roman" w:eastAsia="Times New Roman" w:cs="Times New Roman"/>
          <w:bCs/>
          <w:snapToGrid w:val="0"/>
          <w:color w:val="000000" w:themeColor="text1"/>
          <w:spacing w:val="0"/>
          <w:w w:val="100"/>
          <w:kern w:val="18"/>
          <w:position w:val="0"/>
          <w:szCs w:val="32"/>
          <w:lang w:val="zh-CN" w:eastAsia="zh-CN" w:bidi="ar-SA"/>
          <w14:textFill>
            <w14:solidFill>
              <w14:schemeClr w14:val="tx1"/>
            </w14:solidFill>
          </w14:textFill>
        </w:rPr>
        <w:t>评价工作等级及评价范围</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_Toc23712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_Toc23384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szCs w:val="32"/>
          <w:lang w:val="en-US" w:eastAsia="zh-CN"/>
          <w14:textFill>
            <w14:solidFill>
              <w14:schemeClr w14:val="tx1"/>
            </w14:solidFill>
          </w14:textFill>
        </w:rPr>
        <w:t>1.7</w:t>
      </w:r>
      <w:r>
        <w:rPr>
          <w:rFonts w:hint="default" w:ascii="Times New Roman" w:hAnsi="Times New Roman" w:cs="Times New Roman"/>
          <w:color w:val="000000" w:themeColor="text1"/>
          <w:szCs w:val="32"/>
          <w14:textFill>
            <w14:solidFill>
              <w14:schemeClr w14:val="tx1"/>
            </w14:solidFill>
          </w14:textFill>
        </w:rPr>
        <w:t>环境</w:t>
      </w:r>
      <w:r>
        <w:rPr>
          <w:rFonts w:hint="default" w:ascii="Times New Roman" w:hAnsi="Times New Roman" w:cs="Times New Roman"/>
          <w:color w:val="000000" w:themeColor="text1"/>
          <w:szCs w:val="32"/>
          <w:lang w:eastAsia="zh-CN"/>
          <w14:textFill>
            <w14:solidFill>
              <w14:schemeClr w14:val="tx1"/>
            </w14:solidFill>
          </w14:textFill>
        </w:rPr>
        <w:t>保护</w:t>
      </w:r>
      <w:r>
        <w:rPr>
          <w:rFonts w:hint="default" w:ascii="Times New Roman" w:hAnsi="Times New Roman" w:cs="Times New Roman"/>
          <w:color w:val="000000" w:themeColor="text1"/>
          <w:szCs w:val="32"/>
          <w14:textFill>
            <w14:solidFill>
              <w14:schemeClr w14:val="tx1"/>
            </w14:solidFill>
          </w14:textFill>
        </w:rPr>
        <w:t>目标</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_Toc23384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18</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_Toc9049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Times New Roman" w:cs="Times New Roman"/>
          <w:bCs/>
          <w:snapToGrid w:val="0"/>
          <w:color w:val="000000" w:themeColor="text1"/>
          <w:spacing w:val="0"/>
          <w:w w:val="100"/>
          <w:kern w:val="18"/>
          <w:position w:val="0"/>
          <w:szCs w:val="44"/>
          <w:lang w:val="en-US" w:eastAsia="zh-CN" w:bidi="ar-SA"/>
          <w14:textFill>
            <w14:solidFill>
              <w14:schemeClr w14:val="tx1"/>
            </w14:solidFill>
          </w14:textFill>
        </w:rPr>
        <w:t>2</w:t>
      </w:r>
      <w:r>
        <w:rPr>
          <w:rFonts w:hint="default" w:ascii="Times New Roman" w:hAnsi="Times New Roman" w:eastAsia="Times New Roman" w:cs="Times New Roman"/>
          <w:bCs/>
          <w:snapToGrid w:val="0"/>
          <w:color w:val="000000" w:themeColor="text1"/>
          <w:spacing w:val="0"/>
          <w:w w:val="100"/>
          <w:kern w:val="18"/>
          <w:position w:val="0"/>
          <w:szCs w:val="44"/>
          <w:lang w:val="zh-CN" w:eastAsia="zh-CN" w:bidi="ar-SA"/>
          <w14:textFill>
            <w14:solidFill>
              <w14:schemeClr w14:val="tx1"/>
            </w14:solidFill>
          </w14:textFill>
        </w:rPr>
        <w:t>建设项目概况与工程分析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_Toc9049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_Toc16646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szCs w:val="32"/>
          <w:lang w:val="en-US" w:eastAsia="en-US"/>
          <w14:textFill>
            <w14:solidFill>
              <w14:schemeClr w14:val="tx1"/>
            </w14:solidFill>
          </w14:textFill>
        </w:rPr>
        <w:t>2.1</w:t>
      </w:r>
      <w:r>
        <w:rPr>
          <w:rFonts w:hint="default" w:ascii="Times New Roman" w:hAnsi="Times New Roman" w:cs="Times New Roman"/>
          <w:color w:val="000000" w:themeColor="text1"/>
          <w:szCs w:val="32"/>
          <w:lang w:val="zh-CN" w:eastAsia="zh-CN"/>
          <w14:textFill>
            <w14:solidFill>
              <w14:schemeClr w14:val="tx1"/>
            </w14:solidFill>
          </w14:textFill>
        </w:rPr>
        <w:t>工程概况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_Toc16646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_Toc98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2.2</w:t>
      </w:r>
      <w:r>
        <w:rPr>
          <w:rFonts w:hint="default" w:ascii="Times New Roman" w:hAnsi="Times New Roman" w:eastAsia="宋体" w:cs="Times New Roman"/>
          <w:bCs/>
          <w:color w:val="000000" w:themeColor="text1"/>
          <w:spacing w:val="0"/>
          <w:w w:val="100"/>
          <w:position w:val="0"/>
          <w:szCs w:val="32"/>
          <w:lang w:val="zh-CN" w:eastAsia="zh-CN" w:bidi="zh-CN"/>
          <w14:textFill>
            <w14:solidFill>
              <w14:schemeClr w14:val="tx1"/>
            </w14:solidFill>
          </w14:textFill>
        </w:rPr>
        <w:t>工程主要工艺与设备概况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_Toc98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_Toc19674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2.3</w:t>
      </w:r>
      <w:r>
        <w:rPr>
          <w:rFonts w:hint="default" w:ascii="Times New Roman" w:hAnsi="Times New Roman" w:eastAsia="宋体" w:cs="Times New Roman"/>
          <w:bCs/>
          <w:color w:val="000000" w:themeColor="text1"/>
          <w:spacing w:val="0"/>
          <w:w w:val="100"/>
          <w:position w:val="0"/>
          <w:szCs w:val="32"/>
          <w:lang w:val="zh-CN" w:eastAsia="zh-CN" w:bidi="zh-CN"/>
          <w14:textFill>
            <w14:solidFill>
              <w14:schemeClr w14:val="tx1"/>
            </w14:solidFill>
          </w14:textFill>
        </w:rPr>
        <w:t>产污环节与污染物排放分析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_Toc19674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_Toc3258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2.4</w:t>
      </w:r>
      <w:r>
        <w:rPr>
          <w:rFonts w:hint="default" w:ascii="Times New Roman" w:hAnsi="Times New Roman" w:eastAsia="宋体" w:cs="Times New Roman"/>
          <w:bCs/>
          <w:color w:val="000000" w:themeColor="text1"/>
          <w:spacing w:val="0"/>
          <w:w w:val="100"/>
          <w:position w:val="0"/>
          <w:szCs w:val="32"/>
          <w:lang w:val="zh-CN" w:eastAsia="zh-CN" w:bidi="zh-CN"/>
          <w14:textFill>
            <w14:solidFill>
              <w14:schemeClr w14:val="tx1"/>
            </w14:solidFill>
          </w14:textFill>
        </w:rPr>
        <w:t>供热设计</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_Toc3258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_Toc20075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kern w:val="0"/>
          <w:position w:val="0"/>
          <w:szCs w:val="32"/>
          <w:lang w:val="en-US" w:eastAsia="zh-CN" w:bidi="zh-CN"/>
          <w14:textFill>
            <w14:solidFill>
              <w14:schemeClr w14:val="tx1"/>
            </w14:solidFill>
          </w14:textFill>
        </w:rPr>
        <w:t>2.5</w:t>
      </w:r>
      <w:r>
        <w:rPr>
          <w:rFonts w:hint="default" w:ascii="Times New Roman" w:hAnsi="Times New Roman" w:eastAsia="宋体" w:cs="Times New Roman"/>
          <w:bCs/>
          <w:color w:val="000000" w:themeColor="text1"/>
          <w:spacing w:val="0"/>
          <w:w w:val="100"/>
          <w:kern w:val="0"/>
          <w:position w:val="0"/>
          <w:szCs w:val="32"/>
          <w:lang w:val="en-US" w:eastAsia="en-US" w:bidi="zh-CN"/>
          <w14:textFill>
            <w14:solidFill>
              <w14:schemeClr w14:val="tx1"/>
            </w14:solidFill>
          </w14:textFill>
        </w:rPr>
        <w:t>总量控制指标</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_Toc20075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68</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_Toc29145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kern w:val="0"/>
          <w:position w:val="0"/>
          <w:szCs w:val="32"/>
          <w:lang w:val="en-US" w:eastAsia="zh-CN" w:bidi="zh-CN"/>
          <w14:textFill>
            <w14:solidFill>
              <w14:schemeClr w14:val="tx1"/>
            </w14:solidFill>
          </w14:textFill>
        </w:rPr>
        <w:t>2.6 清洁生产及循环经济</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_Toc29145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_Toc18626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szCs w:val="44"/>
          <w14:textFill>
            <w14:solidFill>
              <w14:schemeClr w14:val="tx1"/>
            </w14:solidFill>
          </w14:textFill>
        </w:rPr>
        <w:t>3 环境现状质量调查与评价</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_Toc18626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_Toc20572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3.1 地理位置</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_Toc20572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_Toc25789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3.2 自然环境</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_Toc25789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_Toc30082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3.3 园区概况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_Toc30082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77</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_Toc11048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szCs w:val="32"/>
          <w14:textFill>
            <w14:solidFill>
              <w14:schemeClr w14:val="tx1"/>
            </w14:solidFill>
          </w14:textFill>
        </w:rPr>
        <w:t>3.4 环境质量现状与评价</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_Toc11048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84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_Toc7491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szCs w:val="44"/>
          <w:lang w:val="en-US" w:eastAsia="zh-CN"/>
          <w14:textFill>
            <w14:solidFill>
              <w14:schemeClr w14:val="tx1"/>
            </w14:solidFill>
          </w14:textFill>
        </w:rPr>
        <w:t>4</w:t>
      </w:r>
      <w:r>
        <w:rPr>
          <w:rFonts w:hint="default" w:ascii="Times New Roman" w:hAnsi="Times New Roman" w:cs="Times New Roman"/>
          <w:color w:val="000000" w:themeColor="text1"/>
          <w:szCs w:val="44"/>
          <w:lang w:val="zh-CN" w:eastAsia="zh-CN"/>
          <w14:textFill>
            <w14:solidFill>
              <w14:schemeClr w14:val="tx1"/>
            </w14:solidFill>
          </w14:textFill>
        </w:rPr>
        <w:t>施工期环境影响分析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_Toc7491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_Toc27897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4.1</w:t>
      </w:r>
      <w:r>
        <w:rPr>
          <w:rFonts w:hint="default" w:ascii="Times New Roman" w:hAnsi="Times New Roman" w:eastAsia="宋体" w:cs="Times New Roman"/>
          <w:bCs/>
          <w:color w:val="000000" w:themeColor="text1"/>
          <w:spacing w:val="0"/>
          <w:w w:val="100"/>
          <w:position w:val="0"/>
          <w:szCs w:val="32"/>
          <w:lang w:val="zh-CN" w:eastAsia="zh-CN" w:bidi="zh-CN"/>
          <w14:textFill>
            <w14:solidFill>
              <w14:schemeClr w14:val="tx1"/>
            </w14:solidFill>
          </w14:textFill>
        </w:rPr>
        <w:t>施工期大气环境影响分析及措施</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_Toc27897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_Toc11830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4.2</w:t>
      </w:r>
      <w:r>
        <w:rPr>
          <w:rFonts w:hint="default" w:ascii="Times New Roman" w:hAnsi="Times New Roman" w:eastAsia="宋体" w:cs="Times New Roman"/>
          <w:bCs/>
          <w:color w:val="000000" w:themeColor="text1"/>
          <w:spacing w:val="0"/>
          <w:w w:val="100"/>
          <w:position w:val="0"/>
          <w:szCs w:val="32"/>
          <w:lang w:val="zh-CN" w:eastAsia="zh-CN" w:bidi="zh-CN"/>
          <w14:textFill>
            <w14:solidFill>
              <w14:schemeClr w14:val="tx1"/>
            </w14:solidFill>
          </w14:textFill>
        </w:rPr>
        <w:t>施工期水环境影响分析及措施</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_Toc11830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_Toc12820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4.3</w:t>
      </w:r>
      <w:r>
        <w:rPr>
          <w:rFonts w:hint="default" w:ascii="Times New Roman" w:hAnsi="Times New Roman" w:eastAsia="宋体" w:cs="Times New Roman"/>
          <w:bCs/>
          <w:color w:val="000000" w:themeColor="text1"/>
          <w:spacing w:val="0"/>
          <w:w w:val="100"/>
          <w:position w:val="0"/>
          <w:szCs w:val="32"/>
          <w:lang w:val="zh-CN" w:eastAsia="zh-CN" w:bidi="zh-CN"/>
          <w14:textFill>
            <w14:solidFill>
              <w14:schemeClr w14:val="tx1"/>
            </w14:solidFill>
          </w14:textFill>
        </w:rPr>
        <w:t>施工期声环境影响分析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_Toc12820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93</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_Toc1452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4.4</w:t>
      </w:r>
      <w:r>
        <w:rPr>
          <w:rFonts w:hint="default" w:ascii="Times New Roman" w:hAnsi="Times New Roman" w:eastAsia="宋体" w:cs="Times New Roman"/>
          <w:bCs/>
          <w:color w:val="000000" w:themeColor="text1"/>
          <w:spacing w:val="0"/>
          <w:w w:val="100"/>
          <w:position w:val="0"/>
          <w:szCs w:val="32"/>
          <w:lang w:val="zh-CN" w:eastAsia="zh-CN" w:bidi="zh-CN"/>
          <w14:textFill>
            <w14:solidFill>
              <w14:schemeClr w14:val="tx1"/>
            </w14:solidFill>
          </w14:textFill>
        </w:rPr>
        <w:t>施工期固体废弃物影响分析及防治措施</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_Toc1452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_Toc2941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4.5</w:t>
      </w:r>
      <w:r>
        <w:rPr>
          <w:rFonts w:hint="default" w:ascii="Times New Roman" w:hAnsi="Times New Roman" w:eastAsia="宋体" w:cs="Times New Roman"/>
          <w:bCs/>
          <w:color w:val="000000" w:themeColor="text1"/>
          <w:spacing w:val="0"/>
          <w:w w:val="100"/>
          <w:position w:val="0"/>
          <w:szCs w:val="32"/>
          <w:lang w:val="zh-CN" w:eastAsia="zh-CN" w:bidi="zh-CN"/>
          <w14:textFill>
            <w14:solidFill>
              <w14:schemeClr w14:val="tx1"/>
            </w14:solidFill>
          </w14:textFill>
        </w:rPr>
        <w:t>施工期生态环境影响分析及措施</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_Toc2941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_Toc23980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4.6</w:t>
      </w:r>
      <w:r>
        <w:rPr>
          <w:rFonts w:hint="default" w:ascii="Times New Roman" w:hAnsi="Times New Roman" w:eastAsia="宋体" w:cs="Times New Roman"/>
          <w:bCs/>
          <w:color w:val="000000" w:themeColor="text1"/>
          <w:spacing w:val="0"/>
          <w:w w:val="100"/>
          <w:position w:val="0"/>
          <w:szCs w:val="32"/>
          <w:lang w:val="zh-CN" w:eastAsia="zh-CN" w:bidi="zh-CN"/>
          <w14:textFill>
            <w14:solidFill>
              <w14:schemeClr w14:val="tx1"/>
            </w14:solidFill>
          </w14:textFill>
        </w:rPr>
        <w:t>施工期社会环境影响分析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_Toc23980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98</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_Toc19437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4.7</w:t>
      </w:r>
      <w:r>
        <w:rPr>
          <w:rFonts w:hint="default" w:ascii="Times New Roman" w:hAnsi="Times New Roman" w:eastAsia="宋体" w:cs="Times New Roman"/>
          <w:bCs/>
          <w:color w:val="000000" w:themeColor="text1"/>
          <w:spacing w:val="0"/>
          <w:w w:val="100"/>
          <w:position w:val="0"/>
          <w:szCs w:val="32"/>
          <w:lang w:val="zh-CN" w:eastAsia="zh-CN" w:bidi="zh-CN"/>
          <w14:textFill>
            <w14:solidFill>
              <w14:schemeClr w14:val="tx1"/>
            </w14:solidFill>
          </w14:textFill>
        </w:rPr>
        <w:t>施工期污染防治措施汇总及环境管理要求</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_Toc19437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98</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_Toc25516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bCs/>
          <w:color w:val="000000" w:themeColor="text1"/>
          <w14:textFill>
            <w14:solidFill>
              <w14:schemeClr w14:val="tx1"/>
            </w14:solidFill>
          </w14:textFill>
        </w:rPr>
        <w:t>5环境影响预测与评价</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_Toc25516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100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_Toc538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 xml:space="preserve">5.1 </w:t>
      </w:r>
      <w:r>
        <w:rPr>
          <w:rFonts w:hint="default" w:ascii="Times New Roman" w:hAnsi="Times New Roman" w:cs="Times New Roman"/>
          <w:color w:val="000000" w:themeColor="text1"/>
          <w:lang w:eastAsia="zh-CN"/>
          <w14:textFill>
            <w14:solidFill>
              <w14:schemeClr w14:val="tx1"/>
            </w14:solidFill>
          </w14:textFill>
        </w:rPr>
        <w:t>大气环境</w:t>
      </w:r>
      <w:r>
        <w:rPr>
          <w:rFonts w:hint="default" w:ascii="Times New Roman" w:hAnsi="Times New Roman" w:cs="Times New Roman"/>
          <w:color w:val="000000" w:themeColor="text1"/>
          <w14:textFill>
            <w14:solidFill>
              <w14:schemeClr w14:val="tx1"/>
            </w14:solidFill>
          </w14:textFill>
        </w:rPr>
        <w:t>影响预测与评价</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_Toc538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100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_Toc3648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5.2 地表水影响评价</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_Toc3648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111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_Toc10804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5.3 地下水影响预测与评价</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_Toc10804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113</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_Toc28949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5.4声环境影响预测与评价</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_Toc28949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116</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_Toc30826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5.5固体废弃物环境影响评价</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_Toc30826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121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_Toc2546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lang w:eastAsia="zh-CN"/>
          <w14:textFill>
            <w14:solidFill>
              <w14:schemeClr w14:val="tx1"/>
            </w14:solidFill>
          </w14:textFill>
        </w:rPr>
        <w:t>5.6土壤</w:t>
      </w:r>
      <w:r>
        <w:rPr>
          <w:rFonts w:hint="default" w:ascii="Times New Roman" w:hAnsi="Times New Roman" w:cs="Times New Roman"/>
          <w:color w:val="000000" w:themeColor="text1"/>
          <w14:textFill>
            <w14:solidFill>
              <w14:schemeClr w14:val="tx1"/>
            </w14:solidFill>
          </w14:textFill>
        </w:rPr>
        <w:t>环境影响分析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_Toc2546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122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_Toc27762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szCs w:val="32"/>
          <w14:textFill>
            <w14:solidFill>
              <w14:schemeClr w14:val="tx1"/>
            </w14:solidFill>
          </w14:textFill>
        </w:rPr>
        <w:t>5.</w:t>
      </w:r>
      <w:r>
        <w:rPr>
          <w:rFonts w:hint="default" w:ascii="Times New Roman" w:hAnsi="Times New Roman" w:cs="Times New Roman"/>
          <w:color w:val="000000" w:themeColor="text1"/>
          <w:szCs w:val="32"/>
          <w:lang w:val="en-US" w:eastAsia="zh-CN"/>
          <w14:textFill>
            <w14:solidFill>
              <w14:schemeClr w14:val="tx1"/>
            </w14:solidFill>
          </w14:textFill>
        </w:rPr>
        <w:t>7</w:t>
      </w:r>
      <w:r>
        <w:rPr>
          <w:rFonts w:hint="default" w:ascii="Times New Roman" w:hAnsi="Times New Roman" w:cs="Times New Roman"/>
          <w:color w:val="000000" w:themeColor="text1"/>
          <w:szCs w:val="32"/>
          <w14:textFill>
            <w14:solidFill>
              <w14:schemeClr w14:val="tx1"/>
            </w14:solidFill>
          </w14:textFill>
        </w:rPr>
        <w:t>生态环境影响分析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_Toc27762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127</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_Toc5785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lang w:eastAsia="zh-CN"/>
          <w14:textFill>
            <w14:solidFill>
              <w14:schemeClr w14:val="tx1"/>
            </w14:solidFill>
          </w14:textFill>
        </w:rPr>
        <w:t>5.8</w:t>
      </w:r>
      <w:r>
        <w:rPr>
          <w:rFonts w:hint="default" w:ascii="Times New Roman" w:hAnsi="Times New Roman" w:cs="Times New Roman"/>
          <w:color w:val="000000" w:themeColor="text1"/>
          <w14:textFill>
            <w14:solidFill>
              <w14:schemeClr w14:val="tx1"/>
            </w14:solidFill>
          </w14:textFill>
        </w:rPr>
        <w:t xml:space="preserve"> 环境风险评价</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_Toc5785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127</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_Toc7779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szCs w:val="44"/>
          <w:lang w:val="en-US" w:eastAsia="zh-CN"/>
          <w14:textFill>
            <w14:solidFill>
              <w14:schemeClr w14:val="tx1"/>
            </w14:solidFill>
          </w14:textFill>
        </w:rPr>
        <w:t>6</w:t>
      </w:r>
      <w:r>
        <w:rPr>
          <w:rFonts w:hint="default" w:ascii="Times New Roman" w:hAnsi="Times New Roman" w:cs="Times New Roman"/>
          <w:color w:val="000000" w:themeColor="text1"/>
          <w:szCs w:val="44"/>
          <w:lang w:val="zh-CN" w:eastAsia="zh-CN"/>
          <w14:textFill>
            <w14:solidFill>
              <w14:schemeClr w14:val="tx1"/>
            </w14:solidFill>
          </w14:textFill>
        </w:rPr>
        <w:t>环境保护措施及其可行性论证</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_Toc7779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135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_Toc17074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6.1</w:t>
      </w:r>
      <w:r>
        <w:rPr>
          <w:rFonts w:hint="default" w:ascii="Times New Roman" w:hAnsi="Times New Roman" w:eastAsia="宋体" w:cs="Times New Roman"/>
          <w:bCs/>
          <w:color w:val="000000" w:themeColor="text1"/>
          <w:spacing w:val="0"/>
          <w:w w:val="100"/>
          <w:position w:val="0"/>
          <w:szCs w:val="32"/>
          <w:lang w:val="zh-CN" w:eastAsia="zh-CN" w:bidi="zh-CN"/>
          <w14:textFill>
            <w14:solidFill>
              <w14:schemeClr w14:val="tx1"/>
            </w14:solidFill>
          </w14:textFill>
        </w:rPr>
        <w:t>运行期污染防治对策</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_Toc17074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135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_Toc30574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6.2施工期污染防治对策</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_Toc30574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150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_Toc13874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6.3环保投资估算</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_Toc13874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152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_Toc23853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szCs w:val="44"/>
          <w:lang w:val="en-US" w:eastAsia="zh-CN"/>
          <w14:textFill>
            <w14:solidFill>
              <w14:schemeClr w14:val="tx1"/>
            </w14:solidFill>
          </w14:textFill>
        </w:rPr>
        <w:t>7</w:t>
      </w:r>
      <w:r>
        <w:rPr>
          <w:rFonts w:hint="default" w:ascii="Times New Roman" w:hAnsi="Times New Roman" w:cs="Times New Roman"/>
          <w:color w:val="000000" w:themeColor="text1"/>
          <w:szCs w:val="44"/>
          <w:lang w:val="zh-CN" w:eastAsia="zh-CN"/>
          <w14:textFill>
            <w14:solidFill>
              <w14:schemeClr w14:val="tx1"/>
            </w14:solidFill>
          </w14:textFill>
        </w:rPr>
        <w:t>环境影响经济损益分析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_Toc23853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153</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_Toc4059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7.1</w:t>
      </w:r>
      <w:r>
        <w:rPr>
          <w:rFonts w:hint="default" w:ascii="Times New Roman" w:hAnsi="Times New Roman" w:eastAsia="宋体" w:cs="Times New Roman"/>
          <w:bCs/>
          <w:color w:val="000000" w:themeColor="text1"/>
          <w:spacing w:val="0"/>
          <w:w w:val="100"/>
          <w:position w:val="0"/>
          <w:szCs w:val="32"/>
          <w:lang w:val="zh-CN" w:eastAsia="zh-CN" w:bidi="zh-CN"/>
          <w14:textFill>
            <w14:solidFill>
              <w14:schemeClr w14:val="tx1"/>
            </w14:solidFill>
          </w14:textFill>
        </w:rPr>
        <w:t>环境致损因子分析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_Toc4059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153</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_Toc19620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7.2</w:t>
      </w:r>
      <w:r>
        <w:rPr>
          <w:rFonts w:hint="default" w:ascii="Times New Roman" w:hAnsi="Times New Roman" w:eastAsia="宋体" w:cs="Times New Roman"/>
          <w:bCs/>
          <w:color w:val="000000" w:themeColor="text1"/>
          <w:spacing w:val="0"/>
          <w:w w:val="100"/>
          <w:position w:val="0"/>
          <w:szCs w:val="32"/>
          <w:lang w:val="zh-CN" w:eastAsia="zh-CN" w:bidi="zh-CN"/>
          <w14:textFill>
            <w14:solidFill>
              <w14:schemeClr w14:val="tx1"/>
            </w14:solidFill>
          </w14:textFill>
        </w:rPr>
        <w:t>环境效益</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_Toc19620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153</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_Toc29889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7.3</w:t>
      </w:r>
      <w:r>
        <w:rPr>
          <w:rFonts w:hint="default" w:ascii="Times New Roman" w:hAnsi="Times New Roman" w:eastAsia="宋体" w:cs="Times New Roman"/>
          <w:bCs/>
          <w:color w:val="000000" w:themeColor="text1"/>
          <w:spacing w:val="0"/>
          <w:w w:val="100"/>
          <w:position w:val="0"/>
          <w:szCs w:val="32"/>
          <w:lang w:val="zh-CN" w:eastAsia="zh-CN" w:bidi="zh-CN"/>
          <w14:textFill>
            <w14:solidFill>
              <w14:schemeClr w14:val="tx1"/>
            </w14:solidFill>
          </w14:textFill>
        </w:rPr>
        <w:t>经济效益分析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_Toc29889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154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_Toc2609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7.4</w:t>
      </w:r>
      <w:r>
        <w:rPr>
          <w:rFonts w:hint="default" w:ascii="Times New Roman" w:hAnsi="Times New Roman" w:eastAsia="宋体" w:cs="Times New Roman"/>
          <w:bCs/>
          <w:color w:val="000000" w:themeColor="text1"/>
          <w:spacing w:val="0"/>
          <w:w w:val="100"/>
          <w:position w:val="0"/>
          <w:szCs w:val="32"/>
          <w:lang w:val="zh-CN" w:eastAsia="zh-CN" w:bidi="zh-CN"/>
          <w14:textFill>
            <w14:solidFill>
              <w14:schemeClr w14:val="tx1"/>
            </w14:solidFill>
          </w14:textFill>
        </w:rPr>
        <w:t>社会效益</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_Toc2609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154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_Toc25853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szCs w:val="44"/>
          <w:lang w:val="en-US" w:eastAsia="zh-CN"/>
          <w14:textFill>
            <w14:solidFill>
              <w14:schemeClr w14:val="tx1"/>
            </w14:solidFill>
          </w14:textFill>
        </w:rPr>
        <w:t>8</w:t>
      </w:r>
      <w:r>
        <w:rPr>
          <w:rFonts w:hint="default" w:ascii="Times New Roman" w:hAnsi="Times New Roman" w:cs="Times New Roman"/>
          <w:color w:val="000000" w:themeColor="text1"/>
          <w:szCs w:val="44"/>
          <w:lang w:val="zh-CN" w:eastAsia="zh-CN"/>
          <w14:textFill>
            <w14:solidFill>
              <w14:schemeClr w14:val="tx1"/>
            </w14:solidFill>
          </w14:textFill>
        </w:rPr>
        <w:t>环境管理与监测实施计划</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_Toc25853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156</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_Toc30195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color w:val="000000" w:themeColor="text1"/>
          <w:szCs w:val="32"/>
          <w:lang w:val="en-US" w:eastAsia="zh-CN"/>
          <w14:textFill>
            <w14:solidFill>
              <w14:schemeClr w14:val="tx1"/>
            </w14:solidFill>
          </w14:textFill>
        </w:rPr>
        <w:t>8.1</w:t>
      </w:r>
      <w:r>
        <w:rPr>
          <w:rFonts w:hint="default" w:ascii="Times New Roman" w:hAnsi="Times New Roman" w:eastAsia="宋体" w:cs="Times New Roman"/>
          <w:color w:val="000000" w:themeColor="text1"/>
          <w:szCs w:val="32"/>
          <w14:textFill>
            <w14:solidFill>
              <w14:schemeClr w14:val="tx1"/>
            </w14:solidFill>
          </w14:textFill>
        </w:rPr>
        <w:t>环境保护管理</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_Toc30195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156</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_Toc18165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color w:val="000000" w:themeColor="text1"/>
          <w:szCs w:val="32"/>
          <w:lang w:val="en-US" w:eastAsia="zh-CN"/>
          <w14:textFill>
            <w14:solidFill>
              <w14:schemeClr w14:val="tx1"/>
            </w14:solidFill>
          </w14:textFill>
        </w:rPr>
        <w:t>8.2环境监测</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_Toc18165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160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_Toc20595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szCs w:val="44"/>
          <w:lang w:val="en-US" w:eastAsia="zh-CN"/>
          <w14:textFill>
            <w14:solidFill>
              <w14:schemeClr w14:val="tx1"/>
            </w14:solidFill>
          </w14:textFill>
        </w:rPr>
        <w:t>9</w:t>
      </w:r>
      <w:r>
        <w:rPr>
          <w:rFonts w:hint="default" w:ascii="Times New Roman" w:hAnsi="Times New Roman" w:cs="Times New Roman"/>
          <w:color w:val="000000" w:themeColor="text1"/>
          <w:szCs w:val="44"/>
          <w:lang w:val="zh-CN" w:eastAsia="zh-CN"/>
          <w14:textFill>
            <w14:solidFill>
              <w14:schemeClr w14:val="tx1"/>
            </w14:solidFill>
          </w14:textFill>
        </w:rPr>
        <w:t>环境影响评价结论</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_Toc20595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169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_Toc26079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9.1评价结论</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_Toc26079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169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_Toc22934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pacing w:val="0"/>
          <w:w w:val="100"/>
          <w:position w:val="0"/>
          <w:szCs w:val="32"/>
          <w:lang w:val="en-US" w:eastAsia="en-US" w:bidi="zh-CN"/>
          <w14:textFill>
            <w14:solidFill>
              <w14:schemeClr w14:val="tx1"/>
            </w14:solidFill>
          </w14:textFill>
        </w:rPr>
        <w:t>9.2</w:t>
      </w:r>
      <w:r>
        <w:rPr>
          <w:rFonts w:hint="default" w:ascii="Times New Roman" w:hAnsi="Times New Roman" w:eastAsia="宋体" w:cs="Times New Roman"/>
          <w:bCs/>
          <w:color w:val="000000" w:themeColor="text1"/>
          <w:spacing w:val="0"/>
          <w:w w:val="100"/>
          <w:position w:val="0"/>
          <w:szCs w:val="32"/>
          <w:lang w:val="zh-CN" w:eastAsia="zh-CN" w:bidi="zh-CN"/>
          <w14:textFill>
            <w14:solidFill>
              <w14:schemeClr w14:val="tx1"/>
            </w14:solidFill>
          </w14:textFill>
        </w:rPr>
        <w:t>要求和建议</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_Toc22934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173</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_Toc17774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pacing w:val="0"/>
          <w:w w:val="100"/>
          <w:kern w:val="0"/>
          <w:position w:val="0"/>
          <w:szCs w:val="24"/>
          <w:lang w:val="en-US" w:eastAsia="en-US" w:bidi="zh-CN"/>
          <w14:textFill>
            <w14:solidFill>
              <w14:schemeClr w14:val="tx1"/>
            </w14:solidFill>
          </w14:textFill>
        </w:rPr>
        <w:t>附件1：委托书</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_Toc17774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174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_Toc17441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pacing w:val="0"/>
          <w:w w:val="100"/>
          <w:kern w:val="0"/>
          <w:position w:val="0"/>
          <w:szCs w:val="24"/>
          <w:lang w:val="en-US" w:eastAsia="zh-CN" w:bidi="zh-CN"/>
          <w14:textFill>
            <w14:solidFill>
              <w14:schemeClr w14:val="tx1"/>
            </w14:solidFill>
          </w14:textFill>
        </w:rPr>
        <w:t>附件2：监测报告</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_Toc17441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175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Times New Roman" w:cs="Times New Roman"/>
          <w:b/>
          <w:bCs/>
          <w:snapToGrid w:val="0"/>
          <w:color w:val="000000" w:themeColor="text1"/>
          <w:spacing w:val="0"/>
          <w:w w:val="100"/>
          <w:kern w:val="18"/>
          <w:position w:val="0"/>
          <w:sz w:val="44"/>
          <w:szCs w:val="44"/>
          <w:lang w:val="zh-CN" w:eastAsia="zh-CN" w:bidi="ar-SA"/>
          <w14:textFill>
            <w14:solidFill>
              <w14:schemeClr w14:val="tx1"/>
            </w14:solidFill>
          </w14:textFill>
        </w:rPr>
      </w:pPr>
      <w:r>
        <w:rPr>
          <w:rFonts w:hint="eastAsia" w:ascii="Times New Roman" w:hAnsi="Times New Roman" w:eastAsia="Times New Roman" w:cs="Times New Roman"/>
          <w:b/>
          <w:bCs/>
          <w:snapToGrid w:val="0"/>
          <w:color w:val="000000" w:themeColor="text1"/>
          <w:spacing w:val="0"/>
          <w:w w:val="100"/>
          <w:kern w:val="18"/>
          <w:position w:val="0"/>
          <w:sz w:val="44"/>
          <w:szCs w:val="44"/>
          <w:lang w:val="zh-CN" w:eastAsia="zh-CN" w:bidi="ar-SA"/>
          <w14:textFill>
            <w14:solidFill>
              <w14:schemeClr w14:val="tx1"/>
            </w14:solidFill>
          </w14:textFill>
        </w:rPr>
        <w:br w:type="page"/>
      </w:r>
    </w:p>
    <w:p>
      <w:pPr>
        <w:keepNext w:val="0"/>
        <w:keepLines w:val="0"/>
        <w:pageBreakBefore w:val="0"/>
        <w:widowControl w:val="0"/>
        <w:shd w:val="clear" w:color="auto" w:fill="auto"/>
        <w:kinsoku/>
        <w:wordWrap/>
        <w:overflowPunct w:val="0"/>
        <w:topLinePunct w:val="0"/>
        <w:autoSpaceDE/>
        <w:autoSpaceDN/>
        <w:bidi w:val="0"/>
        <w:adjustRightInd/>
        <w:snapToGrid/>
        <w:spacing w:before="0" w:after="0" w:line="360" w:lineRule="auto"/>
        <w:ind w:left="0" w:right="0" w:firstLine="0" w:firstLineChars="0"/>
        <w:jc w:val="center"/>
        <w:textAlignment w:val="auto"/>
        <w:rPr>
          <w:rFonts w:hint="eastAsia" w:ascii="Times New Roman" w:hAnsi="Times New Roman" w:eastAsia="Times New Roman" w:cs="Times New Roman"/>
          <w:b/>
          <w:bCs/>
          <w:snapToGrid w:val="0"/>
          <w:color w:val="000000" w:themeColor="text1"/>
          <w:spacing w:val="0"/>
          <w:w w:val="100"/>
          <w:kern w:val="18"/>
          <w:position w:val="0"/>
          <w:sz w:val="44"/>
          <w:szCs w:val="44"/>
          <w:lang w:val="zh-CN" w:eastAsia="zh-CN" w:bidi="ar-SA"/>
          <w14:textFill>
            <w14:solidFill>
              <w14:schemeClr w14:val="tx1"/>
            </w14:solidFill>
          </w14:textFill>
        </w:rPr>
      </w:pPr>
      <w:r>
        <w:rPr>
          <w:rFonts w:hint="eastAsia" w:ascii="Times New Roman" w:hAnsi="Times New Roman" w:eastAsia="Times New Roman" w:cs="Times New Roman"/>
          <w:b/>
          <w:bCs/>
          <w:snapToGrid w:val="0"/>
          <w:color w:val="000000" w:themeColor="text1"/>
          <w:spacing w:val="0"/>
          <w:w w:val="100"/>
          <w:kern w:val="18"/>
          <w:position w:val="0"/>
          <w:sz w:val="44"/>
          <w:szCs w:val="44"/>
          <w:lang w:val="zh-CN" w:eastAsia="zh-CN" w:bidi="ar-SA"/>
          <w14:textFill>
            <w14:solidFill>
              <w14:schemeClr w14:val="tx1"/>
            </w14:solidFill>
          </w14:textFill>
        </w:rPr>
        <w:t>概述</w:t>
      </w:r>
    </w:p>
    <w:p>
      <w:pPr>
        <w:keepNext w:val="0"/>
        <w:keepLines w:val="0"/>
        <w:pageBreakBefore w:val="0"/>
        <w:widowControl w:val="0"/>
        <w:shd w:val="clear" w:color="auto" w:fill="auto"/>
        <w:kinsoku/>
        <w:wordWrap/>
        <w:overflowPunct w:val="0"/>
        <w:topLinePunct w:val="0"/>
        <w:autoSpaceDE/>
        <w:autoSpaceDN/>
        <w:bidi w:val="0"/>
        <w:adjustRightInd/>
        <w:snapToGrid/>
        <w:spacing w:before="0" w:after="0" w:line="360" w:lineRule="auto"/>
        <w:ind w:left="0" w:right="0" w:firstLine="0" w:firstLineChars="0"/>
        <w:jc w:val="both"/>
        <w:textAlignment w:val="auto"/>
        <w:rPr>
          <w:rFonts w:hint="eastAsia" w:ascii="Times New Roman" w:hAnsi="Times New Roman" w:eastAsia="Times New Roman" w:cs="Times New Roman"/>
          <w:b/>
          <w:bCs/>
          <w:snapToGrid w:val="0"/>
          <w:color w:val="000000" w:themeColor="text1"/>
          <w:spacing w:val="0"/>
          <w:w w:val="100"/>
          <w:kern w:val="18"/>
          <w:position w:val="0"/>
          <w:sz w:val="24"/>
          <w:szCs w:val="24"/>
          <w:lang w:val="zh-CN" w:eastAsia="zh-CN" w:bidi="ar-SA"/>
          <w14:textFill>
            <w14:solidFill>
              <w14:schemeClr w14:val="tx1"/>
            </w14:solidFill>
          </w14:textFill>
        </w:rPr>
      </w:pPr>
      <w:bookmarkStart w:id="0" w:name="bookmark0"/>
      <w:r>
        <w:rPr>
          <w:rFonts w:hint="eastAsia" w:ascii="Times New Roman" w:hAnsi="Times New Roman" w:eastAsia="Times New Roman" w:cs="Times New Roman"/>
          <w:b/>
          <w:bCs/>
          <w:snapToGrid w:val="0"/>
          <w:color w:val="000000" w:themeColor="text1"/>
          <w:spacing w:val="0"/>
          <w:w w:val="100"/>
          <w:kern w:val="18"/>
          <w:position w:val="0"/>
          <w:sz w:val="24"/>
          <w:szCs w:val="24"/>
          <w:lang w:val="zh-CN" w:eastAsia="zh-CN" w:bidi="ar-SA"/>
          <w14:textFill>
            <w14:solidFill>
              <w14:schemeClr w14:val="tx1"/>
            </w14:solidFill>
          </w14:textFill>
        </w:rPr>
        <w:t>1项目背景</w:t>
      </w:r>
      <w:bookmarkEnd w:id="0"/>
    </w:p>
    <w:p>
      <w:pPr>
        <w:keepNext w:val="0"/>
        <w:keepLines w:val="0"/>
        <w:shd w:val="clear"/>
        <w:overflowPunct w:val="0"/>
        <w:bidi w:val="0"/>
        <w:spacing w:before="0" w:after="0" w:line="360" w:lineRule="auto"/>
        <w:ind w:left="0" w:right="0" w:firstLine="480" w:firstLineChars="200"/>
        <w:jc w:val="both"/>
        <w:rPr>
          <w:rFonts w:hint="eastAsia" w:ascii="Times New Roman" w:hAnsi="Times New Roman" w:eastAsia="Times New Roman" w:cs="Times New Roman"/>
          <w:snapToGrid w:val="0"/>
          <w:color w:val="000000" w:themeColor="text1"/>
          <w:spacing w:val="0"/>
          <w:w w:val="100"/>
          <w:kern w:val="18"/>
          <w:position w:val="0"/>
          <w:sz w:val="24"/>
          <w:szCs w:val="24"/>
          <w:lang w:val="en-US"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新疆是我国能源战略基地，是西部地区经济增长的重要支点，向西开放的重</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要</w:t>
      </w:r>
      <w:r>
        <w:rPr>
          <w:rFonts w:hint="eastAsia" w:eastAsia="宋体" w:cs="Times New Roman"/>
          <w:snapToGrid w:val="0"/>
          <w:color w:val="000000" w:themeColor="text1"/>
          <w:spacing w:val="0"/>
          <w:w w:val="100"/>
          <w:kern w:val="18"/>
          <w:position w:val="0"/>
          <w:sz w:val="24"/>
          <w:szCs w:val="24"/>
          <w:lang w:val="en-US" w:eastAsia="zh-CN" w:bidi="ar-SA"/>
          <w14:textFill>
            <w14:solidFill>
              <w14:schemeClr w14:val="tx1"/>
            </w14:solidFill>
          </w14:textFill>
        </w:rPr>
        <w:t>门</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户和西北的战略屏障，在全国发展和稳定大局中具有特殊重要的战略地位。国务院32号文件《关于进一步促进新疆经济社会发展的若干意见》已明确表示，推进优势资源开发</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加快建设石油、天然气、煤炭及煤层气等矿产资源开发利用基地和优势农副产品生产加工基地，逐步把资源优势转化为经济优势。加强薄弱环节的基础能力建设，加强农业和水利基础设施建设，发展特色农业，合理开发利用水资源，统筹兼顾生产、生活和生态用水，建设节水型社会。统筹规划交通建设，构筑综合交通运输体系。高度重视生态建设和环境保护，保护绿洲，加强城市环境整治。以改善民生为重点，加强基本公共服务 体系建设，大力发展社会事业。</w:t>
      </w:r>
    </w:p>
    <w:p>
      <w:pPr>
        <w:overflowPunct w:val="0"/>
        <w:spacing w:line="360" w:lineRule="auto"/>
        <w:ind w:firstLine="480" w:firstLineChars="200"/>
        <w:jc w:val="both"/>
        <w:rPr>
          <w:snapToGrid w:val="0"/>
          <w:color w:val="000000" w:themeColor="text1"/>
          <w:kern w:val="18"/>
          <w:lang w:val="en-US" w:bidi="ar-SA"/>
          <w14:textFill>
            <w14:solidFill>
              <w14:schemeClr w14:val="tx1"/>
            </w14:solidFill>
          </w14:textFill>
        </w:rPr>
      </w:pPr>
      <w:r>
        <w:rPr>
          <w:rFonts w:hint="eastAsia"/>
          <w:snapToGrid w:val="0"/>
          <w:color w:val="000000" w:themeColor="text1"/>
          <w:kern w:val="18"/>
          <w:lang w:bidi="ar-SA"/>
          <w14:textFill>
            <w14:solidFill>
              <w14:schemeClr w14:val="tx1"/>
            </w14:solidFill>
          </w14:textFill>
        </w:rPr>
        <w:t>克拉玛依高新技术产业开发区是以高新技术为先导，以石油化工为主的产业区；同时，综合考虑石油物资仓储、石油化学工程技术服务和市域工业置换等产业为辅的综合工业园。高新技术产业开发区迄今没有配套为化工企业提供工业蒸汽的热动力中心，现园区企业使用的工业蒸汽大部分是自建小锅炉供热或由石化厂提供。</w:t>
      </w:r>
    </w:p>
    <w:p>
      <w:pPr>
        <w:overflowPunct w:val="0"/>
        <w:spacing w:line="360" w:lineRule="auto"/>
        <w:ind w:firstLine="480" w:firstLineChars="200"/>
        <w:jc w:val="both"/>
        <w:rPr>
          <w:snapToGrid w:val="0"/>
          <w:color w:val="000000" w:themeColor="text1"/>
          <w:kern w:val="18"/>
          <w:lang w:val="en-US" w:bidi="ar-SA"/>
          <w14:textFill>
            <w14:solidFill>
              <w14:schemeClr w14:val="tx1"/>
            </w14:solidFill>
          </w14:textFill>
        </w:rPr>
      </w:pPr>
      <w:r>
        <w:rPr>
          <w:rFonts w:hint="eastAsia"/>
          <w:snapToGrid w:val="0"/>
          <w:color w:val="000000" w:themeColor="text1"/>
          <w:kern w:val="18"/>
          <w:lang w:bidi="ar-SA"/>
          <w14:textFill>
            <w14:solidFill>
              <w14:schemeClr w14:val="tx1"/>
            </w14:solidFill>
          </w14:textFill>
        </w:rPr>
        <w:t>高新技术产业开发区企业自建的小锅炉产生工业蒸汽，用于生产化工产品及厂房、办公楼采暖。由于燃料价格高，生产成本大，企业强烈要求园区管委会解决工业蒸汽的供需矛盾，降低生产成本。</w:t>
      </w:r>
    </w:p>
    <w:p>
      <w:pPr>
        <w:overflowPunct w:val="0"/>
        <w:spacing w:line="360" w:lineRule="auto"/>
        <w:ind w:firstLine="480" w:firstLineChars="200"/>
        <w:jc w:val="both"/>
        <w:rPr>
          <w:snapToGrid w:val="0"/>
          <w:color w:val="000000" w:themeColor="text1"/>
          <w:kern w:val="18"/>
          <w:lang w:val="en-US" w:bidi="ar-SA"/>
          <w14:textFill>
            <w14:solidFill>
              <w14:schemeClr w14:val="tx1"/>
            </w14:solidFill>
          </w14:textFill>
        </w:rPr>
      </w:pPr>
      <w:r>
        <w:rPr>
          <w:rFonts w:hint="eastAsia"/>
          <w:snapToGrid w:val="0"/>
          <w:color w:val="000000" w:themeColor="text1"/>
          <w:kern w:val="18"/>
          <w:lang w:bidi="ar-SA"/>
          <w14:textFill>
            <w14:solidFill>
              <w14:schemeClr w14:val="tx1"/>
            </w14:solidFill>
          </w14:textFill>
        </w:rPr>
        <w:t>高新技术产业开发区2006年</w:t>
      </w:r>
      <w:r>
        <w:rPr>
          <w:rFonts w:hint="eastAsia"/>
          <w:snapToGrid w:val="0"/>
          <w:color w:val="000000" w:themeColor="text1"/>
          <w:kern w:val="18"/>
          <w:lang w:val="en-US" w:bidi="ar-SA"/>
          <w14:textFill>
            <w14:solidFill>
              <w14:schemeClr w14:val="tx1"/>
            </w14:solidFill>
          </w14:textFill>
        </w:rPr>
        <w:t>-</w:t>
      </w:r>
      <w:r>
        <w:rPr>
          <w:rFonts w:hint="eastAsia"/>
          <w:snapToGrid w:val="0"/>
          <w:color w:val="000000" w:themeColor="text1"/>
          <w:kern w:val="18"/>
          <w:lang w:bidi="ar-SA"/>
          <w14:textFill>
            <w14:solidFill>
              <w14:schemeClr w14:val="tx1"/>
            </w14:solidFill>
          </w14:textFill>
        </w:rPr>
        <w:t>2020年总体规划，需要工业蒸汽</w:t>
      </w:r>
      <w:r>
        <w:rPr>
          <w:rFonts w:hint="eastAsia"/>
          <w:snapToGrid w:val="0"/>
          <w:color w:val="000000" w:themeColor="text1"/>
          <w:kern w:val="18"/>
          <w:lang w:val="en-US" w:bidi="ar-SA"/>
          <w14:textFill>
            <w14:solidFill>
              <w14:schemeClr w14:val="tx1"/>
            </w14:solidFill>
          </w14:textFill>
        </w:rPr>
        <w:t>2400t/h，</w:t>
      </w:r>
      <w:r>
        <w:rPr>
          <w:rFonts w:hint="eastAsia"/>
          <w:snapToGrid w:val="0"/>
          <w:color w:val="000000" w:themeColor="text1"/>
          <w:kern w:val="18"/>
          <w:lang w:bidi="ar-SA"/>
          <w14:textFill>
            <w14:solidFill>
              <w14:schemeClr w14:val="tx1"/>
            </w14:solidFill>
          </w14:textFill>
        </w:rPr>
        <w:t>现园区企业需用工业蒸汽</w:t>
      </w:r>
      <w:r>
        <w:rPr>
          <w:rFonts w:hint="eastAsia"/>
          <w:snapToGrid w:val="0"/>
          <w:color w:val="000000" w:themeColor="text1"/>
          <w:kern w:val="18"/>
          <w:lang w:val="en-US" w:bidi="ar-SA"/>
          <w14:textFill>
            <w14:solidFill>
              <w14:schemeClr w14:val="tx1"/>
            </w14:solidFill>
          </w14:textFill>
        </w:rPr>
        <w:t>550t/h。</w:t>
      </w:r>
      <w:r>
        <w:rPr>
          <w:rFonts w:hint="eastAsia"/>
          <w:snapToGrid w:val="0"/>
          <w:color w:val="000000" w:themeColor="text1"/>
          <w:kern w:val="18"/>
          <w:lang w:bidi="ar-SA"/>
          <w14:textFill>
            <w14:solidFill>
              <w14:schemeClr w14:val="tx1"/>
            </w14:solidFill>
          </w14:textFill>
        </w:rPr>
        <w:t>石化厂计划千万吨炼油扩建项目，需要足量的工业蒸汽，下游化工企业也需要大量的工业蒸汽生产化工产品。目前石化厂使用的工业蒸汽自身都无法满足生产需求，石化厂多次要求园区管委会自行解决工业蒸汽的用量。</w:t>
      </w:r>
    </w:p>
    <w:p>
      <w:pPr>
        <w:overflowPunct w:val="0"/>
        <w:spacing w:line="360" w:lineRule="auto"/>
        <w:ind w:firstLine="480" w:firstLineChars="200"/>
        <w:jc w:val="both"/>
        <w:rPr>
          <w:snapToGrid w:val="0"/>
          <w:color w:val="000000" w:themeColor="text1"/>
          <w:kern w:val="18"/>
          <w:lang w:val="en-US" w:bidi="ar-SA"/>
          <w14:textFill>
            <w14:solidFill>
              <w14:schemeClr w14:val="tx1"/>
            </w14:solidFill>
          </w14:textFill>
        </w:rPr>
      </w:pPr>
      <w:r>
        <w:rPr>
          <w:rFonts w:hint="eastAsia"/>
          <w:snapToGrid w:val="0"/>
          <w:color w:val="000000" w:themeColor="text1"/>
          <w:kern w:val="18"/>
          <w:lang w:bidi="ar-SA"/>
          <w14:textFill>
            <w14:solidFill>
              <w14:schemeClr w14:val="tx1"/>
            </w14:solidFill>
          </w14:textFill>
        </w:rPr>
        <w:t>持续增多的雾霾天气引发了社会的强烈关注，当前空气环境质量问题不仅仅是境问题，也是民生问题，为此克拉玛依园区管委会加大对环境治理，拟拆除小锅炉、实行集中供热，以促进节能减排和民生改善。</w:t>
      </w:r>
    </w:p>
    <w:p>
      <w:pPr>
        <w:overflowPunct w:val="0"/>
        <w:spacing w:line="360" w:lineRule="auto"/>
        <w:ind w:firstLine="480" w:firstLineChars="200"/>
        <w:jc w:val="both"/>
        <w:rPr>
          <w:snapToGrid w:val="0"/>
          <w:color w:val="000000" w:themeColor="text1"/>
          <w:kern w:val="18"/>
          <w:lang w:val="en-US" w:bidi="ar-SA"/>
          <w14:textFill>
            <w14:solidFill>
              <w14:schemeClr w14:val="tx1"/>
            </w14:solidFill>
          </w14:textFill>
        </w:rPr>
      </w:pPr>
      <w:r>
        <w:rPr>
          <w:rFonts w:hint="eastAsia"/>
          <w:snapToGrid w:val="0"/>
          <w:color w:val="000000" w:themeColor="text1"/>
          <w:kern w:val="18"/>
          <w:lang w:bidi="ar-SA"/>
          <w14:textFill>
            <w14:solidFill>
              <w14:schemeClr w14:val="tx1"/>
            </w14:solidFill>
          </w14:textFill>
        </w:rPr>
        <w:t>新疆维吾尔自治区以煤炭为主要能源结构在短期内很难改变，煤炭的不合理使用是造成环境污染的主要原因，要想解决当前大气环境污染，天然气作为清洁燃料能够解决这一矛盾，但是资源有限，不可再生，同时随着石油、天然气供应日益吃紧，价格高，供应量的不确定性，造成供暖企业及化工企业运行成本高，致使企业难以承受，由此可见，煤、气处在一个环境与节能两难境地。本项目拟采用的新技术将煤炭转变成煤基清洁燃料投放高效流化床水煤浆锅炉内燃烧，既可减少</w:t>
      </w:r>
      <w:r>
        <w:rPr>
          <w:rFonts w:hint="eastAsia"/>
          <w:snapToGrid w:val="0"/>
          <w:color w:val="000000" w:themeColor="text1"/>
          <w:kern w:val="18"/>
          <w:lang w:val="en-US" w:bidi="ar-SA"/>
          <w14:textFill>
            <w14:solidFill>
              <w14:schemeClr w14:val="tx1"/>
            </w14:solidFill>
          </w14:textFill>
        </w:rPr>
        <w:t>NOx、S</w:t>
      </w:r>
      <w:r>
        <w:rPr>
          <w:rFonts w:hint="eastAsia" w:eastAsia="宋体"/>
          <w:snapToGrid w:val="0"/>
          <w:color w:val="000000" w:themeColor="text1"/>
          <w:kern w:val="18"/>
          <w:lang w:val="en-US" w:bidi="ar-SA"/>
          <w14:textFill>
            <w14:solidFill>
              <w14:schemeClr w14:val="tx1"/>
            </w14:solidFill>
          </w14:textFill>
        </w:rPr>
        <w:t>O</w:t>
      </w:r>
      <w:r>
        <w:rPr>
          <w:rFonts w:hint="eastAsia"/>
          <w:snapToGrid w:val="0"/>
          <w:color w:val="000000" w:themeColor="text1"/>
          <w:kern w:val="18"/>
          <w:vertAlign w:val="subscript"/>
          <w:lang w:val="en-US" w:bidi="ar-SA"/>
          <w14:textFill>
            <w14:solidFill>
              <w14:schemeClr w14:val="tx1"/>
            </w14:solidFill>
          </w14:textFill>
        </w:rPr>
        <w:t>2</w:t>
      </w:r>
      <w:r>
        <w:rPr>
          <w:rFonts w:hint="eastAsia"/>
          <w:snapToGrid w:val="0"/>
          <w:color w:val="000000" w:themeColor="text1"/>
          <w:kern w:val="18"/>
          <w:lang w:val="en-US" w:bidi="ar-SA"/>
          <w14:textFill>
            <w14:solidFill>
              <w14:schemeClr w14:val="tx1"/>
            </w14:solidFill>
          </w14:textFill>
        </w:rPr>
        <w:t>、PM</w:t>
      </w:r>
      <w:r>
        <w:rPr>
          <w:rFonts w:hint="eastAsia" w:eastAsia="宋体"/>
          <w:snapToGrid w:val="0"/>
          <w:color w:val="000000" w:themeColor="text1"/>
          <w:kern w:val="18"/>
          <w:vertAlign w:val="subscript"/>
          <w:lang w:val="en-US" w:bidi="ar-SA"/>
          <w14:textFill>
            <w14:solidFill>
              <w14:schemeClr w14:val="tx1"/>
            </w14:solidFill>
          </w14:textFill>
        </w:rPr>
        <w:t>10</w:t>
      </w:r>
      <w:r>
        <w:rPr>
          <w:rFonts w:hint="eastAsia"/>
          <w:snapToGrid w:val="0"/>
          <w:color w:val="000000" w:themeColor="text1"/>
          <w:kern w:val="18"/>
          <w:lang w:bidi="ar-SA"/>
          <w14:textFill>
            <w14:solidFill>
              <w14:schemeClr w14:val="tx1"/>
            </w14:solidFill>
          </w14:textFill>
        </w:rPr>
        <w:t>的排放，解决大气污染，改善大气环境质量，又可节约能源，降低运行成本。克拉玛依市作为自治区重点大气污染防控区，水煤浆浆体燃料应用得到自治区环保部门及市政府及市环保部门的大力推行，并己列入克拉玛依市</w:t>
      </w:r>
      <w:r>
        <w:rPr>
          <w:rFonts w:hint="eastAsia"/>
          <w:snapToGrid w:val="0"/>
          <w:color w:val="000000" w:themeColor="text1"/>
          <w:kern w:val="18"/>
          <w:lang w:val="en-US" w:bidi="ar-SA"/>
          <w14:textFill>
            <w14:solidFill>
              <w14:schemeClr w14:val="tx1"/>
            </w14:solidFill>
          </w14:textFill>
        </w:rPr>
        <w:t>“</w:t>
      </w:r>
      <w:r>
        <w:rPr>
          <w:rFonts w:hint="eastAsia"/>
          <w:snapToGrid w:val="0"/>
          <w:color w:val="000000" w:themeColor="text1"/>
          <w:kern w:val="18"/>
          <w:lang w:bidi="ar-SA"/>
          <w14:textFill>
            <w14:solidFill>
              <w14:schemeClr w14:val="tx1"/>
            </w14:solidFill>
          </w14:textFill>
        </w:rPr>
        <w:t>十三五”能源发展规划中。</w:t>
      </w:r>
    </w:p>
    <w:p>
      <w:pPr>
        <w:overflowPunct w:val="0"/>
        <w:spacing w:line="360" w:lineRule="auto"/>
        <w:ind w:firstLine="480" w:firstLineChars="200"/>
        <w:jc w:val="both"/>
        <w:rPr>
          <w:snapToGrid w:val="0"/>
          <w:color w:val="000000" w:themeColor="text1"/>
          <w:kern w:val="18"/>
          <w:lang w:val="en-US" w:bidi="ar-SA"/>
          <w14:textFill>
            <w14:solidFill>
              <w14:schemeClr w14:val="tx1"/>
            </w14:solidFill>
          </w14:textFill>
        </w:rPr>
      </w:pPr>
      <w:r>
        <w:rPr>
          <w:rFonts w:hint="eastAsia"/>
          <w:snapToGrid w:val="0"/>
          <w:color w:val="000000" w:themeColor="text1"/>
          <w:kern w:val="18"/>
          <w:lang w:bidi="ar-SA"/>
          <w14:textFill>
            <w14:solidFill>
              <w14:schemeClr w14:val="tx1"/>
            </w14:solidFill>
          </w14:textFill>
        </w:rPr>
        <w:t>2014年4月，克拉玛依市领导、园区领导、环保部门、中石油相关部门一同对项目进行多次考察、论证，于2014年7月正式与新疆正恒清洁能源有限公司签订高新技术产业开发区热动力中心项目，同时也作石化园区的资源综合利用及园区配套基础建设工程，项目主要为克拉玛依高新技术产业开发区化工企业集中提供工业蒸汽，作为原料、动力生产化工产品、发电及企业供热、制冷和采暖。</w:t>
      </w:r>
    </w:p>
    <w:p>
      <w:pPr>
        <w:overflowPunct w:val="0"/>
        <w:spacing w:line="360" w:lineRule="auto"/>
        <w:ind w:firstLine="480" w:firstLineChars="200"/>
        <w:jc w:val="both"/>
        <w:rPr>
          <w:snapToGrid w:val="0"/>
          <w:color w:val="000000" w:themeColor="text1"/>
          <w:kern w:val="18"/>
          <w:lang w:val="en-US" w:bidi="ar-SA"/>
          <w14:textFill>
            <w14:solidFill>
              <w14:schemeClr w14:val="tx1"/>
            </w14:solidFill>
          </w14:textFill>
        </w:rPr>
      </w:pPr>
      <w:r>
        <w:rPr>
          <w:rFonts w:hint="eastAsia"/>
          <w:snapToGrid w:val="0"/>
          <w:color w:val="000000" w:themeColor="text1"/>
          <w:kern w:val="18"/>
          <w:lang w:bidi="ar-SA"/>
          <w14:textFill>
            <w14:solidFill>
              <w14:schemeClr w14:val="tx1"/>
            </w14:solidFill>
          </w14:textFill>
        </w:rPr>
        <w:t>克拉玛依高新技术产业开发区热动力中心主要为石化企业提供不同压力、温度的饱和蒸汽和过热蒸汽，用于生产石油化工产品，以及为园区企业采暖。由于各企业使用不同压力蒸汽给量不稳定，蒸汽被迫放散，造成蒸汽资源的浪费，又污染环境，同吋也增加热动力中心运行成本，为极大限度降低生产过程中的能源消耗，有效利用本中心余热蒸汽，使放散的余热蒸汽得到合理利用，将多余蒸汽发电，符合国家能源政策节能降耗，提高资源利用率。</w:t>
      </w:r>
    </w:p>
    <w:p>
      <w:pPr>
        <w:keepNext w:val="0"/>
        <w:keepLines w:val="0"/>
        <w:shd w:val="clear"/>
        <w:overflowPunct w:val="0"/>
        <w:bidi w:val="0"/>
        <w:spacing w:before="0" w:after="0" w:line="360" w:lineRule="auto"/>
        <w:ind w:left="0" w:right="0" w:firstLine="480" w:firstLineChars="200"/>
        <w:jc w:val="both"/>
        <w:rPr>
          <w:rFonts w:hint="eastAsia" w:ascii="Times New Roman" w:hAnsi="Times New Roman" w:eastAsia="Times New Roman" w:cs="Times New Roman"/>
          <w:snapToGrid w:val="0"/>
          <w:color w:val="000000" w:themeColor="text1"/>
          <w:spacing w:val="0"/>
          <w:w w:val="100"/>
          <w:kern w:val="18"/>
          <w:position w:val="0"/>
          <w:sz w:val="24"/>
          <w:szCs w:val="24"/>
          <w:lang w:val="en-US" w:bidi="ar-SA"/>
          <w14:textFill>
            <w14:solidFill>
              <w14:schemeClr w14:val="tx1"/>
            </w14:solidFill>
          </w14:textFill>
        </w:rPr>
      </w:pPr>
      <w:r>
        <w:rPr>
          <w:rFonts w:hint="eastAsia"/>
          <w:snapToGrid w:val="0"/>
          <w:color w:val="000000" w:themeColor="text1"/>
          <w:kern w:val="18"/>
          <w:lang w:bidi="ar-SA"/>
          <w14:textFill>
            <w14:solidFill>
              <w14:schemeClr w14:val="tx1"/>
            </w14:solidFill>
          </w14:textFill>
        </w:rPr>
        <w:t>综合利用余热资源，实现能源梯级利用，增加企业自发电量，有利于节能降耗和提升整休经济运行质量，而且通过能源循环利用，可带来可观的节能效益、经济效益、环境效益和社会效益。</w:t>
      </w:r>
    </w:p>
    <w:p>
      <w:pPr>
        <w:keepNext w:val="0"/>
        <w:keepLines w:val="0"/>
        <w:pageBreakBefore w:val="0"/>
        <w:widowControl w:val="0"/>
        <w:shd w:val="clear" w:color="auto" w:fill="auto"/>
        <w:kinsoku/>
        <w:wordWrap/>
        <w:overflowPunct w:val="0"/>
        <w:topLinePunct w:val="0"/>
        <w:autoSpaceDE/>
        <w:autoSpaceDN/>
        <w:bidi w:val="0"/>
        <w:adjustRightInd/>
        <w:snapToGrid/>
        <w:spacing w:before="0" w:after="0" w:line="360" w:lineRule="auto"/>
        <w:ind w:left="0" w:right="0" w:firstLine="0" w:firstLineChars="0"/>
        <w:jc w:val="both"/>
        <w:textAlignment w:val="auto"/>
        <w:rPr>
          <w:rFonts w:hint="eastAsia" w:ascii="Times New Roman" w:hAnsi="Times New Roman" w:eastAsia="Times New Roman" w:cs="Times New Roman"/>
          <w:b/>
          <w:bCs/>
          <w:snapToGrid w:val="0"/>
          <w:color w:val="000000" w:themeColor="text1"/>
          <w:spacing w:val="0"/>
          <w:w w:val="100"/>
          <w:kern w:val="18"/>
          <w:position w:val="0"/>
          <w:sz w:val="24"/>
          <w:szCs w:val="24"/>
          <w:lang w:val="zh-CN" w:eastAsia="zh-CN" w:bidi="ar-SA"/>
          <w14:textFill>
            <w14:solidFill>
              <w14:schemeClr w14:val="tx1"/>
            </w14:solidFill>
          </w14:textFill>
        </w:rPr>
      </w:pPr>
      <w:bookmarkStart w:id="1" w:name="bookmark1"/>
      <w:r>
        <w:rPr>
          <w:rFonts w:hint="eastAsia" w:ascii="Times New Roman" w:hAnsi="Times New Roman" w:eastAsia="Times New Roman" w:cs="Times New Roman"/>
          <w:b/>
          <w:bCs/>
          <w:snapToGrid w:val="0"/>
          <w:color w:val="000000" w:themeColor="text1"/>
          <w:spacing w:val="0"/>
          <w:w w:val="100"/>
          <w:kern w:val="18"/>
          <w:position w:val="0"/>
          <w:sz w:val="24"/>
          <w:szCs w:val="24"/>
          <w:lang w:val="zh-CN" w:eastAsia="zh-CN" w:bidi="ar-SA"/>
          <w14:textFill>
            <w14:solidFill>
              <w14:schemeClr w14:val="tx1"/>
            </w14:solidFill>
          </w14:textFill>
        </w:rPr>
        <w:t>2环境影响评价工作过程</w:t>
      </w:r>
      <w:bookmarkEnd w:id="1"/>
    </w:p>
    <w:p>
      <w:pPr>
        <w:keepNext w:val="0"/>
        <w:keepLines w:val="0"/>
        <w:shd w:val="clear" w:color="auto" w:fill="auto"/>
        <w:overflowPunct w:val="0"/>
        <w:bidi w:val="0"/>
        <w:spacing w:before="0" w:after="0" w:line="360" w:lineRule="auto"/>
        <w:ind w:left="0" w:right="0" w:firstLine="480" w:firstLineChars="200"/>
        <w:jc w:val="both"/>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按照环境影响评价导则的技术规范要求，本工程环境影响评价工作程序，见图</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1-2-</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1。</w:t>
      </w:r>
    </w:p>
    <w:p>
      <w:pPr>
        <w:keepNext w:val="0"/>
        <w:keepLines w:val="0"/>
        <w:shd w:val="clear" w:color="auto" w:fill="auto"/>
        <w:overflowPunct w:val="0"/>
        <w:bidi w:val="0"/>
        <w:spacing w:before="0" w:after="0" w:line="360" w:lineRule="auto"/>
        <w:ind w:left="0" w:right="0" w:firstLine="480" w:firstLineChars="200"/>
        <w:jc w:val="both"/>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根据《中华人民共和国环境影响评价法》和《建设项目环境保护管理条例》（国务院令第253号）等国家有关法律法规的</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要求</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，新疆正恒清洁能源有限公司于201</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9</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年</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3</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月委托</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北京中咨华瑞工程科技有限公司承担</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克拉玛依高新技术产业开发区热动力中心</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2</w:t>
      </w:r>
      <w:r>
        <w:rPr>
          <w:rFonts w:hint="default" w:ascii="Arial" w:hAnsi="Arial" w:cs="Arial"/>
          <w:snapToGrid w:val="0"/>
          <w:color w:val="000000" w:themeColor="text1"/>
          <w:spacing w:val="0"/>
          <w:w w:val="100"/>
          <w:kern w:val="18"/>
          <w:position w:val="0"/>
          <w:sz w:val="24"/>
          <w:szCs w:val="24"/>
          <w:lang w:val="en-US"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2.5万千瓦背压机组发电项目</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的环境影响评价工作。接受委托后，我公司组织有关专业人员赴现场进行踏勘、收集听取了建设方对本工程概况、工程设想等内容的介绍，踏勘了厂址及外围现场，收集了厂址地区的环境现状等基础资料。在调研与资料整理过程中，及时向当地主管部门了解地方环保法规并征询意见，同时委托第三方监测机构开展本工程环境现状监测工作。</w:t>
      </w:r>
    </w:p>
    <w:p>
      <w:pPr>
        <w:keepNext w:val="0"/>
        <w:keepLines w:val="0"/>
        <w:shd w:val="clear" w:color="auto" w:fill="auto"/>
        <w:overflowPunct w:val="0"/>
        <w:bidi w:val="0"/>
        <w:spacing w:before="0" w:after="0" w:line="360" w:lineRule="auto"/>
        <w:ind w:left="0" w:right="0" w:firstLine="480" w:firstLineChars="200"/>
        <w:jc w:val="both"/>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我公司在工程分析、污染气象收集、环境质量现状监测的基础上，结合当地规划</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充分考虑建设工程的特点，落实设计的主要工艺系统及有关参数，经过模式计算、综合分析，按照《火电厂建设项</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目</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环境影响报告书编制规范》</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HJ</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T</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 xml:space="preserve">13 </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19</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96</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)、《建设项目环境影响评价技术导则总纲》</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HJ</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1</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2016)</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等有关标准规范的要求，开展本工程环境影响报告书编制工作。在上述工作基础上编制完成本环境影响报告书，现呈报上级主管部门审查</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drawing>
          <wp:inline distT="0" distB="0" distL="114300" distR="114300">
            <wp:extent cx="4761865" cy="4695825"/>
            <wp:effectExtent l="0" t="0" r="635" b="9525"/>
            <wp:docPr id="10" name="图片 1" descr="C:\Users\dgw\AppData\Local\Temp\ksohtml\wpsAA3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dgw\AppData\Local\Temp\ksohtml\wpsAA33.tmp.jpg"/>
                    <pic:cNvPicPr>
                      <a:picLocks noChangeAspect="1"/>
                    </pic:cNvPicPr>
                  </pic:nvPicPr>
                  <pic:blipFill>
                    <a:blip r:embed="rId12"/>
                    <a:stretch>
                      <a:fillRect/>
                    </a:stretch>
                  </pic:blipFill>
                  <pic:spPr>
                    <a:xfrm>
                      <a:off x="0" y="0"/>
                      <a:ext cx="4761865" cy="4695825"/>
                    </a:xfrm>
                    <a:prstGeom prst="rect">
                      <a:avLst/>
                    </a:prstGeom>
                    <a:noFill/>
                    <a:ln>
                      <a:noFill/>
                    </a:ln>
                  </pic:spPr>
                </pic:pic>
              </a:graphicData>
            </a:graphic>
          </wp:inline>
        </w:drawing>
      </w:r>
    </w:p>
    <w:p>
      <w:pPr>
        <w:pStyle w:val="28"/>
        <w:snapToGrid w:val="0"/>
        <w:ind w:firstLine="480"/>
        <w:rPr>
          <w:rFonts w:ascii="Times New Roman"/>
          <w:color w:val="000000" w:themeColor="text1"/>
          <w14:textFill>
            <w14:solidFill>
              <w14:schemeClr w14:val="tx1"/>
            </w14:solidFill>
          </w14:textFill>
        </w:rPr>
      </w:pPr>
      <w:r>
        <w:rPr>
          <w:rFonts w:ascii="Times New Roman" w:hAnsi="黑体"/>
          <w:color w:val="000000" w:themeColor="text1"/>
          <w14:textFill>
            <w14:solidFill>
              <w14:schemeClr w14:val="tx1"/>
            </w14:solidFill>
          </w14:textFill>
        </w:rPr>
        <w:t>图</w:t>
      </w:r>
      <w:r>
        <w:rPr>
          <w:rFonts w:hint="eastAsia" w:ascii="Times New Roman" w:hAnsi="黑体" w:eastAsia="宋体"/>
          <w:color w:val="000000" w:themeColor="text1"/>
          <w:lang w:val="en-US" w:eastAsia="zh-CN"/>
          <w14:textFill>
            <w14:solidFill>
              <w14:schemeClr w14:val="tx1"/>
            </w14:solidFill>
          </w14:textFill>
        </w:rPr>
        <w:t>2-</w:t>
      </w:r>
      <w:r>
        <w:rPr>
          <w:rFonts w:ascii="Times New Roman"/>
          <w:color w:val="000000" w:themeColor="text1"/>
          <w14:textFill>
            <w14:solidFill>
              <w14:schemeClr w14:val="tx1"/>
            </w14:solidFill>
          </w14:textFill>
        </w:rPr>
        <w:t xml:space="preserve">1    </w:t>
      </w:r>
      <w:r>
        <w:rPr>
          <w:rFonts w:ascii="Times New Roman" w:hAnsi="黑体"/>
          <w:color w:val="000000" w:themeColor="text1"/>
          <w14:textFill>
            <w14:solidFill>
              <w14:schemeClr w14:val="tx1"/>
            </w14:solidFill>
          </w14:textFill>
        </w:rPr>
        <w:t>环评工作程序</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color w:val="000000" w:themeColor="text1"/>
          <w14:textFill>
            <w14:solidFill>
              <w14:schemeClr w14:val="tx1"/>
            </w14:solidFill>
          </w14:textFill>
        </w:rPr>
      </w:pPr>
    </w:p>
    <w:p>
      <w:pPr>
        <w:keepNext w:val="0"/>
        <w:keepLines w:val="0"/>
        <w:pageBreakBefore w:val="0"/>
        <w:widowControl w:val="0"/>
        <w:shd w:val="clear" w:color="auto" w:fill="auto"/>
        <w:kinsoku/>
        <w:wordWrap/>
        <w:overflowPunct w:val="0"/>
        <w:topLinePunct w:val="0"/>
        <w:autoSpaceDE/>
        <w:autoSpaceDN/>
        <w:bidi w:val="0"/>
        <w:adjustRightInd/>
        <w:snapToGrid/>
        <w:spacing w:before="0" w:after="0" w:line="360" w:lineRule="auto"/>
        <w:ind w:left="0" w:right="0" w:firstLine="0" w:firstLineChars="0"/>
        <w:jc w:val="both"/>
        <w:textAlignment w:val="auto"/>
        <w:rPr>
          <w:rFonts w:hint="eastAsia" w:ascii="Times New Roman" w:hAnsi="Times New Roman" w:eastAsia="Times New Roman" w:cs="Times New Roman"/>
          <w:b/>
          <w:bCs/>
          <w:snapToGrid w:val="0"/>
          <w:color w:val="000000" w:themeColor="text1"/>
          <w:spacing w:val="0"/>
          <w:w w:val="100"/>
          <w:kern w:val="18"/>
          <w:position w:val="0"/>
          <w:sz w:val="24"/>
          <w:szCs w:val="24"/>
          <w:lang w:val="zh-CN" w:eastAsia="zh-CN" w:bidi="ar-SA"/>
          <w14:textFill>
            <w14:solidFill>
              <w14:schemeClr w14:val="tx1"/>
            </w14:solidFill>
          </w14:textFill>
        </w:rPr>
      </w:pPr>
      <w:bookmarkStart w:id="2" w:name="bookmark2"/>
      <w:r>
        <w:rPr>
          <w:rFonts w:hint="eastAsia" w:ascii="Times New Roman" w:hAnsi="Times New Roman" w:eastAsia="Times New Roman" w:cs="Times New Roman"/>
          <w:b/>
          <w:bCs/>
          <w:snapToGrid w:val="0"/>
          <w:color w:val="000000" w:themeColor="text1"/>
          <w:spacing w:val="0"/>
          <w:w w:val="100"/>
          <w:kern w:val="18"/>
          <w:position w:val="0"/>
          <w:sz w:val="24"/>
          <w:szCs w:val="24"/>
          <w:lang w:val="zh-CN" w:eastAsia="zh-CN" w:bidi="ar-SA"/>
          <w14:textFill>
            <w14:solidFill>
              <w14:schemeClr w14:val="tx1"/>
            </w14:solidFill>
          </w14:textFill>
        </w:rPr>
        <w:t>3分析判定相关情况</w:t>
      </w:r>
      <w:bookmarkEnd w:id="2"/>
    </w:p>
    <w:p>
      <w:pPr>
        <w:keepNext w:val="0"/>
        <w:keepLines w:val="0"/>
        <w:shd w:val="clear" w:color="auto" w:fill="auto"/>
        <w:overflowPunct w:val="0"/>
        <w:bidi w:val="0"/>
        <w:spacing w:before="0" w:after="0" w:line="360" w:lineRule="auto"/>
        <w:ind w:left="0" w:right="0" w:firstLine="480" w:firstLineChars="200"/>
        <w:jc w:val="both"/>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克拉玛依高新技术产业开发区热动力中心</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2</w:t>
      </w:r>
      <w:r>
        <w:rPr>
          <w:rFonts w:hint="default" w:ascii="Arial" w:hAnsi="Arial" w:cs="Arial"/>
          <w:snapToGrid w:val="0"/>
          <w:color w:val="000000" w:themeColor="text1"/>
          <w:spacing w:val="0"/>
          <w:w w:val="100"/>
          <w:kern w:val="18"/>
          <w:position w:val="0"/>
          <w:sz w:val="24"/>
          <w:szCs w:val="24"/>
          <w:lang w:val="en-US"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2.5万千瓦背压机组发电项目</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环境影响评价工作的指导思想是在充分调查和摸清本工程厂址地区环境特点和环境现状，深入分析工程污染源状况的基础上，运用国家环境保护行业标准和《环境影响评价技术导则》中的有关模型，预测本工程所排污染物对周边区域环境质量的影响程度，分析建设项目污染物排放及影响是否符合当地环境功能及环境质量标准的要求。</w:t>
      </w:r>
    </w:p>
    <w:p>
      <w:pPr>
        <w:keepNext w:val="0"/>
        <w:keepLines w:val="0"/>
        <w:shd w:val="clear" w:color="auto" w:fill="auto"/>
        <w:overflowPunct w:val="0"/>
        <w:bidi w:val="0"/>
        <w:spacing w:before="0" w:after="0" w:line="360" w:lineRule="auto"/>
        <w:ind w:left="0" w:right="0" w:firstLine="480" w:firstLineChars="200"/>
        <w:jc w:val="both"/>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本项目属国家产业政策鼓励的背压热电联产工程，厂址周围交通便利，工程占地范围内无任何拆迁物，不存在拆迁安置移民问题。工程外部建设条件良好，不存在制约环境因素。</w:t>
      </w:r>
    </w:p>
    <w:p>
      <w:pPr>
        <w:keepNext w:val="0"/>
        <w:keepLines w:val="0"/>
        <w:shd w:val="clear" w:color="auto" w:fill="auto"/>
        <w:overflowPunct w:val="0"/>
        <w:bidi w:val="0"/>
        <w:spacing w:before="0" w:after="0" w:line="360" w:lineRule="auto"/>
        <w:ind w:left="0" w:right="0" w:firstLine="480" w:firstLineChars="200"/>
        <w:jc w:val="both"/>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本项</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目</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 xml:space="preserve">为背压热电联产机组，热电联产集中供热具有节约能源、改善环境、提高供热质量、增加电力生产供应等综合效益。在《煤电节能减排升级与改造行动计划 </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(2014-2020</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年)》中提出“到2020年，燃煤热电机组装机容量占煤电总装机容最比重力争达到28%</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在中小城市和热负荷集中的工业园区，优先建设背压式热电机组；鼓励西部地区新建机组接近或达到燃气轮机组排放限值。”；《关于印发(热电联产管理办法) 的通知》中要求：“严格热电联产机组环保准入门槛，新建燃煤热电联产机组原则上达到超低排放水平。”本工程设计烟气污染物排放达到燃气轮机组排放限值(即烟尘、二氧化硫、氮氧化物浓度分别不高于</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5</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mg</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m</w:t>
      </w:r>
      <w:r>
        <w:rPr>
          <w:rFonts w:hint="eastAsia" w:ascii="Times New Roman" w:hAnsi="Times New Roman" w:eastAsia="Times New Roman" w:cs="Times New Roman"/>
          <w:snapToGrid w:val="0"/>
          <w:color w:val="000000" w:themeColor="text1"/>
          <w:spacing w:val="0"/>
          <w:w w:val="100"/>
          <w:kern w:val="18"/>
          <w:position w:val="0"/>
          <w:sz w:val="24"/>
          <w:szCs w:val="24"/>
          <w:vertAlign w:val="superscript"/>
          <w:lang w:val="en-US" w:eastAsia="en-US" w:bidi="ar-SA"/>
          <w14:textFill>
            <w14:solidFill>
              <w14:schemeClr w14:val="tx1"/>
            </w14:solidFill>
          </w14:textFill>
        </w:rPr>
        <w:t>3</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、35</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mg</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m</w:t>
      </w:r>
      <w:r>
        <w:rPr>
          <w:rFonts w:hint="eastAsia" w:ascii="Times New Roman" w:hAnsi="Times New Roman" w:eastAsia="Times New Roman" w:cs="Times New Roman"/>
          <w:snapToGrid w:val="0"/>
          <w:color w:val="000000" w:themeColor="text1"/>
          <w:spacing w:val="0"/>
          <w:w w:val="100"/>
          <w:kern w:val="18"/>
          <w:position w:val="0"/>
          <w:sz w:val="24"/>
          <w:szCs w:val="24"/>
          <w:vertAlign w:val="superscript"/>
          <w:lang w:val="en-US" w:eastAsia="en-US" w:bidi="ar-SA"/>
          <w14:textFill>
            <w14:solidFill>
              <w14:schemeClr w14:val="tx1"/>
            </w14:solidFill>
          </w14:textFill>
        </w:rPr>
        <w:t>3</w:t>
      </w:r>
      <w:r>
        <w:rPr>
          <w:rFonts w:hint="eastAsia" w:eastAsia="宋体" w:cs="Times New Roman"/>
          <w:snapToGrid w:val="0"/>
          <w:color w:val="000000" w:themeColor="text1"/>
          <w:spacing w:val="0"/>
          <w:w w:val="100"/>
          <w:kern w:val="18"/>
          <w:position w:val="0"/>
          <w:sz w:val="24"/>
          <w:szCs w:val="24"/>
          <w:lang w:val="en-US"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50</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mg</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m</w:t>
      </w:r>
      <w:r>
        <w:rPr>
          <w:rFonts w:hint="eastAsia" w:ascii="Times New Roman" w:hAnsi="Times New Roman" w:eastAsia="Times New Roman" w:cs="Times New Roman"/>
          <w:snapToGrid w:val="0"/>
          <w:color w:val="000000" w:themeColor="text1"/>
          <w:spacing w:val="0"/>
          <w:w w:val="100"/>
          <w:kern w:val="18"/>
          <w:position w:val="0"/>
          <w:sz w:val="24"/>
          <w:szCs w:val="24"/>
          <w:vertAlign w:val="superscript"/>
          <w:lang w:val="en-US" w:eastAsia="en-US" w:bidi="ar-SA"/>
          <w14:textFill>
            <w14:solidFill>
              <w14:schemeClr w14:val="tx1"/>
            </w14:solidFill>
          </w14:textFill>
        </w:rPr>
        <w:t>3</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同时，本工程的建设也符合《克拉玛依市“十三五”能源发展规划》等规划要求。</w:t>
      </w:r>
    </w:p>
    <w:p>
      <w:pPr>
        <w:keepNext w:val="0"/>
        <w:keepLines w:val="0"/>
        <w:pageBreakBefore w:val="0"/>
        <w:widowControl w:val="0"/>
        <w:shd w:val="clear" w:color="auto" w:fill="auto"/>
        <w:kinsoku/>
        <w:wordWrap/>
        <w:overflowPunct w:val="0"/>
        <w:topLinePunct w:val="0"/>
        <w:autoSpaceDE/>
        <w:autoSpaceDN/>
        <w:bidi w:val="0"/>
        <w:adjustRightInd/>
        <w:snapToGrid/>
        <w:spacing w:before="0" w:after="0" w:line="360" w:lineRule="auto"/>
        <w:ind w:left="0" w:right="0" w:firstLine="0" w:firstLineChars="0"/>
        <w:jc w:val="both"/>
        <w:textAlignment w:val="auto"/>
        <w:rPr>
          <w:rFonts w:hint="eastAsia" w:ascii="Times New Roman" w:hAnsi="Times New Roman" w:eastAsia="Times New Roman" w:cs="Times New Roman"/>
          <w:b/>
          <w:bCs/>
          <w:snapToGrid w:val="0"/>
          <w:color w:val="000000" w:themeColor="text1"/>
          <w:spacing w:val="0"/>
          <w:w w:val="100"/>
          <w:kern w:val="18"/>
          <w:position w:val="0"/>
          <w:sz w:val="24"/>
          <w:szCs w:val="24"/>
          <w:lang w:val="zh-CN" w:eastAsia="zh-CN" w:bidi="ar-SA"/>
          <w14:textFill>
            <w14:solidFill>
              <w14:schemeClr w14:val="tx1"/>
            </w14:solidFill>
          </w14:textFill>
        </w:rPr>
      </w:pPr>
      <w:bookmarkStart w:id="3" w:name="bookmark3"/>
      <w:r>
        <w:rPr>
          <w:rFonts w:hint="eastAsia" w:ascii="Times New Roman" w:hAnsi="Times New Roman" w:eastAsia="Times New Roman" w:cs="Times New Roman"/>
          <w:b/>
          <w:bCs/>
          <w:snapToGrid w:val="0"/>
          <w:color w:val="000000" w:themeColor="text1"/>
          <w:spacing w:val="0"/>
          <w:w w:val="100"/>
          <w:kern w:val="18"/>
          <w:position w:val="0"/>
          <w:sz w:val="24"/>
          <w:szCs w:val="24"/>
          <w:lang w:val="zh-CN" w:eastAsia="zh-CN" w:bidi="ar-SA"/>
          <w14:textFill>
            <w14:solidFill>
              <w14:schemeClr w14:val="tx1"/>
            </w14:solidFill>
          </w14:textFill>
        </w:rPr>
        <w:t>4关注的主要环境问题及环境影响</w:t>
      </w:r>
      <w:bookmarkEnd w:id="3"/>
    </w:p>
    <w:p>
      <w:pPr>
        <w:keepNext w:val="0"/>
        <w:keepLines w:val="0"/>
        <w:shd w:val="clear" w:color="auto" w:fill="auto"/>
        <w:overflowPunct w:val="0"/>
        <w:bidi w:val="0"/>
        <w:spacing w:before="0" w:after="0" w:line="360" w:lineRule="auto"/>
        <w:ind w:left="0" w:right="0" w:firstLine="480" w:firstLineChars="200"/>
        <w:jc w:val="both"/>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本工程主要关注的环境问题有以下</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几个</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方面：</w:t>
      </w:r>
    </w:p>
    <w:p>
      <w:pPr>
        <w:keepNext w:val="0"/>
        <w:keepLines w:val="0"/>
        <w:shd w:val="clear" w:color="auto" w:fill="auto"/>
        <w:overflowPunct w:val="0"/>
        <w:bidi w:val="0"/>
        <w:spacing w:before="0" w:after="0" w:line="360" w:lineRule="auto"/>
        <w:ind w:left="0" w:right="0" w:firstLine="480" w:firstLineChars="200"/>
        <w:jc w:val="both"/>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工程烟气处理设施的可行性和可靠性，烟气超低排放；</w:t>
      </w:r>
    </w:p>
    <w:p>
      <w:pPr>
        <w:keepNext w:val="0"/>
        <w:keepLines w:val="0"/>
        <w:shd w:val="clear" w:color="auto" w:fill="auto"/>
        <w:overflowPunct w:val="0"/>
        <w:bidi w:val="0"/>
        <w:spacing w:before="0" w:after="0" w:line="360" w:lineRule="auto"/>
        <w:ind w:left="0" w:right="0" w:firstLine="480" w:firstLineChars="200"/>
        <w:jc w:val="both"/>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2</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锅炉排放烟气对环境造成的影响；</w:t>
      </w:r>
    </w:p>
    <w:p>
      <w:pPr>
        <w:keepNext w:val="0"/>
        <w:keepLines w:val="0"/>
        <w:shd w:val="clear" w:color="auto" w:fill="auto"/>
        <w:overflowPunct w:val="0"/>
        <w:bidi w:val="0"/>
        <w:spacing w:before="0" w:after="0" w:line="360" w:lineRule="auto"/>
        <w:ind w:left="0" w:right="0" w:firstLine="480" w:firstLineChars="200"/>
        <w:jc w:val="both"/>
        <w:rPr>
          <w:rFonts w:hint="eastAsia" w:ascii="宋体" w:hAnsi="宋体" w:eastAsia="宋体" w:cs="宋体"/>
          <w:color w:val="000000" w:themeColor="text1"/>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3</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电厂排放脱硫灰等固体废物的综合利用途径和处置。</w:t>
      </w:r>
    </w:p>
    <w:p>
      <w:pPr>
        <w:keepNext w:val="0"/>
        <w:keepLines w:val="0"/>
        <w:pageBreakBefore w:val="0"/>
        <w:widowControl w:val="0"/>
        <w:shd w:val="clear" w:color="auto" w:fill="auto"/>
        <w:kinsoku/>
        <w:wordWrap/>
        <w:overflowPunct w:val="0"/>
        <w:topLinePunct w:val="0"/>
        <w:autoSpaceDE/>
        <w:autoSpaceDN/>
        <w:bidi w:val="0"/>
        <w:adjustRightInd/>
        <w:snapToGrid/>
        <w:spacing w:before="0" w:after="0" w:line="360" w:lineRule="auto"/>
        <w:ind w:left="0" w:right="0" w:firstLine="0" w:firstLineChars="0"/>
        <w:jc w:val="both"/>
        <w:textAlignment w:val="auto"/>
        <w:rPr>
          <w:rFonts w:hint="eastAsia" w:ascii="Times New Roman" w:hAnsi="Times New Roman" w:eastAsia="Times New Roman" w:cs="Times New Roman"/>
          <w:b/>
          <w:bCs/>
          <w:snapToGrid w:val="0"/>
          <w:color w:val="000000" w:themeColor="text1"/>
          <w:spacing w:val="0"/>
          <w:w w:val="100"/>
          <w:kern w:val="18"/>
          <w:position w:val="0"/>
          <w:sz w:val="24"/>
          <w:szCs w:val="24"/>
          <w:lang w:val="zh-CN" w:eastAsia="zh-CN" w:bidi="ar-SA"/>
          <w14:textFill>
            <w14:solidFill>
              <w14:schemeClr w14:val="tx1"/>
            </w14:solidFill>
          </w14:textFill>
        </w:rPr>
      </w:pPr>
      <w:bookmarkStart w:id="4" w:name="bookmark4"/>
      <w:r>
        <w:rPr>
          <w:rFonts w:hint="eastAsia" w:ascii="Times New Roman" w:hAnsi="Times New Roman" w:eastAsia="Times New Roman" w:cs="Times New Roman"/>
          <w:b/>
          <w:bCs/>
          <w:snapToGrid w:val="0"/>
          <w:color w:val="000000" w:themeColor="text1"/>
          <w:spacing w:val="0"/>
          <w:w w:val="100"/>
          <w:kern w:val="18"/>
          <w:position w:val="0"/>
          <w:sz w:val="24"/>
          <w:szCs w:val="24"/>
          <w:lang w:val="zh-CN" w:eastAsia="zh-CN" w:bidi="ar-SA"/>
          <w14:textFill>
            <w14:solidFill>
              <w14:schemeClr w14:val="tx1"/>
            </w14:solidFill>
          </w14:textFill>
        </w:rPr>
        <w:t>5环境影响评价主要结论</w:t>
      </w:r>
      <w:bookmarkEnd w:id="4"/>
    </w:p>
    <w:p>
      <w:pPr>
        <w:keepNext w:val="0"/>
        <w:keepLines w:val="0"/>
        <w:shd w:val="clear" w:color="auto" w:fill="auto"/>
        <w:overflowPunct w:val="0"/>
        <w:bidi w:val="0"/>
        <w:spacing w:before="0" w:after="0" w:line="360" w:lineRule="auto"/>
        <w:ind w:left="0" w:right="0" w:firstLine="480" w:firstLineChars="200"/>
        <w:jc w:val="both"/>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克拉玛依高新技术产业开发区热动力中心</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2</w:t>
      </w:r>
      <w:r>
        <w:rPr>
          <w:rFonts w:hint="default" w:ascii="Arial" w:hAnsi="Arial" w:cs="Arial"/>
          <w:snapToGrid w:val="0"/>
          <w:color w:val="000000" w:themeColor="text1"/>
          <w:spacing w:val="0"/>
          <w:w w:val="100"/>
          <w:kern w:val="18"/>
          <w:position w:val="0"/>
          <w:sz w:val="24"/>
          <w:szCs w:val="24"/>
          <w:lang w:val="en-US"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2.5万千瓦背压机组发电项目</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属国家产业政策鼓励的背压热电联产工程。</w:t>
      </w:r>
    </w:p>
    <w:p>
      <w:pPr>
        <w:keepNext w:val="0"/>
        <w:keepLines w:val="0"/>
        <w:shd w:val="clear" w:color="auto" w:fill="auto"/>
        <w:overflowPunct w:val="0"/>
        <w:bidi w:val="0"/>
        <w:spacing w:before="0" w:after="0" w:line="360" w:lineRule="auto"/>
        <w:ind w:left="0" w:right="0" w:firstLine="480" w:firstLineChars="200"/>
        <w:jc w:val="both"/>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工程采用背压方案，新建一座</w:t>
      </w:r>
      <w:r>
        <w:rPr>
          <w:rFonts w:hint="eastAsia" w:eastAsia="宋体" w:cs="Times New Roman"/>
          <w:snapToGrid w:val="0"/>
          <w:color w:val="000000" w:themeColor="text1"/>
          <w:spacing w:val="0"/>
          <w:w w:val="100"/>
          <w:kern w:val="18"/>
          <w:position w:val="0"/>
          <w:sz w:val="24"/>
          <w:szCs w:val="24"/>
          <w:lang w:val="en-US" w:eastAsia="zh-CN" w:bidi="ar-SA"/>
          <w14:textFill>
            <w14:solidFill>
              <w14:schemeClr w14:val="tx1"/>
            </w14:solidFill>
          </w14:textFill>
        </w:rPr>
        <w:t>8</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0</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m烟囱，采用炉内和循环流化床干法二级脱硫、S</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N</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CR</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脱硝</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及</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布袋除尘器除尘</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。烟气</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中</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污染物可达到燃气轮机组排放限制要求，经预测对当地环境空气质量影响较小。本工程生产、生活用水水源采用园区供水系统。电厂的各类废水经处理后回收利用，正常工况下无废污水外排；除尘灰和脱硫灰全部综合利用。通过选择低噪声设备、采取防振降噪等措施，降低厂界噪声。工程建设及运行过程中采 取水土保持措施，减轻对生态环境的影响。</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本工程的建设严格遵守国家各项法律法规，积极采用除尘、脱硫、</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脱硝</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等环保节能措施，在严格落实本工程可研设计及本次评价提出的环保措施及国家环境保护相关规定的前提下，从环保角度考虑本工程建设是可行的。</w:t>
      </w:r>
    </w:p>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0"/>
        <w:rPr>
          <w:rFonts w:hint="default" w:ascii="Times New Roman" w:hAnsi="Times New Roman" w:eastAsia="Times New Roman" w:cs="Times New Roman"/>
          <w:b/>
          <w:bCs/>
          <w:snapToGrid w:val="0"/>
          <w:color w:val="000000" w:themeColor="text1"/>
          <w:spacing w:val="0"/>
          <w:w w:val="100"/>
          <w:kern w:val="18"/>
          <w:position w:val="0"/>
          <w:sz w:val="44"/>
          <w:szCs w:val="44"/>
          <w:u w:val="none"/>
          <w:lang w:val="zh-CN" w:eastAsia="zh-CN" w:bidi="ar-SA"/>
          <w14:textFill>
            <w14:solidFill>
              <w14:schemeClr w14:val="tx1"/>
            </w14:solidFill>
          </w14:textFill>
        </w:rPr>
      </w:pPr>
      <w:bookmarkStart w:id="5" w:name="_Toc14290"/>
      <w:r>
        <w:rPr>
          <w:rFonts w:hint="default" w:ascii="Times New Roman" w:hAnsi="Times New Roman" w:eastAsia="Times New Roman" w:cs="Times New Roman"/>
          <w:b/>
          <w:bCs/>
          <w:snapToGrid w:val="0"/>
          <w:color w:val="000000" w:themeColor="text1"/>
          <w:spacing w:val="0"/>
          <w:w w:val="100"/>
          <w:kern w:val="18"/>
          <w:position w:val="0"/>
          <w:sz w:val="44"/>
          <w:szCs w:val="44"/>
          <w:u w:val="none"/>
          <w:lang w:val="en-US" w:eastAsia="zh-CN" w:bidi="ar-SA"/>
          <w14:textFill>
            <w14:solidFill>
              <w14:schemeClr w14:val="tx1"/>
            </w14:solidFill>
          </w14:textFill>
        </w:rPr>
        <w:t>1</w:t>
      </w:r>
      <w:r>
        <w:rPr>
          <w:rFonts w:hint="default" w:ascii="Times New Roman" w:hAnsi="Times New Roman" w:eastAsia="Times New Roman" w:cs="Times New Roman"/>
          <w:b/>
          <w:bCs/>
          <w:snapToGrid w:val="0"/>
          <w:color w:val="000000" w:themeColor="text1"/>
          <w:spacing w:val="0"/>
          <w:w w:val="100"/>
          <w:kern w:val="18"/>
          <w:position w:val="0"/>
          <w:sz w:val="44"/>
          <w:szCs w:val="44"/>
          <w:u w:val="none"/>
          <w:lang w:val="zh-CN" w:eastAsia="zh-CN" w:bidi="ar-SA"/>
          <w14:textFill>
            <w14:solidFill>
              <w14:schemeClr w14:val="tx1"/>
            </w14:solidFill>
          </w14:textFill>
        </w:rPr>
        <w:t>总则</w:t>
      </w:r>
      <w:bookmarkEnd w:id="5"/>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0" w:firstLineChars="0"/>
        <w:jc w:val="left"/>
        <w:textAlignment w:val="auto"/>
        <w:outlineLvl w:val="1"/>
        <w:rPr>
          <w:rFonts w:hint="default" w:ascii="Times New Roman" w:hAnsi="Times New Roman" w:eastAsia="Times New Roman" w:cs="Times New Roman"/>
          <w:b/>
          <w:bCs/>
          <w:snapToGrid w:val="0"/>
          <w:color w:val="000000" w:themeColor="text1"/>
          <w:spacing w:val="0"/>
          <w:w w:val="100"/>
          <w:kern w:val="18"/>
          <w:position w:val="0"/>
          <w:sz w:val="32"/>
          <w:szCs w:val="32"/>
          <w:lang w:val="zh-CN" w:eastAsia="zh-CN" w:bidi="ar-SA"/>
          <w14:textFill>
            <w14:solidFill>
              <w14:schemeClr w14:val="tx1"/>
            </w14:solidFill>
          </w14:textFill>
        </w:rPr>
      </w:pPr>
      <w:bookmarkStart w:id="6" w:name="bookmark5"/>
      <w:bookmarkStart w:id="7" w:name="_Toc15920"/>
      <w:r>
        <w:rPr>
          <w:rFonts w:hint="default" w:ascii="Times New Roman" w:hAnsi="Times New Roman" w:eastAsia="Times New Roman" w:cs="Times New Roman"/>
          <w:b/>
          <w:bCs/>
          <w:snapToGrid w:val="0"/>
          <w:color w:val="000000" w:themeColor="text1"/>
          <w:spacing w:val="0"/>
          <w:w w:val="100"/>
          <w:kern w:val="18"/>
          <w:position w:val="0"/>
          <w:sz w:val="32"/>
          <w:szCs w:val="32"/>
          <w:lang w:val="en-US" w:eastAsia="en-US" w:bidi="ar-SA"/>
          <w14:textFill>
            <w14:solidFill>
              <w14:schemeClr w14:val="tx1"/>
            </w14:solidFill>
          </w14:textFill>
        </w:rPr>
        <w:t>1.1</w:t>
      </w:r>
      <w:r>
        <w:rPr>
          <w:rFonts w:hint="default" w:ascii="Times New Roman" w:hAnsi="Times New Roman" w:eastAsia="Times New Roman" w:cs="Times New Roman"/>
          <w:b/>
          <w:bCs/>
          <w:snapToGrid w:val="0"/>
          <w:color w:val="000000" w:themeColor="text1"/>
          <w:spacing w:val="0"/>
          <w:w w:val="100"/>
          <w:kern w:val="18"/>
          <w:position w:val="0"/>
          <w:sz w:val="32"/>
          <w:szCs w:val="32"/>
          <w:lang w:val="zh-CN" w:eastAsia="zh-CN" w:bidi="ar-SA"/>
          <w14:textFill>
            <w14:solidFill>
              <w14:schemeClr w14:val="tx1"/>
            </w14:solidFill>
          </w14:textFill>
        </w:rPr>
        <w:t>评价依据</w:t>
      </w:r>
      <w:bookmarkEnd w:id="6"/>
      <w:bookmarkEnd w:id="7"/>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0" w:firstLineChars="0"/>
        <w:jc w:val="left"/>
        <w:textAlignment w:val="auto"/>
        <w:outlineLvl w:val="2"/>
        <w:rPr>
          <w:rFonts w:hint="default" w:ascii="Times New Roman" w:hAnsi="Times New Roman" w:eastAsia="Times New Roman" w:cs="Times New Roman"/>
          <w:b/>
          <w:bCs/>
          <w:snapToGrid w:val="0"/>
          <w:color w:val="000000" w:themeColor="text1"/>
          <w:spacing w:val="0"/>
          <w:w w:val="100"/>
          <w:kern w:val="18"/>
          <w:position w:val="0"/>
          <w:sz w:val="28"/>
          <w:szCs w:val="28"/>
          <w:lang w:val="zh-CN" w:eastAsia="zh-CN" w:bidi="ar-SA"/>
          <w14:textFill>
            <w14:solidFill>
              <w14:schemeClr w14:val="tx1"/>
            </w14:solidFill>
          </w14:textFill>
        </w:rPr>
      </w:pPr>
      <w:r>
        <w:rPr>
          <w:rFonts w:hint="default" w:ascii="Times New Roman" w:hAnsi="Times New Roman" w:eastAsia="Times New Roman" w:cs="Times New Roman"/>
          <w:b/>
          <w:bCs/>
          <w:snapToGrid w:val="0"/>
          <w:color w:val="000000" w:themeColor="text1"/>
          <w:spacing w:val="0"/>
          <w:w w:val="100"/>
          <w:kern w:val="18"/>
          <w:position w:val="0"/>
          <w:sz w:val="28"/>
          <w:szCs w:val="28"/>
          <w:lang w:val="en-US" w:eastAsia="en-US" w:bidi="ar-SA"/>
          <w14:textFill>
            <w14:solidFill>
              <w14:schemeClr w14:val="tx1"/>
            </w14:solidFill>
          </w14:textFill>
        </w:rPr>
        <w:t>1.1.1</w:t>
      </w:r>
      <w:r>
        <w:rPr>
          <w:rFonts w:hint="default" w:ascii="Times New Roman" w:hAnsi="Times New Roman" w:eastAsia="Times New Roman" w:cs="Times New Roman"/>
          <w:b/>
          <w:bCs/>
          <w:snapToGrid w:val="0"/>
          <w:color w:val="000000" w:themeColor="text1"/>
          <w:spacing w:val="0"/>
          <w:w w:val="100"/>
          <w:kern w:val="18"/>
          <w:position w:val="0"/>
          <w:sz w:val="28"/>
          <w:szCs w:val="28"/>
          <w:lang w:val="zh-CN" w:eastAsia="zh-CN" w:bidi="ar-SA"/>
          <w14:textFill>
            <w14:solidFill>
              <w14:schemeClr w14:val="tx1"/>
            </w14:solidFill>
          </w14:textFill>
        </w:rPr>
        <w:t>国家环境保护法律法规</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（1）</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《中华人民共和国环境保护法》（修订版，2015年1月1日实施）；</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《中华人民共和国环境影响评价法》（修订版，2016年9月1日实施）；</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（3）</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《中华人民共和国水污染防治法》（修正版，20</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18</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年</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月1日起实施）；</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（4）</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《中华人民共和国大气污染防治法》（修订版，2016年1月1日起实施）；</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（5）</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《中华人民共和国环境噪声污染防治法》</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eastAsia="宋体" w:cs="Times New Roman"/>
          <w:snapToGrid w:val="0"/>
          <w:color w:val="000000" w:themeColor="text1"/>
          <w:spacing w:val="0"/>
          <w:w w:val="100"/>
          <w:kern w:val="18"/>
          <w:position w:val="0"/>
          <w:sz w:val="24"/>
          <w:szCs w:val="24"/>
          <w:lang w:val="en-US" w:eastAsia="zh-CN" w:bidi="ar-SA"/>
          <w14:textFill>
            <w14:solidFill>
              <w14:schemeClr w14:val="tx1"/>
            </w14:solidFill>
          </w14:textFill>
        </w:rPr>
        <w:t>2018</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年</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12</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月</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29</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日</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修改</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（6）</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《中华人民共和国固体废物污染环境防治法》（修正版，201</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9</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年</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6</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月</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5</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日修订</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（7）</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《中华人民共和国防洪法》（修订版，2016年9月1日起施行）；</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（8）</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中华</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人民共和国土地管理法》（修改版，2004年8月28日起实施）；</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（9）</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《中华人民共和国节约能源法》（修订版，201</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8</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年</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10</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月</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26</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日</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修正</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（10）</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中华</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人民共和国循环经济促进法》</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w:t>
      </w:r>
      <w:r>
        <w:rPr>
          <w:rFonts w:hint="eastAsia" w:eastAsia="宋体" w:cs="Times New Roman"/>
          <w:snapToGrid w:val="0"/>
          <w:color w:val="000000" w:themeColor="text1"/>
          <w:spacing w:val="0"/>
          <w:w w:val="100"/>
          <w:kern w:val="18"/>
          <w:position w:val="0"/>
          <w:sz w:val="24"/>
          <w:szCs w:val="24"/>
          <w:lang w:val="en-US" w:eastAsia="zh-CN" w:bidi="ar-SA"/>
          <w14:textFill>
            <w14:solidFill>
              <w14:schemeClr w14:val="tx1"/>
            </w14:solidFill>
          </w14:textFill>
        </w:rPr>
        <w:t>18</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年</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12</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月</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26</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日</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修正</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（11）</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《中华人民共和国水土保持法》</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（201</w:t>
      </w:r>
      <w:r>
        <w:rPr>
          <w:rFonts w:hint="eastAsia" w:eastAsia="宋体" w:cs="Times New Roman"/>
          <w:snapToGrid w:val="0"/>
          <w:color w:val="000000" w:themeColor="text1"/>
          <w:spacing w:val="0"/>
          <w:w w:val="100"/>
          <w:kern w:val="18"/>
          <w:position w:val="0"/>
          <w:sz w:val="24"/>
          <w:szCs w:val="24"/>
          <w:lang w:val="en-US" w:eastAsia="zh-CN" w:bidi="ar-SA"/>
          <w14:textFill>
            <w14:solidFill>
              <w14:schemeClr w14:val="tx1"/>
            </w14:solidFill>
          </w14:textFill>
        </w:rPr>
        <w:t>0</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年</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12</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月</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25日</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修订）；</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（12）</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《中华人民共和国清洁生产促进法》</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（2012</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年7月1日起实施）；</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（13）</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《国务院关于加强节能工作的决定》（国发</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［2006］</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28号）；</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（14）</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《国务院关于印发全国主体功能区规划的通知》（国发［2010］46号）；</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（15）</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《国务院关于加强环境保护重点工作的意见》（国发［2011］35号）；</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（16）</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《国务院关于印发大气污染防治行动计划的通知》（国发［2013］37号文）；</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（17）</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《全国生态功能区划（修编版）》（国家环保部、中国科学院2015年第61号 公告）；</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（18）</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《建设</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项目</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环境影响评价分类管理名录》（中华人民共和国环境保护部令第33 号）；</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（19</w:t>
      </w:r>
      <w:r>
        <w:rPr>
          <w:rFonts w:hint="eastAsia" w:eastAsia="宋体" w:cs="Times New Roman"/>
          <w:snapToGrid w:val="0"/>
          <w:color w:val="000000" w:themeColor="text1"/>
          <w:spacing w:val="0"/>
          <w:w w:val="100"/>
          <w:kern w:val="18"/>
          <w:position w:val="0"/>
          <w:sz w:val="24"/>
          <w:szCs w:val="24"/>
          <w:lang w:val="en-US"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《企业事业单位突发环境事件应急预案</w:t>
      </w:r>
      <w:r>
        <w:rPr>
          <w:rFonts w:hint="default"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备案管理办法（试行）》的通知，环发〔2015〕4号</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《关于加强西部地区环境影响评价工作的通知》（环发［2011］150号）；</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（21）</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《关于切实加强环境影响评价监督管理工作的通知》（环办</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［2013］</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104号）；</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（22）</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《关于进一步加强环境影响评价管理防范环境风险的通知》（环发［2012］77号）；</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（23）</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《关于切实加强风险防范严格环境影响评价管理的通知》（环发[2012]98号）</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（24）</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《关于推进大气污染联防联控工作改善区域空气质量的指导意见》（国办发 （2010〕33号文）</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（25）</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《国家发展改革委关于支持新疆产业健康发展的若干意见》（国家发展和改革委员会发改产业</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 xml:space="preserve">[2012] </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1177号）</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（26）</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《关于规范火电等七个行业建设项</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项目</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 xml:space="preserve">环境影响评价文件审批的通知》（环发 </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[2015]</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第 112号）；</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（27）</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《国务院关于印发水污染防治行动计划的通知》（国发[2015]17号）；</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000000" w:themeColor="text1"/>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（28）</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关于发布《危险废物产生单位管理计划制定指南》的公告（环境保护部2016 年第7号）。</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0" w:firstLineChars="0"/>
        <w:jc w:val="left"/>
        <w:textAlignment w:val="auto"/>
        <w:outlineLvl w:val="2"/>
        <w:rPr>
          <w:rFonts w:hint="eastAsia" w:ascii="Times New Roman" w:hAnsi="Times New Roman" w:eastAsia="Times New Roman" w:cs="Times New Roman"/>
          <w:b/>
          <w:bCs/>
          <w:snapToGrid w:val="0"/>
          <w:color w:val="000000" w:themeColor="text1"/>
          <w:spacing w:val="0"/>
          <w:w w:val="100"/>
          <w:kern w:val="18"/>
          <w:position w:val="0"/>
          <w:sz w:val="28"/>
          <w:szCs w:val="28"/>
          <w:lang w:val="en-US" w:eastAsia="en-US" w:bidi="ar-SA"/>
          <w14:textFill>
            <w14:solidFill>
              <w14:schemeClr w14:val="tx1"/>
            </w14:solidFill>
          </w14:textFill>
        </w:rPr>
      </w:pPr>
      <w:r>
        <w:rPr>
          <w:rFonts w:hint="eastAsia" w:ascii="Times New Roman" w:hAnsi="Times New Roman" w:eastAsia="Times New Roman" w:cs="Times New Roman"/>
          <w:b/>
          <w:bCs/>
          <w:snapToGrid w:val="0"/>
          <w:color w:val="000000" w:themeColor="text1"/>
          <w:spacing w:val="0"/>
          <w:w w:val="100"/>
          <w:kern w:val="18"/>
          <w:position w:val="0"/>
          <w:sz w:val="28"/>
          <w:szCs w:val="28"/>
          <w:lang w:val="en-US" w:eastAsia="en-US" w:bidi="ar-SA"/>
          <w14:textFill>
            <w14:solidFill>
              <w14:schemeClr w14:val="tx1"/>
            </w14:solidFill>
          </w14:textFill>
        </w:rPr>
        <w:t>1.1.2</w:t>
      </w:r>
      <w:r>
        <w:rPr>
          <w:rFonts w:hint="eastAsia" w:ascii="Times New Roman" w:hAnsi="Times New Roman" w:eastAsia="Times New Roman" w:cs="Times New Roman"/>
          <w:b/>
          <w:bCs/>
          <w:snapToGrid w:val="0"/>
          <w:color w:val="000000" w:themeColor="text1"/>
          <w:spacing w:val="0"/>
          <w:w w:val="100"/>
          <w:kern w:val="18"/>
          <w:position w:val="0"/>
          <w:sz w:val="28"/>
          <w:szCs w:val="28"/>
          <w:lang w:val="zh-CN" w:eastAsia="zh-CN" w:bidi="ar-SA"/>
          <w14:textFill>
            <w14:solidFill>
              <w14:schemeClr w14:val="tx1"/>
            </w14:solidFill>
          </w14:textFill>
        </w:rPr>
        <w:t>国家电力环保政策及电力产业政策</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（1）</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《关于发展热电联产的规定》（国家计委、国家经贸委、建设部、国家环境保护总局发布•计基础</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 xml:space="preserve">[2000] </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1268号）</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《燃煤二氧化硫排放污染防治技术政策》（国家环保总局、国家经贸委、科技部•环发</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[2002]</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26号）</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（3）</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《关于加强燃煤电厂二氧化硫污染防治工作的通知》</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 xml:space="preserve">国家环境保护总局•环发 </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 xml:space="preserve">[2003] </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159号）</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（4）</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《关于燃煤电站项目规划和建设有关耍求的通知》（国家发展和改革委员会•发改能源</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[2004]</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864号）；</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（5）</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关于印发《热电联产和煤矸石综合利用发电项目建设管理暂行规定的通知》（国 家发展和改革委员会、建设部文件•发改能源</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 xml:space="preserve">[2007] </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141号）；</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（6）</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《关于火电企业脱硫设施旁路烟道挡板实施铅封的通知》（环办[2010]91号）；</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（7）</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《火电行业清洁生产评价指标体系（试行）》</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国家发展改革委2007年第24号公告）；</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（8）</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《粉煤灰综合利用管理办法》（发改委等10部门第19号令）</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（2013</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年3月1日施行）；</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（9）</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《关于印发〈煤电节能减排升级与改造行动计划</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（2014-2020</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年）＞的通知》（发改能源</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[2014]</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2093号）</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（2014</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年9月9日发布）</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（10）</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《关于印发〈全面实施燃煤电厂超低排放和节能改造工作方案〉的通知》（环发</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 xml:space="preserve">[2015] </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164号)；</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11</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《关于印发〈热电联产管理办法〉的通知》(发改能源[2016]617号)。</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0" w:firstLineChars="0"/>
        <w:jc w:val="left"/>
        <w:textAlignment w:val="auto"/>
        <w:outlineLvl w:val="2"/>
        <w:rPr>
          <w:rFonts w:hint="eastAsia" w:ascii="Times New Roman" w:hAnsi="Times New Roman" w:eastAsia="Times New Roman" w:cs="Times New Roman"/>
          <w:b/>
          <w:bCs/>
          <w:snapToGrid w:val="0"/>
          <w:color w:val="000000" w:themeColor="text1"/>
          <w:spacing w:val="0"/>
          <w:w w:val="100"/>
          <w:kern w:val="18"/>
          <w:position w:val="0"/>
          <w:sz w:val="28"/>
          <w:szCs w:val="28"/>
          <w:lang w:val="en-US" w:eastAsia="en-US" w:bidi="ar-SA"/>
          <w14:textFill>
            <w14:solidFill>
              <w14:schemeClr w14:val="tx1"/>
            </w14:solidFill>
          </w14:textFill>
        </w:rPr>
      </w:pPr>
      <w:r>
        <w:rPr>
          <w:rFonts w:hint="eastAsia" w:ascii="Times New Roman" w:hAnsi="Times New Roman" w:eastAsia="Times New Roman" w:cs="Times New Roman"/>
          <w:b/>
          <w:bCs/>
          <w:snapToGrid w:val="0"/>
          <w:color w:val="000000" w:themeColor="text1"/>
          <w:spacing w:val="0"/>
          <w:w w:val="100"/>
          <w:kern w:val="18"/>
          <w:position w:val="0"/>
          <w:sz w:val="28"/>
          <w:szCs w:val="28"/>
          <w:lang w:val="en-US" w:eastAsia="en-US" w:bidi="ar-SA"/>
          <w14:textFill>
            <w14:solidFill>
              <w14:schemeClr w14:val="tx1"/>
            </w14:solidFill>
          </w14:textFill>
        </w:rPr>
        <w:t>1.1.3</w:t>
      </w:r>
      <w:r>
        <w:rPr>
          <w:rFonts w:hint="eastAsia" w:ascii="Times New Roman" w:hAnsi="Times New Roman" w:eastAsia="Times New Roman" w:cs="Times New Roman"/>
          <w:b/>
          <w:bCs/>
          <w:snapToGrid w:val="0"/>
          <w:color w:val="000000" w:themeColor="text1"/>
          <w:spacing w:val="0"/>
          <w:w w:val="100"/>
          <w:kern w:val="18"/>
          <w:position w:val="0"/>
          <w:sz w:val="28"/>
          <w:szCs w:val="28"/>
          <w:lang w:val="zh-CN" w:eastAsia="zh-CN" w:bidi="ar-SA"/>
          <w14:textFill>
            <w14:solidFill>
              <w14:schemeClr w14:val="tx1"/>
            </w14:solidFill>
          </w14:textFill>
        </w:rPr>
        <w:t>地方法律法规及环保规定和要求</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《关于落实科学发展观切实加强环境保护工作的决定》(新疆维吾尔自治区人民政府•新政发</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 xml:space="preserve">[2006] </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71号)</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2</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《关于印发自治区火电行业“十二五”主要污染物排放总量控制管理办法的通知》(新疆维吾尔自治区环保厅文件•新环总量发[201[]329号)；</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3</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《关于切实加强风险防范严格环境影响评价管理的通知》(新疆维吾尔自治区环境保护厅</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环发[2012]98号)；</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eastAsia="宋体" w:cs="Times New Roman"/>
          <w:snapToGrid w:val="0"/>
          <w:color w:val="000000" w:themeColor="text1"/>
          <w:spacing w:val="0"/>
          <w:w w:val="100"/>
          <w:kern w:val="18"/>
          <w:position w:val="0"/>
          <w:sz w:val="24"/>
          <w:szCs w:val="24"/>
          <w:lang w:val="en-US" w:eastAsia="zh-CN" w:bidi="ar-SA"/>
          <w14:textFill>
            <w14:solidFill>
              <w14:schemeClr w14:val="tx1"/>
            </w14:solidFill>
          </w14:textFill>
        </w:rPr>
        <w:t>（4）</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关于印发《新疆维吾尔自治区环保厅规划与建设项目环境影响评价管理办法》 的通知(新疆维吾尔自治区环境保护厅•新环评价发[2012]499号)</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5</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《新疆维吾尔自治区环境保护条例》，201</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8</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年</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9</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月</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21</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日</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修正</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6</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新疆维吾尔自治区环境保护局•中国新疆水环境功能区划</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(2003</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年12月)；</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7</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新疆维吾尔自治区发改委•《新疆维吾尔</w:t>
      </w:r>
      <w:r>
        <w:rPr>
          <w:rFonts w:hint="eastAsia" w:eastAsia="宋体" w:cs="Times New Roman"/>
          <w:snapToGrid w:val="0"/>
          <w:color w:val="000000" w:themeColor="text1"/>
          <w:spacing w:val="0"/>
          <w:w w:val="100"/>
          <w:kern w:val="18"/>
          <w:position w:val="0"/>
          <w:sz w:val="24"/>
          <w:szCs w:val="24"/>
          <w:lang w:val="en-US" w:eastAsia="zh-CN" w:bidi="ar-SA"/>
          <w14:textFill>
            <w14:solidFill>
              <w14:schemeClr w14:val="tx1"/>
            </w14:solidFill>
          </w14:textFill>
        </w:rPr>
        <w:t>自</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治区主体功能区规划》</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(2012</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年12月)；</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8</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新疆维吾尔自治区环境保护厅</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新疆维吾尔自治区建设项目环境影响评价公众参与暂行规定：</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9</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新疆维吾尔自治区环境保护厅</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《新疆维吾尔</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自</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治区重点行业环境准入条件》；</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10</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克拉玛依市生态环境建设与保护规划</w:t>
      </w:r>
      <w:r>
        <w:rPr>
          <w:rFonts w:hint="eastAsia" w:ascii="Times New Roman" w:hAnsi="Times New Roman" w:eastAsia="Times New Roman" w:cs="Times New Roman"/>
          <w:snapToGrid w:val="0"/>
          <w:color w:val="000000" w:themeColor="text1"/>
          <w:spacing w:val="0"/>
          <w:w w:val="100"/>
          <w:kern w:val="18"/>
          <w:position w:val="0"/>
          <w:sz w:val="24"/>
          <w:szCs w:val="24"/>
          <w:lang w:val="en-US" w:eastAsia="en-US" w:bidi="ar-SA"/>
          <w14:textFill>
            <w14:solidFill>
              <w14:schemeClr w14:val="tx1"/>
            </w14:solidFill>
          </w14:textFill>
        </w:rPr>
        <w:t>(2006-2020</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年)；</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000000" w:themeColor="text1"/>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11</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lang w:val="zh-CN" w:eastAsia="zh-CN" w:bidi="ar-SA"/>
          <w14:textFill>
            <w14:solidFill>
              <w14:schemeClr w14:val="tx1"/>
            </w14:solidFill>
          </w14:textFill>
        </w:rPr>
        <w:t>克拉玛依市“十三五”能源发展规划。</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0" w:firstLineChars="0"/>
        <w:jc w:val="left"/>
        <w:textAlignment w:val="auto"/>
        <w:outlineLvl w:val="2"/>
        <w:rPr>
          <w:rFonts w:hint="eastAsia" w:ascii="Times New Roman" w:hAnsi="Times New Roman" w:eastAsia="Times New Roman" w:cs="Times New Roman"/>
          <w:b/>
          <w:bCs/>
          <w:snapToGrid w:val="0"/>
          <w:color w:val="000000" w:themeColor="text1"/>
          <w:spacing w:val="0"/>
          <w:w w:val="100"/>
          <w:kern w:val="18"/>
          <w:position w:val="0"/>
          <w:sz w:val="28"/>
          <w:szCs w:val="28"/>
          <w:lang w:val="en-US" w:eastAsia="en-US" w:bidi="ar-SA"/>
          <w14:textFill>
            <w14:solidFill>
              <w14:schemeClr w14:val="tx1"/>
            </w14:solidFill>
          </w14:textFill>
        </w:rPr>
      </w:pPr>
      <w:r>
        <w:rPr>
          <w:rFonts w:hint="eastAsia" w:ascii="Times New Roman" w:hAnsi="Times New Roman" w:eastAsia="Times New Roman" w:cs="Times New Roman"/>
          <w:b/>
          <w:bCs/>
          <w:snapToGrid w:val="0"/>
          <w:color w:val="000000" w:themeColor="text1"/>
          <w:spacing w:val="0"/>
          <w:w w:val="100"/>
          <w:kern w:val="18"/>
          <w:position w:val="0"/>
          <w:sz w:val="28"/>
          <w:szCs w:val="28"/>
          <w:lang w:val="en-US" w:eastAsia="en-US" w:bidi="ar-SA"/>
          <w14:textFill>
            <w14:solidFill>
              <w14:schemeClr w14:val="tx1"/>
            </w14:solidFill>
          </w14:textFill>
        </w:rPr>
        <w:t>1.1.4</w:t>
      </w:r>
      <w:r>
        <w:rPr>
          <w:rFonts w:hint="eastAsia" w:ascii="Times New Roman" w:hAnsi="Times New Roman" w:eastAsia="Times New Roman" w:cs="Times New Roman"/>
          <w:b/>
          <w:bCs/>
          <w:snapToGrid w:val="0"/>
          <w:color w:val="000000" w:themeColor="text1"/>
          <w:spacing w:val="0"/>
          <w:w w:val="100"/>
          <w:kern w:val="18"/>
          <w:position w:val="0"/>
          <w:sz w:val="28"/>
          <w:szCs w:val="28"/>
          <w:lang w:val="zh-CN" w:eastAsia="zh-CN" w:bidi="ar-SA"/>
          <w14:textFill>
            <w14:solidFill>
              <w14:schemeClr w14:val="tx1"/>
            </w14:solidFill>
          </w14:textFill>
        </w:rPr>
        <w:t>环境影响评价技术导则</w:t>
      </w:r>
    </w:p>
    <w:p>
      <w:pPr>
        <w:pStyle w:val="49"/>
        <w:overflowPunct w:val="0"/>
        <w:spacing w:line="360" w:lineRule="auto"/>
        <w:ind w:firstLine="480"/>
        <w:rPr>
          <w:rFonts w:ascii="Times New Roman" w:hAnsi="Times New Roman" w:eastAsia="宋体"/>
          <w:color w:val="000000" w:themeColor="text1"/>
          <w:kern w:val="18"/>
          <w14:textFill>
            <w14:solidFill>
              <w14:schemeClr w14:val="tx1"/>
            </w14:solidFill>
          </w14:textFill>
        </w:rPr>
      </w:pPr>
      <w:r>
        <w:rPr>
          <w:rFonts w:hint="eastAsia" w:ascii="Times New Roman" w:hAnsi="Times New Roman" w:eastAsia="宋体"/>
          <w:color w:val="000000" w:themeColor="text1"/>
          <w:kern w:val="18"/>
          <w:lang w:eastAsia="zh-CN"/>
          <w14:textFill>
            <w14:solidFill>
              <w14:schemeClr w14:val="tx1"/>
            </w14:solidFill>
          </w14:textFill>
        </w:rPr>
        <w:t>（</w:t>
      </w:r>
      <w:r>
        <w:rPr>
          <w:rFonts w:hint="eastAsia" w:ascii="Times New Roman" w:hAnsi="Times New Roman" w:eastAsia="宋体"/>
          <w:color w:val="000000" w:themeColor="text1"/>
          <w:kern w:val="18"/>
          <w:lang w:val="en-US" w:eastAsia="zh-CN"/>
          <w14:textFill>
            <w14:solidFill>
              <w14:schemeClr w14:val="tx1"/>
            </w14:solidFill>
          </w14:textFill>
        </w:rPr>
        <w:t>1</w:t>
      </w:r>
      <w:r>
        <w:rPr>
          <w:rFonts w:hint="eastAsia" w:ascii="Times New Roman" w:hAnsi="Times New Roman" w:eastAsia="宋体"/>
          <w:color w:val="000000" w:themeColor="text1"/>
          <w:kern w:val="18"/>
          <w:lang w:eastAsia="zh-CN"/>
          <w14:textFill>
            <w14:solidFill>
              <w14:schemeClr w14:val="tx1"/>
            </w14:solidFill>
          </w14:textFill>
        </w:rPr>
        <w:t>）</w:t>
      </w:r>
      <w:r>
        <w:rPr>
          <w:rFonts w:ascii="Times New Roman" w:hAnsi="Times New Roman" w:eastAsia="宋体"/>
          <w:color w:val="000000" w:themeColor="text1"/>
          <w:kern w:val="18"/>
          <w14:textFill>
            <w14:solidFill>
              <w14:schemeClr w14:val="tx1"/>
            </w14:solidFill>
          </w14:textFill>
        </w:rPr>
        <w:t>《环境影响评价技术导则 总纲》(HJ2.1-2016)；</w:t>
      </w:r>
    </w:p>
    <w:p>
      <w:pPr>
        <w:pStyle w:val="49"/>
        <w:overflowPunct w:val="0"/>
        <w:spacing w:line="360" w:lineRule="auto"/>
        <w:ind w:firstLine="480"/>
        <w:rPr>
          <w:rFonts w:ascii="Times New Roman" w:hAnsi="Times New Roman" w:eastAsia="宋体"/>
          <w:color w:val="000000" w:themeColor="text1"/>
          <w:kern w:val="18"/>
          <w14:textFill>
            <w14:solidFill>
              <w14:schemeClr w14:val="tx1"/>
            </w14:solidFill>
          </w14:textFill>
        </w:rPr>
      </w:pPr>
      <w:r>
        <w:rPr>
          <w:rFonts w:hint="eastAsia" w:ascii="Times New Roman" w:hAnsi="Times New Roman" w:eastAsia="宋体"/>
          <w:color w:val="000000" w:themeColor="text1"/>
          <w:kern w:val="18"/>
          <w:lang w:eastAsia="zh-CN"/>
          <w14:textFill>
            <w14:solidFill>
              <w14:schemeClr w14:val="tx1"/>
            </w14:solidFill>
          </w14:textFill>
        </w:rPr>
        <w:t>（</w:t>
      </w:r>
      <w:r>
        <w:rPr>
          <w:rFonts w:hint="eastAsia" w:ascii="Times New Roman" w:hAnsi="Times New Roman" w:eastAsia="宋体"/>
          <w:color w:val="000000" w:themeColor="text1"/>
          <w:kern w:val="18"/>
          <w:lang w:val="en-US" w:eastAsia="zh-CN"/>
          <w14:textFill>
            <w14:solidFill>
              <w14:schemeClr w14:val="tx1"/>
            </w14:solidFill>
          </w14:textFill>
        </w:rPr>
        <w:t>2</w:t>
      </w:r>
      <w:r>
        <w:rPr>
          <w:rFonts w:hint="eastAsia" w:ascii="Times New Roman" w:hAnsi="Times New Roman" w:eastAsia="宋体"/>
          <w:color w:val="000000" w:themeColor="text1"/>
          <w:kern w:val="18"/>
          <w:lang w:eastAsia="zh-CN"/>
          <w14:textFill>
            <w14:solidFill>
              <w14:schemeClr w14:val="tx1"/>
            </w14:solidFill>
          </w14:textFill>
        </w:rPr>
        <w:t>）</w:t>
      </w:r>
      <w:r>
        <w:rPr>
          <w:rFonts w:ascii="Times New Roman" w:hAnsi="Times New Roman" w:eastAsia="宋体"/>
          <w:color w:val="000000" w:themeColor="text1"/>
          <w:kern w:val="18"/>
          <w14:textFill>
            <w14:solidFill>
              <w14:schemeClr w14:val="tx1"/>
            </w14:solidFill>
          </w14:textFill>
        </w:rPr>
        <w:t>《环境影响评价技术导则 大气环境》(HJ2.2-2018)；</w:t>
      </w:r>
    </w:p>
    <w:p>
      <w:pPr>
        <w:pStyle w:val="49"/>
        <w:overflowPunct w:val="0"/>
        <w:spacing w:line="360" w:lineRule="auto"/>
        <w:ind w:firstLine="480"/>
        <w:rPr>
          <w:rFonts w:ascii="Times New Roman" w:hAnsi="Times New Roman" w:eastAsia="宋体"/>
          <w:color w:val="000000" w:themeColor="text1"/>
          <w:kern w:val="18"/>
          <w14:textFill>
            <w14:solidFill>
              <w14:schemeClr w14:val="tx1"/>
            </w14:solidFill>
          </w14:textFill>
        </w:rPr>
      </w:pPr>
      <w:r>
        <w:rPr>
          <w:rFonts w:hint="eastAsia" w:ascii="Times New Roman" w:hAnsi="Times New Roman" w:eastAsia="宋体"/>
          <w:color w:val="000000" w:themeColor="text1"/>
          <w:kern w:val="18"/>
          <w:lang w:eastAsia="zh-CN"/>
          <w14:textFill>
            <w14:solidFill>
              <w14:schemeClr w14:val="tx1"/>
            </w14:solidFill>
          </w14:textFill>
        </w:rPr>
        <w:t>（</w:t>
      </w:r>
      <w:r>
        <w:rPr>
          <w:rFonts w:hint="eastAsia" w:ascii="Times New Roman" w:hAnsi="Times New Roman" w:eastAsia="宋体"/>
          <w:color w:val="000000" w:themeColor="text1"/>
          <w:kern w:val="18"/>
          <w:lang w:val="en-US" w:eastAsia="zh-CN"/>
          <w14:textFill>
            <w14:solidFill>
              <w14:schemeClr w14:val="tx1"/>
            </w14:solidFill>
          </w14:textFill>
        </w:rPr>
        <w:t>3</w:t>
      </w:r>
      <w:r>
        <w:rPr>
          <w:rFonts w:hint="eastAsia" w:ascii="Times New Roman" w:hAnsi="Times New Roman" w:eastAsia="宋体"/>
          <w:color w:val="000000" w:themeColor="text1"/>
          <w:kern w:val="18"/>
          <w:lang w:eastAsia="zh-CN"/>
          <w14:textFill>
            <w14:solidFill>
              <w14:schemeClr w14:val="tx1"/>
            </w14:solidFill>
          </w14:textFill>
        </w:rPr>
        <w:t>）</w:t>
      </w:r>
      <w:r>
        <w:rPr>
          <w:rFonts w:ascii="Times New Roman" w:hAnsi="Times New Roman" w:eastAsia="宋体"/>
          <w:color w:val="000000" w:themeColor="text1"/>
          <w:kern w:val="18"/>
          <w14:textFill>
            <w14:solidFill>
              <w14:schemeClr w14:val="tx1"/>
            </w14:solidFill>
          </w14:textFill>
        </w:rPr>
        <w:t>《环境影响评价技术导则 声环境》(HJ2.4-2009)；</w:t>
      </w:r>
    </w:p>
    <w:p>
      <w:pPr>
        <w:pStyle w:val="49"/>
        <w:overflowPunct w:val="0"/>
        <w:spacing w:line="360" w:lineRule="auto"/>
        <w:ind w:firstLine="480"/>
        <w:rPr>
          <w:rFonts w:ascii="Times New Roman" w:hAnsi="Times New Roman" w:eastAsia="宋体"/>
          <w:color w:val="000000" w:themeColor="text1"/>
          <w:kern w:val="18"/>
          <w14:textFill>
            <w14:solidFill>
              <w14:schemeClr w14:val="tx1"/>
            </w14:solidFill>
          </w14:textFill>
        </w:rPr>
      </w:pPr>
      <w:r>
        <w:rPr>
          <w:rFonts w:hint="eastAsia" w:ascii="Times New Roman" w:hAnsi="Times New Roman" w:eastAsia="宋体"/>
          <w:color w:val="000000" w:themeColor="text1"/>
          <w:kern w:val="18"/>
          <w:lang w:eastAsia="zh-CN"/>
          <w14:textFill>
            <w14:solidFill>
              <w14:schemeClr w14:val="tx1"/>
            </w14:solidFill>
          </w14:textFill>
        </w:rPr>
        <w:t>（</w:t>
      </w:r>
      <w:r>
        <w:rPr>
          <w:rFonts w:hint="eastAsia" w:ascii="Times New Roman" w:hAnsi="Times New Roman" w:eastAsia="宋体"/>
          <w:color w:val="000000" w:themeColor="text1"/>
          <w:kern w:val="18"/>
          <w:lang w:val="en-US" w:eastAsia="zh-CN"/>
          <w14:textFill>
            <w14:solidFill>
              <w14:schemeClr w14:val="tx1"/>
            </w14:solidFill>
          </w14:textFill>
        </w:rPr>
        <w:t>4</w:t>
      </w:r>
      <w:r>
        <w:rPr>
          <w:rFonts w:hint="eastAsia" w:ascii="Times New Roman" w:hAnsi="Times New Roman" w:eastAsia="宋体"/>
          <w:color w:val="000000" w:themeColor="text1"/>
          <w:kern w:val="18"/>
          <w:lang w:eastAsia="zh-CN"/>
          <w14:textFill>
            <w14:solidFill>
              <w14:schemeClr w14:val="tx1"/>
            </w14:solidFill>
          </w14:textFill>
        </w:rPr>
        <w:t>）</w:t>
      </w:r>
      <w:r>
        <w:rPr>
          <w:rFonts w:ascii="Times New Roman" w:hAnsi="Times New Roman" w:eastAsia="宋体"/>
          <w:color w:val="000000" w:themeColor="text1"/>
          <w:kern w:val="18"/>
          <w14:textFill>
            <w14:solidFill>
              <w14:schemeClr w14:val="tx1"/>
            </w14:solidFill>
          </w14:textFill>
        </w:rPr>
        <w:t>《环境影响评价技术导则 地表水环境》(HJ2.3-2018)；</w:t>
      </w:r>
    </w:p>
    <w:p>
      <w:pPr>
        <w:pStyle w:val="49"/>
        <w:overflowPunct w:val="0"/>
        <w:spacing w:line="360" w:lineRule="auto"/>
        <w:ind w:firstLine="480"/>
        <w:rPr>
          <w:rFonts w:ascii="Times New Roman" w:hAnsi="Times New Roman" w:eastAsia="宋体"/>
          <w:color w:val="000000" w:themeColor="text1"/>
          <w:kern w:val="18"/>
          <w14:textFill>
            <w14:solidFill>
              <w14:schemeClr w14:val="tx1"/>
            </w14:solidFill>
          </w14:textFill>
        </w:rPr>
      </w:pPr>
      <w:r>
        <w:rPr>
          <w:rFonts w:hint="eastAsia" w:ascii="Times New Roman" w:hAnsi="Times New Roman" w:eastAsia="宋体"/>
          <w:color w:val="000000" w:themeColor="text1"/>
          <w:kern w:val="18"/>
          <w:lang w:eastAsia="zh-CN"/>
          <w14:textFill>
            <w14:solidFill>
              <w14:schemeClr w14:val="tx1"/>
            </w14:solidFill>
          </w14:textFill>
        </w:rPr>
        <w:t>（</w:t>
      </w:r>
      <w:r>
        <w:rPr>
          <w:rFonts w:hint="eastAsia" w:ascii="Times New Roman" w:hAnsi="Times New Roman" w:eastAsia="宋体"/>
          <w:color w:val="000000" w:themeColor="text1"/>
          <w:kern w:val="18"/>
          <w:lang w:val="en-US" w:eastAsia="zh-CN"/>
          <w14:textFill>
            <w14:solidFill>
              <w14:schemeClr w14:val="tx1"/>
            </w14:solidFill>
          </w14:textFill>
        </w:rPr>
        <w:t>5</w:t>
      </w:r>
      <w:r>
        <w:rPr>
          <w:rFonts w:hint="eastAsia" w:ascii="Times New Roman" w:hAnsi="Times New Roman" w:eastAsia="宋体"/>
          <w:color w:val="000000" w:themeColor="text1"/>
          <w:kern w:val="18"/>
          <w:lang w:eastAsia="zh-CN"/>
          <w14:textFill>
            <w14:solidFill>
              <w14:schemeClr w14:val="tx1"/>
            </w14:solidFill>
          </w14:textFill>
        </w:rPr>
        <w:t>）</w:t>
      </w:r>
      <w:r>
        <w:rPr>
          <w:rFonts w:ascii="Times New Roman" w:hAnsi="Times New Roman" w:eastAsia="宋体"/>
          <w:color w:val="000000" w:themeColor="text1"/>
          <w:kern w:val="18"/>
          <w14:textFill>
            <w14:solidFill>
              <w14:schemeClr w14:val="tx1"/>
            </w14:solidFill>
          </w14:textFill>
        </w:rPr>
        <w:t>《环境影响评价技术导则 地下水环境》(HJ610-2016)；</w:t>
      </w:r>
    </w:p>
    <w:p>
      <w:pPr>
        <w:pStyle w:val="49"/>
        <w:overflowPunct w:val="0"/>
        <w:spacing w:line="360" w:lineRule="auto"/>
        <w:ind w:firstLine="480"/>
        <w:rPr>
          <w:rFonts w:ascii="Times New Roman" w:hAnsi="Times New Roman" w:eastAsia="宋体"/>
          <w:color w:val="000000" w:themeColor="text1"/>
          <w:kern w:val="18"/>
          <w14:textFill>
            <w14:solidFill>
              <w14:schemeClr w14:val="tx1"/>
            </w14:solidFill>
          </w14:textFill>
        </w:rPr>
      </w:pPr>
      <w:r>
        <w:rPr>
          <w:rFonts w:hint="eastAsia" w:ascii="Times New Roman" w:hAnsi="Times New Roman" w:eastAsia="宋体"/>
          <w:color w:val="000000" w:themeColor="text1"/>
          <w:kern w:val="18"/>
          <w:lang w:eastAsia="zh-CN"/>
          <w14:textFill>
            <w14:solidFill>
              <w14:schemeClr w14:val="tx1"/>
            </w14:solidFill>
          </w14:textFill>
        </w:rPr>
        <w:t>（</w:t>
      </w:r>
      <w:r>
        <w:rPr>
          <w:rFonts w:hint="eastAsia" w:ascii="Times New Roman" w:hAnsi="Times New Roman" w:eastAsia="宋体"/>
          <w:color w:val="000000" w:themeColor="text1"/>
          <w:kern w:val="18"/>
          <w:lang w:val="en-US" w:eastAsia="zh-CN"/>
          <w14:textFill>
            <w14:solidFill>
              <w14:schemeClr w14:val="tx1"/>
            </w14:solidFill>
          </w14:textFill>
        </w:rPr>
        <w:t>6</w:t>
      </w:r>
      <w:r>
        <w:rPr>
          <w:rFonts w:hint="eastAsia" w:ascii="Times New Roman" w:hAnsi="Times New Roman" w:eastAsia="宋体"/>
          <w:color w:val="000000" w:themeColor="text1"/>
          <w:kern w:val="18"/>
          <w:lang w:eastAsia="zh-CN"/>
          <w14:textFill>
            <w14:solidFill>
              <w14:schemeClr w14:val="tx1"/>
            </w14:solidFill>
          </w14:textFill>
        </w:rPr>
        <w:t>）</w:t>
      </w:r>
      <w:r>
        <w:rPr>
          <w:rFonts w:ascii="Times New Roman" w:hAnsi="Times New Roman" w:eastAsia="宋体"/>
          <w:color w:val="000000" w:themeColor="text1"/>
          <w:kern w:val="18"/>
          <w14:textFill>
            <w14:solidFill>
              <w14:schemeClr w14:val="tx1"/>
            </w14:solidFill>
          </w14:textFill>
        </w:rPr>
        <w:t>《环境影响评价技术导则 生态影响》(HJ19-2011)；</w:t>
      </w:r>
    </w:p>
    <w:p>
      <w:pPr>
        <w:pStyle w:val="49"/>
        <w:overflowPunct w:val="0"/>
        <w:spacing w:line="360" w:lineRule="auto"/>
        <w:ind w:firstLine="480"/>
        <w:rPr>
          <w:rFonts w:hint="eastAsia" w:ascii="Times New Roman" w:hAnsi="Times New Roman" w:eastAsia="宋体"/>
          <w:color w:val="000000" w:themeColor="text1"/>
          <w:kern w:val="18"/>
          <w:lang w:eastAsia="zh-CN"/>
          <w14:textFill>
            <w14:solidFill>
              <w14:schemeClr w14:val="tx1"/>
            </w14:solidFill>
          </w14:textFill>
        </w:rPr>
      </w:pPr>
      <w:r>
        <w:rPr>
          <w:rFonts w:hint="eastAsia" w:ascii="Times New Roman" w:hAnsi="Times New Roman" w:eastAsia="宋体"/>
          <w:color w:val="000000" w:themeColor="text1"/>
          <w:kern w:val="18"/>
          <w:lang w:eastAsia="zh-CN"/>
          <w14:textFill>
            <w14:solidFill>
              <w14:schemeClr w14:val="tx1"/>
            </w14:solidFill>
          </w14:textFill>
        </w:rPr>
        <w:t>（</w:t>
      </w:r>
      <w:r>
        <w:rPr>
          <w:rFonts w:hint="eastAsia" w:ascii="Times New Roman" w:hAnsi="Times New Roman" w:eastAsia="宋体"/>
          <w:color w:val="000000" w:themeColor="text1"/>
          <w:kern w:val="18"/>
          <w:lang w:val="en-US" w:eastAsia="zh-CN"/>
          <w14:textFill>
            <w14:solidFill>
              <w14:schemeClr w14:val="tx1"/>
            </w14:solidFill>
          </w14:textFill>
        </w:rPr>
        <w:t>7</w:t>
      </w:r>
      <w:r>
        <w:rPr>
          <w:rFonts w:hint="eastAsia" w:ascii="Times New Roman" w:hAnsi="Times New Roman" w:eastAsia="宋体"/>
          <w:color w:val="000000" w:themeColor="text1"/>
          <w:kern w:val="18"/>
          <w:lang w:eastAsia="zh-CN"/>
          <w14:textFill>
            <w14:solidFill>
              <w14:schemeClr w14:val="tx1"/>
            </w14:solidFill>
          </w14:textFill>
        </w:rPr>
        <w:t>）</w:t>
      </w:r>
      <w:r>
        <w:rPr>
          <w:rFonts w:hint="default" w:ascii="Times New Roman" w:hAnsi="Times New Roman" w:eastAsia="宋体"/>
          <w:color w:val="000000" w:themeColor="text1"/>
          <w:kern w:val="18"/>
          <w:lang w:eastAsia="zh-CN"/>
          <w14:textFill>
            <w14:solidFill>
              <w14:schemeClr w14:val="tx1"/>
            </w14:solidFill>
          </w14:textFill>
        </w:rPr>
        <w:t>《</w:t>
      </w:r>
      <w:r>
        <w:rPr>
          <w:rFonts w:hint="default" w:ascii="Times New Roman" w:hAnsi="Times New Roman" w:eastAsia="宋体"/>
          <w:color w:val="000000" w:themeColor="text1"/>
          <w:kern w:val="18"/>
          <w14:textFill>
            <w14:solidFill>
              <w14:schemeClr w14:val="tx1"/>
            </w14:solidFill>
          </w14:textFill>
        </w:rPr>
        <w:t>环境影响评价技术导则</w:t>
      </w:r>
      <w:r>
        <w:rPr>
          <w:rFonts w:hint="default" w:ascii="Times New Roman" w:hAnsi="Times New Roman" w:eastAsia="宋体"/>
          <w:color w:val="000000" w:themeColor="text1"/>
          <w:kern w:val="18"/>
          <w:lang w:val="en-US" w:eastAsia="zh-CN"/>
          <w14:textFill>
            <w14:solidFill>
              <w14:schemeClr w14:val="tx1"/>
            </w14:solidFill>
          </w14:textFill>
        </w:rPr>
        <w:t xml:space="preserve"> 土壤环境（试行）</w:t>
      </w:r>
      <w:r>
        <w:rPr>
          <w:rFonts w:hint="default" w:ascii="Times New Roman" w:hAnsi="Times New Roman" w:eastAsia="宋体"/>
          <w:color w:val="000000" w:themeColor="text1"/>
          <w:kern w:val="18"/>
          <w:lang w:eastAsia="zh-CN"/>
          <w14:textFill>
            <w14:solidFill>
              <w14:schemeClr w14:val="tx1"/>
            </w14:solidFill>
          </w14:textFill>
        </w:rPr>
        <w:t>》</w:t>
      </w:r>
      <w:r>
        <w:rPr>
          <w:rFonts w:hint="default" w:ascii="Times New Roman" w:hAnsi="Times New Roman" w:eastAsia="宋体"/>
          <w:color w:val="000000" w:themeColor="text1"/>
          <w:kern w:val="18"/>
          <w14:textFill>
            <w14:solidFill>
              <w14:schemeClr w14:val="tx1"/>
            </w14:solidFill>
          </w14:textFill>
        </w:rPr>
        <w:t>HJ</w:t>
      </w:r>
      <w:r>
        <w:rPr>
          <w:rFonts w:hint="default" w:ascii="Times New Roman" w:hAnsi="Times New Roman" w:eastAsia="宋体"/>
          <w:color w:val="000000" w:themeColor="text1"/>
          <w:kern w:val="18"/>
          <w:lang w:val="en-US" w:eastAsia="zh-CN"/>
          <w14:textFill>
            <w14:solidFill>
              <w14:schemeClr w14:val="tx1"/>
            </w14:solidFill>
          </w14:textFill>
        </w:rPr>
        <w:t>964</w:t>
      </w:r>
      <w:r>
        <w:rPr>
          <w:rFonts w:hint="default" w:ascii="Times New Roman" w:hAnsi="Times New Roman" w:eastAsia="宋体"/>
          <w:color w:val="000000" w:themeColor="text1"/>
          <w:kern w:val="18"/>
          <w14:textFill>
            <w14:solidFill>
              <w14:schemeClr w14:val="tx1"/>
            </w14:solidFill>
          </w14:textFill>
        </w:rPr>
        <w:t>-20</w:t>
      </w:r>
      <w:r>
        <w:rPr>
          <w:rFonts w:hint="default" w:ascii="Times New Roman" w:hAnsi="Times New Roman" w:eastAsia="宋体"/>
          <w:color w:val="000000" w:themeColor="text1"/>
          <w:kern w:val="18"/>
          <w:lang w:val="en-US" w:eastAsia="zh-CN"/>
          <w14:textFill>
            <w14:solidFill>
              <w14:schemeClr w14:val="tx1"/>
            </w14:solidFill>
          </w14:textFill>
        </w:rPr>
        <w:t>18</w:t>
      </w:r>
      <w:r>
        <w:rPr>
          <w:rFonts w:hint="eastAsia" w:ascii="Times New Roman" w:hAnsi="Times New Roman" w:eastAsia="宋体"/>
          <w:color w:val="000000" w:themeColor="text1"/>
          <w:kern w:val="18"/>
          <w:lang w:eastAsia="zh-CN"/>
          <w14:textFill>
            <w14:solidFill>
              <w14:schemeClr w14:val="tx1"/>
            </w14:solidFill>
          </w14:textFill>
        </w:rPr>
        <w:t>；</w:t>
      </w:r>
    </w:p>
    <w:p>
      <w:pPr>
        <w:pStyle w:val="49"/>
        <w:overflowPunct w:val="0"/>
        <w:spacing w:line="360" w:lineRule="auto"/>
        <w:ind w:firstLine="480"/>
        <w:rPr>
          <w:rFonts w:ascii="Times New Roman" w:hAnsi="Times New Roman" w:eastAsia="宋体"/>
          <w:color w:val="000000" w:themeColor="text1"/>
          <w:kern w:val="18"/>
          <w14:textFill>
            <w14:solidFill>
              <w14:schemeClr w14:val="tx1"/>
            </w14:solidFill>
          </w14:textFill>
        </w:rPr>
      </w:pPr>
      <w:r>
        <w:rPr>
          <w:rFonts w:hint="eastAsia" w:ascii="Times New Roman" w:hAnsi="Times New Roman" w:eastAsia="宋体"/>
          <w:color w:val="000000" w:themeColor="text1"/>
          <w:kern w:val="18"/>
          <w:lang w:eastAsia="zh-CN"/>
          <w14:textFill>
            <w14:solidFill>
              <w14:schemeClr w14:val="tx1"/>
            </w14:solidFill>
          </w14:textFill>
        </w:rPr>
        <w:t>（</w:t>
      </w:r>
      <w:r>
        <w:rPr>
          <w:rFonts w:hint="eastAsia" w:ascii="Times New Roman" w:hAnsi="Times New Roman" w:eastAsia="宋体"/>
          <w:color w:val="000000" w:themeColor="text1"/>
          <w:kern w:val="18"/>
          <w:lang w:val="en-US" w:eastAsia="zh-CN"/>
          <w14:textFill>
            <w14:solidFill>
              <w14:schemeClr w14:val="tx1"/>
            </w14:solidFill>
          </w14:textFill>
        </w:rPr>
        <w:t>8</w:t>
      </w:r>
      <w:r>
        <w:rPr>
          <w:rFonts w:hint="eastAsia" w:ascii="Times New Roman" w:hAnsi="Times New Roman" w:eastAsia="宋体"/>
          <w:color w:val="000000" w:themeColor="text1"/>
          <w:kern w:val="18"/>
          <w:lang w:eastAsia="zh-CN"/>
          <w14:textFill>
            <w14:solidFill>
              <w14:schemeClr w14:val="tx1"/>
            </w14:solidFill>
          </w14:textFill>
        </w:rPr>
        <w:t>）</w:t>
      </w:r>
      <w:r>
        <w:rPr>
          <w:rFonts w:ascii="Times New Roman" w:hAnsi="Times New Roman" w:eastAsia="宋体"/>
          <w:color w:val="000000" w:themeColor="text1"/>
          <w:kern w:val="18"/>
          <w14:textFill>
            <w14:solidFill>
              <w14:schemeClr w14:val="tx1"/>
            </w14:solidFill>
          </w14:textFill>
        </w:rPr>
        <w:t>《建设项目环境风险评价技术导则》(HJ169-2018)；</w:t>
      </w:r>
    </w:p>
    <w:p>
      <w:pPr>
        <w:pStyle w:val="49"/>
        <w:overflowPunct w:val="0"/>
        <w:spacing w:line="360" w:lineRule="auto"/>
        <w:ind w:firstLine="480"/>
        <w:rPr>
          <w:rFonts w:ascii="Times New Roman" w:hAnsi="Times New Roman" w:eastAsia="宋体"/>
          <w:color w:val="000000" w:themeColor="text1"/>
          <w:kern w:val="18"/>
          <w14:textFill>
            <w14:solidFill>
              <w14:schemeClr w14:val="tx1"/>
            </w14:solidFill>
          </w14:textFill>
        </w:rPr>
      </w:pPr>
      <w:r>
        <w:rPr>
          <w:rFonts w:hint="eastAsia" w:ascii="Times New Roman" w:hAnsi="Times New Roman" w:eastAsia="宋体"/>
          <w:color w:val="000000" w:themeColor="text1"/>
          <w:kern w:val="18"/>
          <w:lang w:eastAsia="zh-CN"/>
          <w14:textFill>
            <w14:solidFill>
              <w14:schemeClr w14:val="tx1"/>
            </w14:solidFill>
          </w14:textFill>
        </w:rPr>
        <w:t>（</w:t>
      </w:r>
      <w:r>
        <w:rPr>
          <w:rFonts w:hint="eastAsia" w:ascii="Times New Roman" w:hAnsi="Times New Roman" w:eastAsia="宋体"/>
          <w:color w:val="000000" w:themeColor="text1"/>
          <w:kern w:val="18"/>
          <w:lang w:val="en-US" w:eastAsia="zh-CN"/>
          <w14:textFill>
            <w14:solidFill>
              <w14:schemeClr w14:val="tx1"/>
            </w14:solidFill>
          </w14:textFill>
        </w:rPr>
        <w:t>9</w:t>
      </w:r>
      <w:r>
        <w:rPr>
          <w:rFonts w:hint="eastAsia" w:ascii="Times New Roman" w:hAnsi="Times New Roman" w:eastAsia="宋体"/>
          <w:color w:val="000000" w:themeColor="text1"/>
          <w:kern w:val="18"/>
          <w:lang w:eastAsia="zh-CN"/>
          <w14:textFill>
            <w14:solidFill>
              <w14:schemeClr w14:val="tx1"/>
            </w14:solidFill>
          </w14:textFill>
        </w:rPr>
        <w:t>）</w:t>
      </w:r>
      <w:r>
        <w:rPr>
          <w:rFonts w:ascii="Times New Roman" w:hAnsi="Times New Roman" w:eastAsia="宋体"/>
          <w:color w:val="000000" w:themeColor="text1"/>
          <w:kern w:val="18"/>
          <w14:textFill>
            <w14:solidFill>
              <w14:schemeClr w14:val="tx1"/>
            </w14:solidFill>
          </w14:textFill>
        </w:rPr>
        <w:t>《生态环境状况评价技术规范》(HJ192-2015)；</w:t>
      </w:r>
    </w:p>
    <w:p>
      <w:pPr>
        <w:pStyle w:val="49"/>
        <w:overflowPunct w:val="0"/>
        <w:spacing w:line="360" w:lineRule="auto"/>
        <w:ind w:firstLine="480"/>
        <w:rPr>
          <w:rFonts w:ascii="Times New Roman" w:hAnsi="Times New Roman" w:eastAsia="宋体"/>
          <w:color w:val="000000" w:themeColor="text1"/>
          <w:kern w:val="18"/>
          <w14:textFill>
            <w14:solidFill>
              <w14:schemeClr w14:val="tx1"/>
            </w14:solidFill>
          </w14:textFill>
        </w:rPr>
      </w:pPr>
      <w:r>
        <w:rPr>
          <w:rFonts w:hint="eastAsia" w:ascii="Times New Roman" w:hAnsi="Times New Roman" w:eastAsia="宋体"/>
          <w:color w:val="000000" w:themeColor="text1"/>
          <w:kern w:val="18"/>
          <w:lang w:eastAsia="zh-CN"/>
          <w14:textFill>
            <w14:solidFill>
              <w14:schemeClr w14:val="tx1"/>
            </w14:solidFill>
          </w14:textFill>
        </w:rPr>
        <w:t>（</w:t>
      </w:r>
      <w:r>
        <w:rPr>
          <w:rFonts w:hint="eastAsia" w:ascii="Times New Roman" w:hAnsi="Times New Roman" w:eastAsia="宋体"/>
          <w:color w:val="000000" w:themeColor="text1"/>
          <w:kern w:val="18"/>
          <w:lang w:val="en-US" w:eastAsia="zh-CN"/>
          <w14:textFill>
            <w14:solidFill>
              <w14:schemeClr w14:val="tx1"/>
            </w14:solidFill>
          </w14:textFill>
        </w:rPr>
        <w:t>10</w:t>
      </w:r>
      <w:r>
        <w:rPr>
          <w:rFonts w:hint="eastAsia" w:ascii="Times New Roman" w:hAnsi="Times New Roman" w:eastAsia="宋体"/>
          <w:color w:val="000000" w:themeColor="text1"/>
          <w:kern w:val="18"/>
          <w:lang w:eastAsia="zh-CN"/>
          <w14:textFill>
            <w14:solidFill>
              <w14:schemeClr w14:val="tx1"/>
            </w14:solidFill>
          </w14:textFill>
        </w:rPr>
        <w:t>）</w:t>
      </w:r>
      <w:r>
        <w:rPr>
          <w:rFonts w:ascii="Times New Roman" w:hAnsi="Times New Roman" w:eastAsia="宋体"/>
          <w:color w:val="000000" w:themeColor="text1"/>
          <w:kern w:val="18"/>
          <w14:textFill>
            <w14:solidFill>
              <w14:schemeClr w14:val="tx1"/>
            </w14:solidFill>
          </w14:textFill>
        </w:rPr>
        <w:t>《危险化学品重大危险源辨识》(GB18218-2018)；</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11</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）《用于水泥和混凝土中的粉煤灰》</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GB</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1596-2005)；</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12</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）《火电厂烟气脱硫工程技术规范-烟气循环流化床法》</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eastAsia="宋体" w:cs="Times New Roman"/>
          <w:snapToGrid w:val="0"/>
          <w:color w:val="000000" w:themeColor="text1"/>
          <w:spacing w:val="0"/>
          <w:w w:val="100"/>
          <w:kern w:val="18"/>
          <w:position w:val="0"/>
          <w:sz w:val="24"/>
          <w:szCs w:val="24"/>
          <w:lang w:val="en-US" w:eastAsia="zh-CN" w:bidi="ar-SA"/>
          <w14:textFill>
            <w14:solidFill>
              <w14:schemeClr w14:val="tx1"/>
            </w14:solidFill>
          </w14:textFill>
        </w:rPr>
        <w:t>H</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J</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T</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178-2005)</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13</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）《火电厂烟气治理设施运行管理技术规范》</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HJ</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2040-20</w:t>
      </w:r>
      <w:r>
        <w:rPr>
          <w:rFonts w:hint="eastAsia" w:eastAsia="宋体" w:cs="Times New Roman"/>
          <w:snapToGrid w:val="0"/>
          <w:color w:val="000000" w:themeColor="text1"/>
          <w:spacing w:val="0"/>
          <w:w w:val="100"/>
          <w:kern w:val="18"/>
          <w:position w:val="0"/>
          <w:sz w:val="24"/>
          <w:szCs w:val="24"/>
          <w:lang w:val="en-US" w:eastAsia="zh-CN" w:bidi="ar-SA"/>
          <w14:textFill>
            <w14:solidFill>
              <w14:schemeClr w14:val="tx1"/>
            </w14:solidFill>
          </w14:textFill>
        </w:rPr>
        <w:t>14</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eastAsia="宋体" w:cs="Times New Roman"/>
          <w:snapToGrid w:val="0"/>
          <w:color w:val="000000" w:themeColor="text1"/>
          <w:spacing w:val="0"/>
          <w:w w:val="100"/>
          <w:kern w:val="18"/>
          <w:position w:val="0"/>
          <w:sz w:val="24"/>
          <w:szCs w:val="24"/>
          <w:lang w:val="en-US"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14</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）《固定污染源烟气排放连续监测技术规范》(征求意见稿)；</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15</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 xml:space="preserve">）《固定污染源烟气排放连续监测系统技术要求及检测方法(试行)》 </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HJ</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T</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76-2007)</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16</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）《危险化学品重大危险源辨识》</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GB</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18218-20</w:t>
      </w:r>
      <w:r>
        <w:rPr>
          <w:rFonts w:hint="eastAsia" w:eastAsia="宋体" w:cs="Times New Roman"/>
          <w:snapToGrid w:val="0"/>
          <w:color w:val="000000" w:themeColor="text1"/>
          <w:spacing w:val="0"/>
          <w:w w:val="100"/>
          <w:kern w:val="18"/>
          <w:position w:val="0"/>
          <w:sz w:val="24"/>
          <w:szCs w:val="24"/>
          <w:lang w:val="en-US" w:eastAsia="zh-CN" w:bidi="ar-SA"/>
          <w14:textFill>
            <w14:solidFill>
              <w14:schemeClr w14:val="tx1"/>
            </w14:solidFill>
          </w14:textFill>
        </w:rPr>
        <w:t>18</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17</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）《火电厂污染防治最佳可行技术指南》(征求意见稿)；</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18</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）《火电厂除尘工程技术规范》</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HJ</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20</w:t>
      </w:r>
      <w:r>
        <w:rPr>
          <w:rFonts w:hint="eastAsia" w:eastAsia="宋体" w:cs="Times New Roman"/>
          <w:snapToGrid w:val="0"/>
          <w:color w:val="000000" w:themeColor="text1"/>
          <w:spacing w:val="0"/>
          <w:w w:val="100"/>
          <w:kern w:val="18"/>
          <w:position w:val="0"/>
          <w:sz w:val="24"/>
          <w:szCs w:val="24"/>
          <w:lang w:val="en-US" w:eastAsia="zh-CN" w:bidi="ar-SA"/>
          <w14:textFill>
            <w14:solidFill>
              <w14:schemeClr w14:val="tx1"/>
            </w14:solidFill>
          </w14:textFill>
        </w:rPr>
        <w:t>3</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9-2014)</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19</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）《火电厂环境监测技术规范》</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DL</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T</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414-20</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12)。</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0" w:firstLineChars="0"/>
        <w:jc w:val="left"/>
        <w:textAlignment w:val="auto"/>
        <w:outlineLvl w:val="2"/>
        <w:rPr>
          <w:rFonts w:hint="eastAsia" w:ascii="Times New Roman" w:hAnsi="Times New Roman" w:eastAsia="Times New Roman" w:cs="Times New Roman"/>
          <w:b/>
          <w:bCs/>
          <w:snapToGrid w:val="0"/>
          <w:color w:val="000000" w:themeColor="text1"/>
          <w:spacing w:val="0"/>
          <w:w w:val="100"/>
          <w:kern w:val="18"/>
          <w:position w:val="0"/>
          <w:sz w:val="28"/>
          <w:szCs w:val="28"/>
          <w:lang w:val="en-US" w:eastAsia="en-US" w:bidi="ar-SA"/>
          <w14:textFill>
            <w14:solidFill>
              <w14:schemeClr w14:val="tx1"/>
            </w14:solidFill>
          </w14:textFill>
        </w:rPr>
      </w:pPr>
      <w:r>
        <w:rPr>
          <w:rFonts w:hint="eastAsia" w:ascii="Times New Roman" w:hAnsi="Times New Roman" w:eastAsia="Times New Roman" w:cs="Times New Roman"/>
          <w:b/>
          <w:bCs/>
          <w:snapToGrid w:val="0"/>
          <w:color w:val="000000" w:themeColor="text1"/>
          <w:spacing w:val="0"/>
          <w:w w:val="100"/>
          <w:kern w:val="18"/>
          <w:position w:val="0"/>
          <w:sz w:val="28"/>
          <w:szCs w:val="28"/>
          <w:lang w:val="en-US" w:eastAsia="en-US" w:bidi="ar-SA"/>
          <w14:textFill>
            <w14:solidFill>
              <w14:schemeClr w14:val="tx1"/>
            </w14:solidFill>
          </w14:textFill>
        </w:rPr>
        <w:t>1.1.5</w:t>
      </w:r>
      <w:r>
        <w:rPr>
          <w:rFonts w:hint="eastAsia" w:ascii="Times New Roman" w:hAnsi="Times New Roman" w:eastAsia="Times New Roman" w:cs="Times New Roman"/>
          <w:b/>
          <w:bCs/>
          <w:snapToGrid w:val="0"/>
          <w:color w:val="000000" w:themeColor="text1"/>
          <w:spacing w:val="0"/>
          <w:w w:val="100"/>
          <w:kern w:val="18"/>
          <w:position w:val="0"/>
          <w:sz w:val="28"/>
          <w:szCs w:val="28"/>
          <w:lang w:val="zh-CN" w:eastAsia="zh-CN" w:bidi="ar-SA"/>
          <w14:textFill>
            <w14:solidFill>
              <w14:schemeClr w14:val="tx1"/>
            </w14:solidFill>
          </w14:textFill>
        </w:rPr>
        <w:t>工程设计依据性文件</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（1）</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克拉玛依高新技术产业开发区热动力中心</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2</w:t>
      </w:r>
      <w:r>
        <w:rPr>
          <w:rFonts w:hint="default" w:ascii="Arial" w:hAnsi="Arial" w:cs="Arial"/>
          <w:snapToGrid w:val="0"/>
          <w:color w:val="000000" w:themeColor="text1"/>
          <w:spacing w:val="0"/>
          <w:w w:val="100"/>
          <w:kern w:val="18"/>
          <w:position w:val="0"/>
          <w:sz w:val="24"/>
          <w:szCs w:val="24"/>
          <w:lang w:val="en-US"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2.5万千瓦背压机组发电项目</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环境影响评价《委托书》；</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2</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olor w:val="000000" w:themeColor="text1"/>
          <w:kern w:val="18"/>
          <w:szCs w:val="24"/>
          <w:lang w:bidi="ar-SA"/>
          <w14:textFill>
            <w14:solidFill>
              <w14:schemeClr w14:val="tx1"/>
            </w14:solidFill>
          </w14:textFill>
        </w:rPr>
        <w:t>新疆正恒清洁能源有限公司克拉玛依高新技术产业开发区热力中心发电项目可行性研宄报告</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3</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）《新疆克拉玛依石油化工工业园区总体规划环境影响报告书》(中国石油大学，</w:t>
      </w:r>
      <w:r>
        <w:rPr>
          <w:rFonts w:hint="eastAsia" w:cs="Times New Roman"/>
          <w:snapToGrid w:val="0"/>
          <w:color w:val="000000" w:themeColor="text1"/>
          <w:spacing w:val="0"/>
          <w:w w:val="100"/>
          <w:kern w:val="18"/>
          <w:position w:val="0"/>
          <w:sz w:val="24"/>
          <w:szCs w:val="24"/>
          <w:lang w:val="en-US" w:eastAsia="en-US" w:bidi="ar-SA"/>
          <w14:textFill>
            <w14:solidFill>
              <w14:schemeClr w14:val="tx1"/>
            </w14:solidFill>
          </w14:textFill>
        </w:rPr>
        <w:t>2012.</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7)。</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0" w:firstLineChars="0"/>
        <w:jc w:val="left"/>
        <w:textAlignment w:val="auto"/>
        <w:outlineLvl w:val="1"/>
        <w:rPr>
          <w:rFonts w:hint="eastAsia" w:eastAsia="宋体" w:cs="Times New Roman"/>
          <w:b/>
          <w:bCs/>
          <w:snapToGrid w:val="0"/>
          <w:color w:val="000000" w:themeColor="text1"/>
          <w:spacing w:val="0"/>
          <w:w w:val="100"/>
          <w:kern w:val="18"/>
          <w:position w:val="0"/>
          <w:sz w:val="32"/>
          <w:szCs w:val="32"/>
          <w:lang w:val="en-US" w:eastAsia="zh-CN" w:bidi="ar-SA"/>
          <w14:textFill>
            <w14:solidFill>
              <w14:schemeClr w14:val="tx1"/>
            </w14:solidFill>
          </w14:textFill>
        </w:rPr>
      </w:pPr>
      <w:bookmarkStart w:id="8" w:name="_Toc25911"/>
      <w:bookmarkStart w:id="9" w:name="bookmark6"/>
      <w:r>
        <w:rPr>
          <w:rFonts w:hint="eastAsia" w:eastAsia="宋体" w:cs="Times New Roman"/>
          <w:b/>
          <w:bCs/>
          <w:snapToGrid w:val="0"/>
          <w:color w:val="000000" w:themeColor="text1"/>
          <w:spacing w:val="0"/>
          <w:w w:val="100"/>
          <w:kern w:val="18"/>
          <w:position w:val="0"/>
          <w:sz w:val="32"/>
          <w:szCs w:val="32"/>
          <w:lang w:val="en-US" w:eastAsia="zh-CN" w:bidi="ar-SA"/>
          <w14:textFill>
            <w14:solidFill>
              <w14:schemeClr w14:val="tx1"/>
            </w14:solidFill>
          </w14:textFill>
        </w:rPr>
        <w:t>1.2评价目的</w:t>
      </w:r>
      <w:bookmarkEnd w:id="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（1）通过调查项目周围的自然环境、社会经济和环境质量现状，为项目的建设提供现状材料；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（2）通过工程分析，查清本项目的污染类型、排污节点、主要污染源及污染物排放浓度、排放规律和治理情况，确定污染因子、环境影响要素，分析生产工艺的先进性；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（3）通过环境质量现状监测，了解项目和周围环境质量状况及环境容量，并预测、分析项目投产后主要污染物排放对周围环境的影响范围和程度；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（4）从技术、经济角度分析项目拟采取的环境保护措施的可行性和经济合理性，必要时提出替代方案，使之对环境的影响降至最低；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（5）通过环境风险评价，进行风险识别、源项分析，并重点分析风险事故对周围环境的影响程度，提出风险防范措施和事故应急预案</w:t>
      </w:r>
      <w:r>
        <w:rPr>
          <w:rFonts w:hint="default" w:ascii="Times New Roman" w:hAnsi="Times New Roman" w:cs="Times New Roman"/>
          <w:color w:val="000000" w:themeColor="text1"/>
          <w:kern w:val="0"/>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6）依据国家有关法律、环保法规和产业政策，对项目的污染特点、污染防治措施等进行综合分析，从环境保护的角度对项目建设的可行性做出明确结论，为设计单位工程设计、环境管理部门决策、建设单位的环境管理提供科学依据。</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0" w:firstLineChars="0"/>
        <w:jc w:val="left"/>
        <w:textAlignment w:val="auto"/>
        <w:outlineLvl w:val="1"/>
        <w:rPr>
          <w:rFonts w:hint="default" w:ascii="Times New Roman" w:hAnsi="Times New Roman" w:eastAsia="Times New Roman" w:cs="Times New Roman"/>
          <w:b/>
          <w:bCs/>
          <w:snapToGrid w:val="0"/>
          <w:color w:val="000000" w:themeColor="text1"/>
          <w:spacing w:val="0"/>
          <w:w w:val="100"/>
          <w:kern w:val="18"/>
          <w:position w:val="0"/>
          <w:sz w:val="32"/>
          <w:szCs w:val="32"/>
          <w:lang w:val="zh-CN" w:eastAsia="zh-CN" w:bidi="ar-SA"/>
          <w14:textFill>
            <w14:solidFill>
              <w14:schemeClr w14:val="tx1"/>
            </w14:solidFill>
          </w14:textFill>
        </w:rPr>
      </w:pPr>
      <w:bookmarkStart w:id="10" w:name="_Toc9517"/>
      <w:r>
        <w:rPr>
          <w:rFonts w:hint="eastAsia" w:ascii="Times New Roman" w:hAnsi="Times New Roman" w:eastAsia="Times New Roman" w:cs="Times New Roman"/>
          <w:b/>
          <w:bCs/>
          <w:snapToGrid w:val="0"/>
          <w:color w:val="000000" w:themeColor="text1"/>
          <w:spacing w:val="0"/>
          <w:w w:val="100"/>
          <w:kern w:val="18"/>
          <w:position w:val="0"/>
          <w:sz w:val="32"/>
          <w:szCs w:val="32"/>
          <w:lang w:val="en-US" w:eastAsia="zh-CN" w:bidi="ar-SA"/>
          <w14:textFill>
            <w14:solidFill>
              <w14:schemeClr w14:val="tx1"/>
            </w14:solidFill>
          </w14:textFill>
        </w:rPr>
        <w:t>1.3</w:t>
      </w:r>
      <w:r>
        <w:rPr>
          <w:rFonts w:hint="default" w:ascii="Times New Roman" w:hAnsi="Times New Roman" w:eastAsia="Times New Roman" w:cs="Times New Roman"/>
          <w:b/>
          <w:bCs/>
          <w:snapToGrid w:val="0"/>
          <w:color w:val="000000" w:themeColor="text1"/>
          <w:spacing w:val="0"/>
          <w:w w:val="100"/>
          <w:kern w:val="18"/>
          <w:position w:val="0"/>
          <w:sz w:val="32"/>
          <w:szCs w:val="32"/>
          <w:lang w:val="zh-CN" w:eastAsia="zh-CN" w:bidi="ar-SA"/>
          <w14:textFill>
            <w14:solidFill>
              <w14:schemeClr w14:val="tx1"/>
            </w14:solidFill>
          </w14:textFill>
        </w:rPr>
        <w:t>评价原则</w:t>
      </w:r>
      <w:bookmarkEnd w:id="1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（1）坚持环境影响评价为工程建设服务，为环境管理服务，注重环评的实用性原则</w:t>
      </w:r>
      <w:r>
        <w:rPr>
          <w:rFonts w:hint="default" w:ascii="Times New Roman" w:hAnsi="Times New Roman" w:cs="Times New Roman"/>
          <w:color w:val="000000" w:themeColor="text1"/>
          <w:kern w:val="0"/>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（2）在确保环评质量的前提下，充分利用拟建资料，尽量缩短评价周期，满足工程进度的要求</w:t>
      </w:r>
      <w:r>
        <w:rPr>
          <w:rFonts w:hint="default" w:ascii="Times New Roman" w:hAnsi="Times New Roman" w:cs="Times New Roman"/>
          <w:color w:val="000000" w:themeColor="text1"/>
          <w:kern w:val="0"/>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3</w:t>
      </w:r>
      <w:r>
        <w:rPr>
          <w:rFonts w:hint="default" w:ascii="Times New Roman" w:hAnsi="Times New Roman" w:cs="Times New Roman"/>
          <w:color w:val="000000" w:themeColor="text1"/>
          <w:kern w:val="0"/>
          <w:sz w:val="24"/>
          <w:szCs w:val="24"/>
          <w14:textFill>
            <w14:solidFill>
              <w14:schemeClr w14:val="tx1"/>
            </w14:solidFill>
          </w14:textFill>
        </w:rPr>
        <w:t>）把握建设工程特点，评价报告内容主次分明，重点突出，数据可靠，结论明确，环境保护措施可操作性强。</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0" w:firstLineChars="0"/>
        <w:jc w:val="left"/>
        <w:textAlignment w:val="auto"/>
        <w:outlineLvl w:val="1"/>
        <w:rPr>
          <w:rFonts w:hint="default" w:ascii="Times New Roman" w:hAnsi="Times New Roman" w:eastAsia="Times New Roman" w:cs="Times New Roman"/>
          <w:b/>
          <w:bCs/>
          <w:snapToGrid w:val="0"/>
          <w:color w:val="000000" w:themeColor="text1"/>
          <w:spacing w:val="0"/>
          <w:w w:val="100"/>
          <w:kern w:val="18"/>
          <w:position w:val="0"/>
          <w:sz w:val="32"/>
          <w:szCs w:val="32"/>
          <w:lang w:val="zh-CN" w:eastAsia="zh-CN" w:bidi="ar-SA"/>
          <w14:textFill>
            <w14:solidFill>
              <w14:schemeClr w14:val="tx1"/>
            </w14:solidFill>
          </w14:textFill>
        </w:rPr>
      </w:pPr>
      <w:bookmarkStart w:id="11" w:name="_Toc23517"/>
      <w:r>
        <w:rPr>
          <w:rFonts w:hint="eastAsia" w:ascii="Times New Roman" w:hAnsi="Times New Roman" w:eastAsia="Times New Roman" w:cs="Times New Roman"/>
          <w:b/>
          <w:bCs/>
          <w:snapToGrid w:val="0"/>
          <w:color w:val="000000" w:themeColor="text1"/>
          <w:spacing w:val="0"/>
          <w:w w:val="100"/>
          <w:kern w:val="18"/>
          <w:position w:val="0"/>
          <w:sz w:val="32"/>
          <w:szCs w:val="32"/>
          <w:lang w:val="en-US" w:eastAsia="zh-CN" w:bidi="ar-SA"/>
          <w14:textFill>
            <w14:solidFill>
              <w14:schemeClr w14:val="tx1"/>
            </w14:solidFill>
          </w14:textFill>
        </w:rPr>
        <w:t>1.4</w:t>
      </w:r>
      <w:r>
        <w:rPr>
          <w:rFonts w:hint="default" w:ascii="Times New Roman" w:hAnsi="Times New Roman" w:eastAsia="Times New Roman" w:cs="Times New Roman"/>
          <w:b/>
          <w:bCs/>
          <w:snapToGrid w:val="0"/>
          <w:color w:val="000000" w:themeColor="text1"/>
          <w:spacing w:val="0"/>
          <w:w w:val="100"/>
          <w:kern w:val="18"/>
          <w:position w:val="0"/>
          <w:sz w:val="32"/>
          <w:szCs w:val="32"/>
          <w:lang w:val="zh-CN" w:eastAsia="zh-CN" w:bidi="ar-SA"/>
          <w14:textFill>
            <w14:solidFill>
              <w14:schemeClr w14:val="tx1"/>
            </w14:solidFill>
          </w14:textFill>
        </w:rPr>
        <w:t>环境影响评价因子识别与筛选</w:t>
      </w:r>
      <w:bookmarkEnd w:id="11"/>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jc w:val="both"/>
        <w:textAlignment w:val="auto"/>
        <w:outlineLvl w:val="2"/>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宋体" w:cs="Times New Roman"/>
          <w:b/>
          <w:bCs/>
          <w:color w:val="000000" w:themeColor="text1"/>
          <w:sz w:val="28"/>
          <w:szCs w:val="28"/>
          <w14:textFill>
            <w14:solidFill>
              <w14:schemeClr w14:val="tx1"/>
            </w14:solidFill>
          </w14:textFill>
        </w:rPr>
        <w:t>1.</w:t>
      </w:r>
      <w:r>
        <w:rPr>
          <w:rFonts w:hint="default" w:ascii="Times New Roman" w:hAnsi="Times New Roman" w:cs="Times New Roman"/>
          <w:b/>
          <w:bCs/>
          <w:color w:val="000000" w:themeColor="text1"/>
          <w:sz w:val="28"/>
          <w:szCs w:val="28"/>
          <w:lang w:val="en-US" w:eastAsia="zh-CN"/>
          <w14:textFill>
            <w14:solidFill>
              <w14:schemeClr w14:val="tx1"/>
            </w14:solidFill>
          </w14:textFill>
        </w:rPr>
        <w:t>4</w:t>
      </w:r>
      <w:r>
        <w:rPr>
          <w:rFonts w:hint="default" w:ascii="Times New Roman" w:hAnsi="Times New Roman" w:eastAsia="宋体" w:cs="Times New Roman"/>
          <w:b/>
          <w:bCs/>
          <w:color w:val="000000" w:themeColor="text1"/>
          <w:sz w:val="28"/>
          <w:szCs w:val="28"/>
          <w14:textFill>
            <w14:solidFill>
              <w14:schemeClr w14:val="tx1"/>
            </w14:solidFill>
          </w14:textFill>
        </w:rPr>
        <w:t>.1环境影响因素识别</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区域环境功能的要求与特征，并结合工程所处的地理位置、生产工艺和污染物排放特点，全面分析建设项目对环境可能产生影响的因素、影响途经，初步估算影响程度。在分析掌握环境影响因素的基础上，进一步筛选出评价因子。</w:t>
      </w:r>
    </w:p>
    <w:p>
      <w:pPr>
        <w:pStyle w:val="128"/>
        <w:numPr>
          <w:ilvl w:val="0"/>
          <w:numId w:val="0"/>
        </w:numPr>
        <w:ind w:lef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1.4.1.1</w:t>
      </w:r>
      <w:r>
        <w:rPr>
          <w:rFonts w:hint="default" w:ascii="Times New Roman" w:hAnsi="Times New Roman" w:eastAsia="宋体" w:cs="Times New Roman"/>
          <w:color w:val="000000" w:themeColor="text1"/>
          <w14:textFill>
            <w14:solidFill>
              <w14:schemeClr w14:val="tx1"/>
            </w14:solidFill>
          </w14:textFill>
        </w:rPr>
        <w:t>施工期</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施工期主要环境影响因素见表</w:t>
      </w:r>
      <w:r>
        <w:rPr>
          <w:rFonts w:hint="default" w:ascii="Times New Roman" w:hAnsi="Times New Roman" w:cs="Times New Roman"/>
          <w:color w:val="000000" w:themeColor="text1"/>
          <w:lang w:val="en-US" w:eastAsia="zh-CN"/>
          <w14:textFill>
            <w14:solidFill>
              <w14:schemeClr w14:val="tx1"/>
            </w14:solidFill>
          </w14:textFill>
        </w:rPr>
        <w:t>1.4</w:t>
      </w:r>
      <w:r>
        <w:rPr>
          <w:rFonts w:hint="default" w:ascii="Times New Roman" w:hAnsi="Times New Roman" w:cs="Times New Roman"/>
          <w:color w:val="000000" w:themeColor="text1"/>
          <w14:textFill>
            <w14:solidFill>
              <w14:schemeClr w14:val="tx1"/>
            </w14:solidFill>
          </w14:textFill>
        </w:rPr>
        <w:t>-1。</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default"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default"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w:t>
      </w:r>
      <w:r>
        <w:rPr>
          <w:rFonts w:hint="default" w:ascii="Times New Roman" w:hAnsi="Times New Roman" w:eastAsia="黑体" w:cs="Times New Roman"/>
          <w:color w:val="000000" w:themeColor="text1"/>
          <w:spacing w:val="0"/>
          <w:w w:val="100"/>
          <w:position w:val="0"/>
          <w:sz w:val="21"/>
          <w:szCs w:val="21"/>
          <w:lang w:val="en-US" w:eastAsia="zh-CN" w:bidi="zh-CN"/>
          <w14:textFill>
            <w14:solidFill>
              <w14:schemeClr w14:val="tx1"/>
            </w14:solidFill>
          </w14:textFill>
        </w:rPr>
        <w:t>1.4</w:t>
      </w:r>
      <w:r>
        <w:rPr>
          <w:rFonts w:hint="default"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-1 施工期主要环境影响因素一览表</w:t>
      </w:r>
    </w:p>
    <w:tbl>
      <w:tblPr>
        <w:tblStyle w:val="21"/>
        <w:tblW w:w="8525" w:type="dxa"/>
        <w:jc w:val="center"/>
        <w:tblInd w:w="0" w:type="dxa"/>
        <w:tblLayout w:type="fixed"/>
        <w:tblCellMar>
          <w:top w:w="0" w:type="dxa"/>
          <w:left w:w="10" w:type="dxa"/>
          <w:bottom w:w="0" w:type="dxa"/>
          <w:right w:w="10" w:type="dxa"/>
        </w:tblCellMar>
      </w:tblPr>
      <w:tblGrid>
        <w:gridCol w:w="1675"/>
        <w:gridCol w:w="4010"/>
        <w:gridCol w:w="2840"/>
      </w:tblGrid>
      <w:tr>
        <w:tblPrEx>
          <w:tblLayout w:type="fixed"/>
          <w:tblCellMar>
            <w:top w:w="0" w:type="dxa"/>
            <w:left w:w="10" w:type="dxa"/>
            <w:bottom w:w="0" w:type="dxa"/>
            <w:right w:w="10" w:type="dxa"/>
          </w:tblCellMar>
        </w:tblPrEx>
        <w:trPr>
          <w:trHeight w:val="422" w:hRule="exact"/>
          <w:jc w:val="center"/>
        </w:trPr>
        <w:tc>
          <w:tcPr>
            <w:tcW w:w="167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环境要素</w:t>
            </w:r>
          </w:p>
        </w:tc>
        <w:tc>
          <w:tcPr>
            <w:tcW w:w="401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产生影响的主要内容</w:t>
            </w:r>
          </w:p>
        </w:tc>
        <w:tc>
          <w:tcPr>
            <w:tcW w:w="284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主要影响因素</w:t>
            </w:r>
          </w:p>
        </w:tc>
      </w:tr>
      <w:tr>
        <w:tblPrEx>
          <w:tblLayout w:type="fixed"/>
          <w:tblCellMar>
            <w:top w:w="0" w:type="dxa"/>
            <w:left w:w="10" w:type="dxa"/>
            <w:bottom w:w="0" w:type="dxa"/>
            <w:right w:w="10" w:type="dxa"/>
          </w:tblCellMar>
        </w:tblPrEx>
        <w:trPr>
          <w:trHeight w:val="754" w:hRule="exact"/>
          <w:jc w:val="center"/>
        </w:trPr>
        <w:tc>
          <w:tcPr>
            <w:tcW w:w="167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环境空气</w:t>
            </w:r>
          </w:p>
        </w:tc>
        <w:tc>
          <w:tcPr>
            <w:tcW w:w="401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60" w:line="240" w:lineRule="auto"/>
              <w:ind w:left="140" w:right="0" w:firstLine="0"/>
              <w:jc w:val="center"/>
              <w:textAlignment w:val="auto"/>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土地开挖、平整、土石方存放及使用、建材运输、机械和车辆尾气</w:t>
            </w:r>
          </w:p>
        </w:tc>
        <w:tc>
          <w:tcPr>
            <w:tcW w:w="284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颗粒物、氮氧化物</w:t>
            </w:r>
          </w:p>
        </w:tc>
      </w:tr>
      <w:tr>
        <w:tblPrEx>
          <w:tblLayout w:type="fixed"/>
          <w:tblCellMar>
            <w:top w:w="0" w:type="dxa"/>
            <w:left w:w="10" w:type="dxa"/>
            <w:bottom w:w="0" w:type="dxa"/>
            <w:right w:w="10" w:type="dxa"/>
          </w:tblCellMar>
        </w:tblPrEx>
        <w:trPr>
          <w:trHeight w:val="360" w:hRule="exact"/>
          <w:jc w:val="center"/>
        </w:trPr>
        <w:tc>
          <w:tcPr>
            <w:tcW w:w="167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水环境</w:t>
            </w:r>
          </w:p>
        </w:tc>
        <w:tc>
          <w:tcPr>
            <w:tcW w:w="401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施</w:t>
            </w:r>
            <w:r>
              <w:rPr>
                <w:rFonts w:hint="eastAsia" w:ascii="Times New Roman" w:hAnsi="Times New Roman" w:eastAsia="Times New Roman" w:cs="Times New Roman"/>
                <w:snapToGrid w:val="0"/>
                <w:color w:val="000000" w:themeColor="text1"/>
                <w:spacing w:val="0"/>
                <w:w w:val="100"/>
                <w:kern w:val="18"/>
                <w:position w:val="0"/>
                <w:sz w:val="21"/>
                <w:szCs w:val="21"/>
                <w:u w:val="none"/>
                <w:lang w:val="en-US" w:eastAsia="en-US" w:bidi="ar-SA"/>
                <w14:textFill>
                  <w14:solidFill>
                    <w14:schemeClr w14:val="tx1"/>
                  </w14:solidFill>
                </w14:textFill>
              </w:rPr>
              <w:t>T</w:t>
            </w: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人员生活、设备清洗等废水</w:t>
            </w:r>
          </w:p>
        </w:tc>
        <w:tc>
          <w:tcPr>
            <w:tcW w:w="284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1"/>
                <w:szCs w:val="21"/>
                <w:u w:val="none"/>
                <w:lang w:val="en-US" w:eastAsia="en-US" w:bidi="ar-SA"/>
                <w14:textFill>
                  <w14:solidFill>
                    <w14:schemeClr w14:val="tx1"/>
                  </w14:solidFill>
                </w14:textFill>
              </w:rPr>
              <w:t>CO</w:t>
            </w:r>
            <w:r>
              <w:rPr>
                <w:rFonts w:hint="eastAsia" w:ascii="Times New Roman" w:hAnsi="Times New Roman" w:eastAsia="宋体" w:cs="Times New Roman"/>
                <w:snapToGrid w:val="0"/>
                <w:color w:val="000000" w:themeColor="text1"/>
                <w:spacing w:val="0"/>
                <w:w w:val="100"/>
                <w:kern w:val="18"/>
                <w:position w:val="0"/>
                <w:sz w:val="21"/>
                <w:szCs w:val="21"/>
                <w:u w:val="none"/>
                <w:lang w:val="en-US" w:eastAsia="zh-CN" w:bidi="ar-SA"/>
                <w14:textFill>
                  <w14:solidFill>
                    <w14:schemeClr w14:val="tx1"/>
                  </w14:solidFill>
                </w14:textFill>
              </w:rPr>
              <w:t>D</w:t>
            </w:r>
            <w:r>
              <w:rPr>
                <w:rFonts w:hint="eastAsia" w:ascii="Times New Roman" w:hAnsi="Times New Roman" w:eastAsia="Times New Roman" w:cs="Times New Roman"/>
                <w:snapToGrid w:val="0"/>
                <w:color w:val="000000" w:themeColor="text1"/>
                <w:spacing w:val="0"/>
                <w:w w:val="100"/>
                <w:kern w:val="18"/>
                <w:position w:val="0"/>
                <w:sz w:val="21"/>
                <w:szCs w:val="21"/>
                <w:u w:val="none"/>
                <w:lang w:val="en-US" w:eastAsia="en-US" w:bidi="ar-SA"/>
                <w14:textFill>
                  <w14:solidFill>
                    <w14:schemeClr w14:val="tx1"/>
                  </w14:solidFill>
                </w14:textFill>
              </w:rPr>
              <w:t>、SS、</w:t>
            </w: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氨氮、石油类</w:t>
            </w:r>
          </w:p>
        </w:tc>
      </w:tr>
      <w:tr>
        <w:tblPrEx>
          <w:tblLayout w:type="fixed"/>
          <w:tblCellMar>
            <w:top w:w="0" w:type="dxa"/>
            <w:left w:w="10" w:type="dxa"/>
            <w:bottom w:w="0" w:type="dxa"/>
            <w:right w:w="10" w:type="dxa"/>
          </w:tblCellMar>
        </w:tblPrEx>
        <w:trPr>
          <w:trHeight w:val="413" w:hRule="exact"/>
          <w:jc w:val="center"/>
        </w:trPr>
        <w:tc>
          <w:tcPr>
            <w:tcW w:w="167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声环境</w:t>
            </w:r>
          </w:p>
        </w:tc>
        <w:tc>
          <w:tcPr>
            <w:tcW w:w="401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施工机械作业、车辆运输噪声</w:t>
            </w:r>
          </w:p>
        </w:tc>
        <w:tc>
          <w:tcPr>
            <w:tcW w:w="284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噪声</w:t>
            </w:r>
          </w:p>
        </w:tc>
      </w:tr>
      <w:tr>
        <w:tblPrEx>
          <w:tblLayout w:type="fixed"/>
          <w:tblCellMar>
            <w:top w:w="0" w:type="dxa"/>
            <w:left w:w="10" w:type="dxa"/>
            <w:bottom w:w="0" w:type="dxa"/>
            <w:right w:w="10" w:type="dxa"/>
          </w:tblCellMar>
        </w:tblPrEx>
        <w:trPr>
          <w:trHeight w:val="432" w:hRule="exact"/>
          <w:jc w:val="center"/>
        </w:trPr>
        <w:tc>
          <w:tcPr>
            <w:tcW w:w="1675"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生态环境</w:t>
            </w:r>
          </w:p>
        </w:tc>
        <w:tc>
          <w:tcPr>
            <w:tcW w:w="4010"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土地开挖、弃土弃渣处置、工程占地</w:t>
            </w:r>
          </w:p>
        </w:tc>
        <w:tc>
          <w:tcPr>
            <w:tcW w:w="28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水土流失、植被破坏</w:t>
            </w:r>
          </w:p>
        </w:tc>
      </w:tr>
    </w:tbl>
    <w:p>
      <w:pPr>
        <w:pStyle w:val="128"/>
        <w:keepNext w:val="0"/>
        <w:keepLines w:val="0"/>
        <w:pageBreakBefore w:val="0"/>
        <w:widowControl/>
        <w:numPr>
          <w:ilvl w:val="0"/>
          <w:numId w:val="0"/>
        </w:numPr>
        <w:kinsoku/>
        <w:wordWrap/>
        <w:overflowPunct/>
        <w:topLinePunct w:val="0"/>
        <w:autoSpaceDE/>
        <w:autoSpaceDN/>
        <w:bidi w:val="0"/>
        <w:adjustRightInd w:val="0"/>
        <w:snapToGrid w:val="0"/>
        <w:spacing w:before="313" w:beforeLines="100"/>
        <w:ind w:left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1.4.1.2运行期</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pP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运营期主要环境影响因子识别，见表1.</w:t>
      </w:r>
      <w:r>
        <w:rPr>
          <w:rFonts w:hint="eastAsia" w:cs="Times New Roman"/>
          <w:snapToGrid w:val="0"/>
          <w:color w:val="000000" w:themeColor="text1"/>
          <w:spacing w:val="0"/>
          <w:w w:val="100"/>
          <w:kern w:val="18"/>
          <w:position w:val="0"/>
          <w:sz w:val="24"/>
          <w:szCs w:val="24"/>
          <w:lang w:val="en-US" w:eastAsia="zh-CN" w:bidi="ar-SA"/>
          <w14:textFill>
            <w14:solidFill>
              <w14:schemeClr w14:val="tx1"/>
            </w14:solidFill>
          </w14:textFill>
        </w:rPr>
        <w:t>4</w:t>
      </w:r>
      <w:r>
        <w:rPr>
          <w:rFonts w:hint="eastAsia" w:cs="Times New Roman"/>
          <w:snapToGrid w:val="0"/>
          <w:color w:val="000000" w:themeColor="text1"/>
          <w:spacing w:val="0"/>
          <w:w w:val="100"/>
          <w:kern w:val="18"/>
          <w:position w:val="0"/>
          <w:sz w:val="24"/>
          <w:szCs w:val="24"/>
          <w:lang w:val="zh-CN" w:eastAsia="zh-CN" w:bidi="ar-SA"/>
          <w14:textFill>
            <w14:solidFill>
              <w14:schemeClr w14:val="tx1"/>
            </w14:solidFill>
          </w14:textFill>
        </w:rPr>
        <w:t>-2。</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表1</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.4-2</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ab/>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运营期主要环境影响因子识别</w:t>
      </w:r>
    </w:p>
    <w:tbl>
      <w:tblPr>
        <w:tblStyle w:val="21"/>
        <w:tblW w:w="8525" w:type="dxa"/>
        <w:jc w:val="center"/>
        <w:tblInd w:w="0" w:type="dxa"/>
        <w:tblLayout w:type="fixed"/>
        <w:tblCellMar>
          <w:top w:w="0" w:type="dxa"/>
          <w:left w:w="10" w:type="dxa"/>
          <w:bottom w:w="0" w:type="dxa"/>
          <w:right w:w="10" w:type="dxa"/>
        </w:tblCellMar>
      </w:tblPr>
      <w:tblGrid>
        <w:gridCol w:w="663"/>
        <w:gridCol w:w="1215"/>
        <w:gridCol w:w="1389"/>
        <w:gridCol w:w="995"/>
        <w:gridCol w:w="1421"/>
        <w:gridCol w:w="1412"/>
        <w:gridCol w:w="1430"/>
      </w:tblGrid>
      <w:tr>
        <w:tblPrEx>
          <w:tblLayout w:type="fixed"/>
          <w:tblCellMar>
            <w:top w:w="0" w:type="dxa"/>
            <w:left w:w="10" w:type="dxa"/>
            <w:bottom w:w="0" w:type="dxa"/>
            <w:right w:w="10" w:type="dxa"/>
          </w:tblCellMar>
        </w:tblPrEx>
        <w:trPr>
          <w:trHeight w:val="269" w:hRule="exact"/>
          <w:jc w:val="center"/>
        </w:trPr>
        <w:tc>
          <w:tcPr>
            <w:tcW w:w="1878" w:type="dxa"/>
            <w:gridSpan w:val="2"/>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主要污染源</w:t>
            </w:r>
          </w:p>
        </w:tc>
        <w:tc>
          <w:tcPr>
            <w:tcW w:w="6647"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主要环境要素及因子</w:t>
            </w:r>
          </w:p>
        </w:tc>
      </w:tr>
      <w:tr>
        <w:tblPrEx>
          <w:tblLayout w:type="fixed"/>
          <w:tblCellMar>
            <w:top w:w="0" w:type="dxa"/>
            <w:left w:w="10" w:type="dxa"/>
            <w:bottom w:w="0" w:type="dxa"/>
            <w:right w:w="10" w:type="dxa"/>
          </w:tblCellMar>
        </w:tblPrEx>
        <w:trPr>
          <w:trHeight w:val="355" w:hRule="exact"/>
          <w:jc w:val="center"/>
        </w:trPr>
        <w:tc>
          <w:tcPr>
            <w:tcW w:w="1878" w:type="dxa"/>
            <w:gridSpan w:val="2"/>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水环境</w:t>
            </w:r>
          </w:p>
        </w:tc>
        <w:tc>
          <w:tcPr>
            <w:tcW w:w="1421"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环境空气</w:t>
            </w:r>
          </w:p>
        </w:tc>
        <w:tc>
          <w:tcPr>
            <w:tcW w:w="1412"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声环境</w:t>
            </w:r>
          </w:p>
        </w:tc>
        <w:tc>
          <w:tcPr>
            <w:tcW w:w="1430" w:type="dxa"/>
            <w:vMerge w:val="restart"/>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固体废物</w:t>
            </w:r>
          </w:p>
        </w:tc>
      </w:tr>
      <w:tr>
        <w:tblPrEx>
          <w:tblLayout w:type="fixed"/>
          <w:tblCellMar>
            <w:top w:w="0" w:type="dxa"/>
            <w:left w:w="10" w:type="dxa"/>
            <w:bottom w:w="0" w:type="dxa"/>
            <w:right w:w="10" w:type="dxa"/>
          </w:tblCellMar>
        </w:tblPrEx>
        <w:trPr>
          <w:trHeight w:val="364" w:hRule="exact"/>
          <w:jc w:val="center"/>
        </w:trPr>
        <w:tc>
          <w:tcPr>
            <w:tcW w:w="1878" w:type="dxa"/>
            <w:gridSpan w:val="2"/>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38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地表水</w:t>
            </w:r>
          </w:p>
        </w:tc>
        <w:tc>
          <w:tcPr>
            <w:tcW w:w="99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地下水</w:t>
            </w:r>
          </w:p>
        </w:tc>
        <w:tc>
          <w:tcPr>
            <w:tcW w:w="142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2"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30" w:type="dxa"/>
            <w:vMerge w:val="continue"/>
            <w:tcBorders>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657" w:hRule="exact"/>
          <w:jc w:val="center"/>
        </w:trPr>
        <w:tc>
          <w:tcPr>
            <w:tcW w:w="1878"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主厂房</w:t>
            </w:r>
          </w:p>
        </w:tc>
        <w:tc>
          <w:tcPr>
            <w:tcW w:w="1389"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95"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2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SO</w:t>
            </w:r>
            <w:r>
              <w:rPr>
                <w:rStyle w:val="41"/>
                <w:rFonts w:hint="default" w:ascii="Times New Roman" w:hAnsi="Times New Roman" w:eastAsia="宋体" w:cs="Times New Roman"/>
                <w:b w:val="0"/>
                <w:bCs w:val="0"/>
                <w:i w:val="0"/>
                <w:iCs w:val="0"/>
                <w:smallCaps w:val="0"/>
                <w:strike w:val="0"/>
                <w:color w:val="000000" w:themeColor="text1"/>
                <w:sz w:val="21"/>
                <w:szCs w:val="21"/>
                <w:vertAlign w:val="subscript"/>
                <w:lang w:val="en-US" w:eastAsia="en-US" w:bidi="en-US"/>
                <w14:textFill>
                  <w14:solidFill>
                    <w14:schemeClr w14:val="tx1"/>
                  </w14:solidFill>
                </w14:textFill>
              </w:rPr>
              <w:t>2</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w:t>
            </w: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烟尘、</w:t>
            </w:r>
            <w:r>
              <w:rPr>
                <w:rStyle w:val="41"/>
                <w:rFonts w:hint="eastAsia" w:ascii="Times New Roman" w:hAnsi="Times New Roman" w:eastAsia="宋体" w:cs="Times New Roman"/>
                <w:b w:val="0"/>
                <w:bCs w:val="0"/>
                <w:i w:val="0"/>
                <w:iCs w:val="0"/>
                <w:smallCaps/>
                <w:strike w:val="0"/>
                <w:color w:val="000000" w:themeColor="text1"/>
                <w:sz w:val="21"/>
                <w:szCs w:val="21"/>
                <w:lang w:val="en-US"/>
                <w14:textFill>
                  <w14:solidFill>
                    <w14:schemeClr w14:val="tx1"/>
                  </w14:solidFill>
                </w14:textFill>
              </w:rPr>
              <w:t>NO</w:t>
            </w:r>
            <w:r>
              <w:rPr>
                <w:rStyle w:val="41"/>
                <w:rFonts w:hint="eastAsia" w:ascii="Times New Roman" w:hAnsi="Times New Roman" w:eastAsia="宋体" w:cs="Times New Roman"/>
                <w:b w:val="0"/>
                <w:bCs w:val="0"/>
                <w:i w:val="0"/>
                <w:iCs w:val="0"/>
                <w:smallCaps w:val="0"/>
                <w:strike w:val="0"/>
                <w:color w:val="000000" w:themeColor="text1"/>
                <w:sz w:val="21"/>
                <w:szCs w:val="21"/>
                <w:vertAlign w:val="subscript"/>
                <w:lang w:val="en-US" w:eastAsia="zh-CN" w:bidi="en-US"/>
                <w14:textFill>
                  <w14:solidFill>
                    <w14:schemeClr w14:val="tx1"/>
                  </w14:solidFill>
                </w14:textFill>
              </w:rPr>
              <w:t>x</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、Hg、</w:t>
            </w: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氨</w:t>
            </w:r>
          </w:p>
        </w:tc>
        <w:tc>
          <w:tcPr>
            <w:tcW w:w="141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低、中、高频噪 声</w:t>
            </w:r>
          </w:p>
        </w:tc>
        <w:tc>
          <w:tcPr>
            <w:tcW w:w="1430"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29" w:hRule="exact"/>
          <w:jc w:val="center"/>
        </w:trPr>
        <w:tc>
          <w:tcPr>
            <w:tcW w:w="1878"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升压站</w:t>
            </w:r>
          </w:p>
        </w:tc>
        <w:tc>
          <w:tcPr>
            <w:tcW w:w="1389"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95"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21"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2"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3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废油</w:t>
            </w:r>
          </w:p>
        </w:tc>
      </w:tr>
      <w:tr>
        <w:tblPrEx>
          <w:tblLayout w:type="fixed"/>
          <w:tblCellMar>
            <w:top w:w="0" w:type="dxa"/>
            <w:left w:w="10" w:type="dxa"/>
            <w:bottom w:w="0" w:type="dxa"/>
            <w:right w:w="10" w:type="dxa"/>
          </w:tblCellMar>
        </w:tblPrEx>
        <w:trPr>
          <w:trHeight w:val="340" w:hRule="exact"/>
          <w:jc w:val="center"/>
        </w:trPr>
        <w:tc>
          <w:tcPr>
            <w:tcW w:w="1878"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灰库</w:t>
            </w:r>
          </w:p>
        </w:tc>
        <w:tc>
          <w:tcPr>
            <w:tcW w:w="1389"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95"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2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粉尘</w:t>
            </w:r>
          </w:p>
        </w:tc>
        <w:tc>
          <w:tcPr>
            <w:tcW w:w="1412"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3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脱硫灰</w:t>
            </w:r>
          </w:p>
        </w:tc>
      </w:tr>
      <w:tr>
        <w:tblPrEx>
          <w:tblLayout w:type="fixed"/>
          <w:tblCellMar>
            <w:top w:w="0" w:type="dxa"/>
            <w:left w:w="10" w:type="dxa"/>
            <w:bottom w:w="0" w:type="dxa"/>
            <w:right w:w="10" w:type="dxa"/>
          </w:tblCellMar>
        </w:tblPrEx>
        <w:trPr>
          <w:trHeight w:val="924" w:hRule="exact"/>
          <w:jc w:val="center"/>
        </w:trPr>
        <w:tc>
          <w:tcPr>
            <w:tcW w:w="1878"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水处理系统</w:t>
            </w:r>
          </w:p>
        </w:tc>
        <w:tc>
          <w:tcPr>
            <w:tcW w:w="138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pH、SS、COD、</w:t>
            </w: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盐类、</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Ca</w:t>
            </w:r>
            <w:r>
              <w:rPr>
                <w:rStyle w:val="41"/>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en-US" w:bidi="en-US"/>
                <w14:textFill>
                  <w14:solidFill>
                    <w14:schemeClr w14:val="tx1"/>
                  </w14:solidFill>
                </w14:textFill>
              </w:rPr>
              <w:t>2</w:t>
            </w:r>
            <w:r>
              <w:rPr>
                <w:rStyle w:val="41"/>
                <w:rFonts w:hint="eastAsia" w:ascii="Times New Roman" w:hAnsi="Times New Roman" w:eastAsia="宋体" w:cs="Times New Roman"/>
                <w:b w:val="0"/>
                <w:bCs w:val="0"/>
                <w:i w:val="0"/>
                <w:iCs w:val="0"/>
                <w:smallCaps w:val="0"/>
                <w:strike w:val="0"/>
                <w:color w:val="000000" w:themeColor="text1"/>
                <w:sz w:val="21"/>
                <w:szCs w:val="21"/>
                <w:vertAlign w:val="superscript"/>
                <w:lang w:val="en-US" w:eastAsia="zh-CN" w:bidi="en-US"/>
                <w14:textFill>
                  <w14:solidFill>
                    <w14:schemeClr w14:val="tx1"/>
                  </w14:solidFill>
                </w14:textFill>
              </w:rPr>
              <w:t>+</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、S</w:t>
            </w: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O</w:t>
            </w:r>
            <w:r>
              <w:rPr>
                <w:rStyle w:val="41"/>
                <w:rFonts w:hint="default" w:ascii="Times New Roman" w:hAnsi="Times New Roman" w:eastAsia="宋体" w:cs="Times New Roman"/>
                <w:b w:val="0"/>
                <w:bCs w:val="0"/>
                <w:i w:val="0"/>
                <w:iCs w:val="0"/>
                <w:smallCaps w:val="0"/>
                <w:strike w:val="0"/>
                <w:color w:val="000000" w:themeColor="text1"/>
                <w:sz w:val="21"/>
                <w:szCs w:val="21"/>
                <w:vertAlign w:val="subscript"/>
                <w:lang w:val="en-US" w:eastAsia="en-US" w:bidi="en-US"/>
                <w14:textFill>
                  <w14:solidFill>
                    <w14:schemeClr w14:val="tx1"/>
                  </w14:solidFill>
                </w14:textFill>
              </w:rPr>
              <w:t>4</w:t>
            </w:r>
            <w:r>
              <w:rPr>
                <w:rStyle w:val="41"/>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en-US" w:bidi="en-US"/>
                <w14:textFill>
                  <w14:solidFill>
                    <w14:schemeClr w14:val="tx1"/>
                  </w14:solidFill>
                </w14:textFill>
              </w:rPr>
              <w:t>2</w:t>
            </w:r>
            <w:r>
              <w:rPr>
                <w:rStyle w:val="41"/>
                <w:rFonts w:hint="eastAsia" w:ascii="Times New Roman" w:hAnsi="Times New Roman" w:eastAsia="宋体" w:cs="Times New Roman"/>
                <w:b w:val="0"/>
                <w:bCs w:val="0"/>
                <w:i w:val="0"/>
                <w:iCs w:val="0"/>
                <w:smallCaps w:val="0"/>
                <w:strike w:val="0"/>
                <w:color w:val="000000" w:themeColor="text1"/>
                <w:sz w:val="21"/>
                <w:szCs w:val="21"/>
                <w:vertAlign w:val="superscript"/>
                <w:lang w:val="en-US" w:eastAsia="zh-CN" w:bidi="en-US"/>
                <w14:textFill>
                  <w14:solidFill>
                    <w14:schemeClr w14:val="tx1"/>
                  </w14:solidFill>
                </w14:textFill>
              </w:rPr>
              <w:t>-</w:t>
            </w: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CT</w:t>
            </w:r>
            <w:r>
              <w:rPr>
                <w:rStyle w:val="41"/>
                <w:rFonts w:hint="eastAsia" w:ascii="Times New Roman" w:hAnsi="Times New Roman" w:eastAsia="宋体" w:cs="Times New Roman"/>
                <w:b w:val="0"/>
                <w:bCs w:val="0"/>
                <w:i w:val="0"/>
                <w:iCs w:val="0"/>
                <w:smallCaps w:val="0"/>
                <w:strike w:val="0"/>
                <w:color w:val="000000" w:themeColor="text1"/>
                <w:sz w:val="21"/>
                <w:szCs w:val="21"/>
                <w:vertAlign w:val="superscript"/>
                <w:lang w:val="en-US" w:eastAsia="zh-CN" w:bidi="en-US"/>
                <w14:textFill>
                  <w14:solidFill>
                    <w14:schemeClr w14:val="tx1"/>
                  </w14:solidFill>
                </w14:textFill>
              </w:rPr>
              <w:t>+</w:t>
            </w: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F</w:t>
            </w:r>
            <w:r>
              <w:rPr>
                <w:rStyle w:val="41"/>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en-US" w:bidi="en-US"/>
                <w14:textFill>
                  <w14:solidFill>
                    <w14:schemeClr w14:val="tx1"/>
                  </w14:solidFill>
                </w14:textFill>
              </w:rPr>
              <w:t>-</w:t>
            </w:r>
          </w:p>
        </w:tc>
        <w:tc>
          <w:tcPr>
            <w:tcW w:w="99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氨氮、石油 类、汞</w:t>
            </w:r>
          </w:p>
        </w:tc>
        <w:tc>
          <w:tcPr>
            <w:tcW w:w="1421"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中、高频噪声</w:t>
            </w:r>
          </w:p>
        </w:tc>
        <w:tc>
          <w:tcPr>
            <w:tcW w:w="143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污泥</w:t>
            </w:r>
          </w:p>
        </w:tc>
      </w:tr>
      <w:tr>
        <w:tblPrEx>
          <w:tblLayout w:type="fixed"/>
          <w:tblCellMar>
            <w:top w:w="0" w:type="dxa"/>
            <w:left w:w="10" w:type="dxa"/>
            <w:bottom w:w="0" w:type="dxa"/>
            <w:right w:w="10" w:type="dxa"/>
          </w:tblCellMar>
        </w:tblPrEx>
        <w:trPr>
          <w:trHeight w:val="314" w:hRule="exact"/>
          <w:jc w:val="center"/>
        </w:trPr>
        <w:tc>
          <w:tcPr>
            <w:tcW w:w="1878"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输煤系统</w:t>
            </w:r>
          </w:p>
        </w:tc>
        <w:tc>
          <w:tcPr>
            <w:tcW w:w="138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冲洗水</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(SS)</w:t>
            </w:r>
          </w:p>
        </w:tc>
        <w:tc>
          <w:tcPr>
            <w:tcW w:w="995"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21"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中、高频噪声</w:t>
            </w:r>
          </w:p>
        </w:tc>
        <w:tc>
          <w:tcPr>
            <w:tcW w:w="1430"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644" w:hRule="exact"/>
          <w:jc w:val="center"/>
        </w:trPr>
        <w:tc>
          <w:tcPr>
            <w:tcW w:w="663" w:type="dxa"/>
            <w:vMerge w:val="restart"/>
            <w:tcBorders>
              <w:top w:val="single" w:color="auto" w:sz="4" w:space="0"/>
              <w:left w:val="single" w:color="auto" w:sz="4" w:space="0"/>
            </w:tcBorders>
            <w:shd w:val="clear" w:color="auto" w:fill="FFFFFF"/>
            <w:noWrap w:val="0"/>
            <w:textDirection w:val="tbRlV"/>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气硫统</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烟脱系</w:t>
            </w:r>
          </w:p>
        </w:tc>
        <w:tc>
          <w:tcPr>
            <w:tcW w:w="121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烟气脱硫</w:t>
            </w:r>
          </w:p>
        </w:tc>
        <w:tc>
          <w:tcPr>
            <w:tcW w:w="1389"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95"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2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S</w:t>
            </w: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O</w:t>
            </w:r>
            <w:r>
              <w:rPr>
                <w:rStyle w:val="41"/>
                <w:rFonts w:hint="default" w:ascii="Times New Roman" w:hAnsi="Times New Roman" w:eastAsia="宋体" w:cs="Times New Roman"/>
                <w:b w:val="0"/>
                <w:bCs w:val="0"/>
                <w:i w:val="0"/>
                <w:iCs w:val="0"/>
                <w:smallCaps w:val="0"/>
                <w:strike w:val="0"/>
                <w:color w:val="000000" w:themeColor="text1"/>
                <w:sz w:val="21"/>
                <w:szCs w:val="21"/>
                <w:vertAlign w:val="subscript"/>
                <w:lang w:val="en-US" w:eastAsia="en-US" w:bidi="en-US"/>
                <w14:textFill>
                  <w14:solidFill>
                    <w14:schemeClr w14:val="tx1"/>
                  </w14:solidFill>
                </w14:textFill>
              </w:rPr>
              <w:t>2</w:t>
            </w:r>
          </w:p>
        </w:tc>
        <w:tc>
          <w:tcPr>
            <w:tcW w:w="141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中、高频噪声</w:t>
            </w:r>
          </w:p>
        </w:tc>
        <w:tc>
          <w:tcPr>
            <w:tcW w:w="143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脱硫灰</w:t>
            </w:r>
          </w:p>
        </w:tc>
      </w:tr>
      <w:tr>
        <w:tblPrEx>
          <w:tblLayout w:type="fixed"/>
          <w:tblCellMar>
            <w:top w:w="0" w:type="dxa"/>
            <w:left w:w="10" w:type="dxa"/>
            <w:bottom w:w="0" w:type="dxa"/>
            <w:right w:w="10" w:type="dxa"/>
          </w:tblCellMar>
        </w:tblPrEx>
        <w:trPr>
          <w:trHeight w:val="575" w:hRule="exact"/>
          <w:jc w:val="center"/>
        </w:trPr>
        <w:tc>
          <w:tcPr>
            <w:tcW w:w="663" w:type="dxa"/>
            <w:vMerge w:val="continue"/>
            <w:tcBorders>
              <w:left w:val="single" w:color="auto" w:sz="4" w:space="0"/>
            </w:tcBorders>
            <w:shd w:val="clear" w:color="auto" w:fill="FFFFFF"/>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1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石灰石粉仓</w:t>
            </w:r>
          </w:p>
        </w:tc>
        <w:tc>
          <w:tcPr>
            <w:tcW w:w="1389"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95"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2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粉尘</w:t>
            </w:r>
          </w:p>
        </w:tc>
        <w:tc>
          <w:tcPr>
            <w:tcW w:w="1412"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30"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490" w:hRule="exact"/>
          <w:jc w:val="center"/>
        </w:trPr>
        <w:tc>
          <w:tcPr>
            <w:tcW w:w="663" w:type="dxa"/>
            <w:vMerge w:val="continue"/>
            <w:tcBorders>
              <w:left w:val="single" w:color="auto" w:sz="4" w:space="0"/>
            </w:tcBorders>
            <w:shd w:val="clear" w:color="auto" w:fill="FFFFFF"/>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1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氢氧化钙</w:t>
            </w: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粉仓</w:t>
            </w:r>
          </w:p>
        </w:tc>
        <w:tc>
          <w:tcPr>
            <w:tcW w:w="1389"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95"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2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粉尘</w:t>
            </w:r>
          </w:p>
        </w:tc>
        <w:tc>
          <w:tcPr>
            <w:tcW w:w="1412"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30"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647" w:hRule="exact"/>
          <w:jc w:val="center"/>
        </w:trPr>
        <w:tc>
          <w:tcPr>
            <w:tcW w:w="1878"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烟气</w:t>
            </w: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脱硝</w:t>
            </w: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系统</w:t>
            </w:r>
          </w:p>
        </w:tc>
        <w:tc>
          <w:tcPr>
            <w:tcW w:w="1389"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95"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2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strike w:val="0"/>
                <w:color w:val="000000" w:themeColor="text1"/>
                <w:sz w:val="21"/>
                <w:szCs w:val="21"/>
                <w:lang w:val="en-US"/>
                <w14:textFill>
                  <w14:solidFill>
                    <w14:schemeClr w14:val="tx1"/>
                  </w14:solidFill>
                </w14:textFill>
              </w:rPr>
              <w:t>NO</w:t>
            </w:r>
            <w:r>
              <w:rPr>
                <w:rStyle w:val="41"/>
                <w:rFonts w:hint="eastAsia" w:ascii="Times New Roman" w:hAnsi="Times New Roman" w:eastAsia="宋体" w:cs="Times New Roman"/>
                <w:b w:val="0"/>
                <w:bCs w:val="0"/>
                <w:i w:val="0"/>
                <w:iCs w:val="0"/>
                <w:smallCaps w:val="0"/>
                <w:strike w:val="0"/>
                <w:color w:val="000000" w:themeColor="text1"/>
                <w:sz w:val="21"/>
                <w:szCs w:val="21"/>
                <w:vertAlign w:val="subscript"/>
                <w:lang w:val="en-US" w:eastAsia="zh-CN" w:bidi="en-US"/>
                <w14:textFill>
                  <w14:solidFill>
                    <w14:schemeClr w14:val="tx1"/>
                  </w14:solidFill>
                </w14:textFill>
              </w:rPr>
              <w:t>x</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w:t>
            </w: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氨</w:t>
            </w:r>
          </w:p>
        </w:tc>
        <w:tc>
          <w:tcPr>
            <w:tcW w:w="141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中、高频噪声</w:t>
            </w:r>
          </w:p>
        </w:tc>
        <w:tc>
          <w:tcPr>
            <w:tcW w:w="1430"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619" w:hRule="exact"/>
          <w:jc w:val="center"/>
        </w:trPr>
        <w:tc>
          <w:tcPr>
            <w:tcW w:w="1878"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烟气除尘系统</w:t>
            </w:r>
          </w:p>
        </w:tc>
        <w:tc>
          <w:tcPr>
            <w:tcW w:w="1389"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95"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2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烟尘、</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Hg</w:t>
            </w:r>
          </w:p>
        </w:tc>
        <w:tc>
          <w:tcPr>
            <w:tcW w:w="141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中、高频噪声</w:t>
            </w:r>
          </w:p>
        </w:tc>
        <w:tc>
          <w:tcPr>
            <w:tcW w:w="143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脱硫灰</w:t>
            </w:r>
          </w:p>
        </w:tc>
      </w:tr>
      <w:tr>
        <w:tblPrEx>
          <w:tblLayout w:type="fixed"/>
          <w:tblCellMar>
            <w:top w:w="0" w:type="dxa"/>
            <w:left w:w="10" w:type="dxa"/>
            <w:bottom w:w="0" w:type="dxa"/>
            <w:right w:w="10" w:type="dxa"/>
          </w:tblCellMar>
        </w:tblPrEx>
        <w:trPr>
          <w:trHeight w:val="329" w:hRule="exact"/>
          <w:jc w:val="center"/>
        </w:trPr>
        <w:tc>
          <w:tcPr>
            <w:tcW w:w="1878"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冷却塔</w:t>
            </w:r>
          </w:p>
        </w:tc>
        <w:tc>
          <w:tcPr>
            <w:tcW w:w="138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循环冷却排水</w:t>
            </w:r>
          </w:p>
        </w:tc>
        <w:tc>
          <w:tcPr>
            <w:tcW w:w="995"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21"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低频噪声</w:t>
            </w:r>
          </w:p>
        </w:tc>
        <w:tc>
          <w:tcPr>
            <w:tcW w:w="1430"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603" w:hRule="exact"/>
          <w:jc w:val="center"/>
        </w:trPr>
        <w:tc>
          <w:tcPr>
            <w:tcW w:w="1878" w:type="dxa"/>
            <w:gridSpan w:val="2"/>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生活办公</w:t>
            </w:r>
          </w:p>
        </w:tc>
        <w:tc>
          <w:tcPr>
            <w:tcW w:w="1389"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COD、SS、</w:t>
            </w: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氨氮</w:t>
            </w:r>
          </w:p>
        </w:tc>
        <w:tc>
          <w:tcPr>
            <w:tcW w:w="995" w:type="dxa"/>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21" w:type="dxa"/>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2" w:type="dxa"/>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生活垃圾</w:t>
            </w:r>
          </w:p>
        </w:tc>
      </w:tr>
    </w:tbl>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313" w:beforeLines="100" w:line="360" w:lineRule="auto"/>
        <w:ind w:firstLine="0" w:firstLineChars="0"/>
        <w:jc w:val="left"/>
        <w:textAlignment w:val="auto"/>
        <w:outlineLvl w:val="1"/>
        <w:rPr>
          <w:rFonts w:hint="default" w:ascii="Times New Roman" w:hAnsi="Times New Roman" w:eastAsia="宋体" w:cs="Times New Roman"/>
          <w:b/>
          <w:bCs/>
          <w:snapToGrid w:val="0"/>
          <w:color w:val="000000" w:themeColor="text1"/>
          <w:spacing w:val="0"/>
          <w:w w:val="100"/>
          <w:kern w:val="18"/>
          <w:position w:val="0"/>
          <w:sz w:val="32"/>
          <w:szCs w:val="32"/>
          <w:lang w:val="en-US" w:eastAsia="zh-CN" w:bidi="ar-SA"/>
          <w14:textFill>
            <w14:solidFill>
              <w14:schemeClr w14:val="tx1"/>
            </w14:solidFill>
          </w14:textFill>
        </w:rPr>
      </w:pPr>
      <w:bookmarkStart w:id="12" w:name="_Toc21251"/>
      <w:r>
        <w:rPr>
          <w:rFonts w:hint="eastAsia" w:eastAsia="宋体" w:cs="Times New Roman"/>
          <w:b/>
          <w:bCs/>
          <w:snapToGrid w:val="0"/>
          <w:color w:val="000000" w:themeColor="text1"/>
          <w:spacing w:val="0"/>
          <w:w w:val="100"/>
          <w:kern w:val="18"/>
          <w:position w:val="0"/>
          <w:sz w:val="32"/>
          <w:szCs w:val="32"/>
          <w:lang w:val="en-US" w:eastAsia="zh-CN" w:bidi="ar-SA"/>
          <w14:textFill>
            <w14:solidFill>
              <w14:schemeClr w14:val="tx1"/>
            </w14:solidFill>
          </w14:textFill>
        </w:rPr>
        <w:t>1.4.2</w:t>
      </w:r>
      <w:r>
        <w:rPr>
          <w:rFonts w:hint="default" w:ascii="Times New Roman" w:hAnsi="Times New Roman" w:eastAsia="宋体" w:cs="Times New Roman"/>
          <w:b/>
          <w:bCs/>
          <w:color w:val="000000" w:themeColor="text1"/>
          <w:sz w:val="28"/>
          <w:szCs w:val="28"/>
          <w14:textFill>
            <w14:solidFill>
              <w14:schemeClr w14:val="tx1"/>
            </w14:solidFill>
          </w14:textFill>
        </w:rPr>
        <w:t>评价因子筛选</w:t>
      </w:r>
      <w:bookmarkEnd w:id="12"/>
    </w:p>
    <w:bookmarkEnd w:id="9"/>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根据项目的污染排放特征，结合项目周围的环境现状，经环境影响因素识别筛选确定本评价因子筛选结果见表</w:t>
      </w:r>
      <w:r>
        <w:rPr>
          <w:rFonts w:hint="default" w:ascii="Times New Roman" w:hAnsi="Times New Roman" w:cs="Times New Roman"/>
          <w:color w:val="000000" w:themeColor="text1"/>
          <w:lang w:val="en-US" w:eastAsia="zh-CN"/>
          <w14:textFill>
            <w14:solidFill>
              <w14:schemeClr w14:val="tx1"/>
            </w14:solidFill>
          </w14:textFill>
        </w:rPr>
        <w:t>1.4-4</w:t>
      </w:r>
      <w:r>
        <w:rPr>
          <w:rFonts w:hint="default" w:ascii="Times New Roman" w:hAnsi="Times New Roman" w:cs="Times New Roman"/>
          <w:color w:val="000000" w:themeColor="text1"/>
          <w14:textFill>
            <w14:solidFill>
              <w14:schemeClr w14:val="tx1"/>
            </w14:solidFill>
          </w14:textFill>
        </w:rPr>
        <w:t>。</w:t>
      </w:r>
    </w:p>
    <w:p>
      <w:pPr>
        <w:pStyle w:val="131"/>
        <w:keepNext w:val="0"/>
        <w:keepLines w:val="0"/>
        <w:pageBreakBefore w:val="0"/>
        <w:widowControl w:val="0"/>
        <w:kinsoku/>
        <w:wordWrap/>
        <w:overflowPunct/>
        <w:topLinePunct w:val="0"/>
        <w:autoSpaceDE/>
        <w:autoSpaceDN/>
        <w:bidi w:val="0"/>
        <w:adjustRightInd/>
        <w:snapToGrid w:val="0"/>
        <w:spacing w:before="0" w:beforeLines="50"/>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表</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1.4-4</w:t>
      </w:r>
      <w:r>
        <w:rPr>
          <w:rFonts w:hint="default" w:ascii="Times New Roman" w:hAnsi="Times New Roman" w:eastAsia="黑体" w:cs="Times New Roman"/>
          <w:color w:val="000000" w:themeColor="text1"/>
          <w:sz w:val="21"/>
          <w:szCs w:val="21"/>
          <w14:textFill>
            <w14:solidFill>
              <w14:schemeClr w14:val="tx1"/>
            </w14:solidFill>
          </w14:textFill>
        </w:rPr>
        <w:t xml:space="preserve">    评价因子筛选结果一览表</w:t>
      </w:r>
    </w:p>
    <w:tbl>
      <w:tblPr>
        <w:tblStyle w:val="21"/>
        <w:tblW w:w="8329"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8"/>
        <w:gridCol w:w="991"/>
        <w:gridCol w:w="5089"/>
        <w:gridCol w:w="1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7" w:hRule="exact"/>
        </w:trPr>
        <w:tc>
          <w:tcPr>
            <w:tcW w:w="1339" w:type="dxa"/>
            <w:gridSpan w:val="2"/>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环境要素</w:t>
            </w:r>
          </w:p>
        </w:tc>
        <w:tc>
          <w:tcPr>
            <w:tcW w:w="5089"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现状评价因子</w:t>
            </w:r>
          </w:p>
        </w:tc>
        <w:tc>
          <w:tcPr>
            <w:tcW w:w="1901"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预测评价因子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98" w:hRule="exact"/>
        </w:trPr>
        <w:tc>
          <w:tcPr>
            <w:tcW w:w="348" w:type="dxa"/>
            <w:vMerge w:val="restart"/>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污染源</w:t>
            </w:r>
          </w:p>
        </w:tc>
        <w:tc>
          <w:tcPr>
            <w:tcW w:w="991"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大气环境</w:t>
            </w:r>
          </w:p>
        </w:tc>
        <w:tc>
          <w:tcPr>
            <w:tcW w:w="5089"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SO</w:t>
            </w:r>
            <w:r>
              <w:rPr>
                <w:rFonts w:hint="default" w:ascii="Times New Roman" w:hAnsi="Times New Roman" w:cs="Times New Roman"/>
                <w:b w:val="0"/>
                <w:bCs w:val="0"/>
                <w:color w:val="000000" w:themeColor="text1"/>
                <w:sz w:val="21"/>
                <w:szCs w:val="21"/>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14:textFill>
                  <w14:solidFill>
                    <w14:schemeClr w14:val="tx1"/>
                  </w14:solidFill>
                </w14:textFill>
              </w:rPr>
              <w:t>、NO</w:t>
            </w:r>
            <w:r>
              <w:rPr>
                <w:rFonts w:hint="default" w:ascii="Times New Roman" w:hAnsi="Times New Roman" w:cs="Times New Roman"/>
                <w:b w:val="0"/>
                <w:bCs w:val="0"/>
                <w:color w:val="000000" w:themeColor="text1"/>
                <w:sz w:val="21"/>
                <w:szCs w:val="21"/>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14:textFill>
                  <w14:solidFill>
                    <w14:schemeClr w14:val="tx1"/>
                  </w14:solidFill>
                </w14:textFill>
              </w:rPr>
              <w:t>、PM</w:t>
            </w:r>
            <w:r>
              <w:rPr>
                <w:rFonts w:hint="default" w:ascii="Times New Roman" w:hAnsi="Times New Roman" w:cs="Times New Roman"/>
                <w:b w:val="0"/>
                <w:bCs w:val="0"/>
                <w:color w:val="000000" w:themeColor="text1"/>
                <w:sz w:val="21"/>
                <w:szCs w:val="21"/>
                <w:vertAlign w:val="subscript"/>
                <w14:textFill>
                  <w14:solidFill>
                    <w14:schemeClr w14:val="tx1"/>
                  </w14:solidFill>
                </w14:textFill>
              </w:rPr>
              <w:t>10</w:t>
            </w:r>
            <w:r>
              <w:rPr>
                <w:rFonts w:hint="default" w:ascii="Times New Roman" w:hAnsi="Times New Roman" w:cs="Times New Roman"/>
                <w:b w:val="0"/>
                <w:bCs w:val="0"/>
                <w:color w:val="000000" w:themeColor="text1"/>
                <w:sz w:val="21"/>
                <w:szCs w:val="21"/>
                <w14:textFill>
                  <w14:solidFill>
                    <w14:schemeClr w14:val="tx1"/>
                  </w14:solidFill>
                </w14:textFill>
              </w:rPr>
              <w:t>、PM</w:t>
            </w:r>
            <w:r>
              <w:rPr>
                <w:rFonts w:hint="default" w:ascii="Times New Roman" w:hAnsi="Times New Roman" w:cs="Times New Roman"/>
                <w:b w:val="0"/>
                <w:bCs w:val="0"/>
                <w:color w:val="000000" w:themeColor="text1"/>
                <w:sz w:val="21"/>
                <w:szCs w:val="21"/>
                <w:vertAlign w:val="subscript"/>
                <w14:textFill>
                  <w14:solidFill>
                    <w14:schemeClr w14:val="tx1"/>
                  </w14:solidFill>
                </w14:textFill>
              </w:rPr>
              <w:t>2.5</w:t>
            </w:r>
            <w:r>
              <w:rPr>
                <w:rFonts w:hint="default" w:ascii="Times New Roman" w:hAnsi="Times New Roman" w:cs="Times New Roman"/>
                <w:b w:val="0"/>
                <w:bCs w:val="0"/>
                <w:color w:val="000000" w:themeColor="text1"/>
                <w:sz w:val="21"/>
                <w:szCs w:val="21"/>
                <w14:textFill>
                  <w14:solidFill>
                    <w14:schemeClr w14:val="tx1"/>
                  </w14:solidFill>
                </w14:textFill>
              </w:rPr>
              <w:t>、CO、O</w:t>
            </w:r>
            <w:r>
              <w:rPr>
                <w:rFonts w:hint="default" w:ascii="Times New Roman" w:hAnsi="Times New Roman" w:cs="Times New Roman"/>
                <w:b w:val="0"/>
                <w:bCs w:val="0"/>
                <w:color w:val="000000" w:themeColor="text1"/>
                <w:sz w:val="21"/>
                <w:szCs w:val="21"/>
                <w:vertAlign w:val="subscript"/>
                <w14:textFill>
                  <w14:solidFill>
                    <w14:schemeClr w14:val="tx1"/>
                  </w14:solidFill>
                </w14:textFill>
              </w:rPr>
              <w:t>3</w:t>
            </w:r>
            <w:r>
              <w:rPr>
                <w:rFonts w:hint="default" w:ascii="Times New Roman" w:hAnsi="Times New Roman" w:cs="Times New Roman"/>
                <w:b w:val="0"/>
                <w:bCs w:val="0"/>
                <w:color w:val="000000" w:themeColor="text1"/>
                <w:sz w:val="21"/>
                <w:szCs w:val="21"/>
                <w14:textFill>
                  <w14:solidFill>
                    <w14:schemeClr w14:val="tx1"/>
                  </w14:solidFill>
                </w14:textFill>
              </w:rPr>
              <w:t>、氨</w:t>
            </w:r>
            <w:r>
              <w:rPr>
                <w:rFonts w:hint="default" w:ascii="Times New Roman" w:hAnsi="Times New Roman"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eastAsia="zh-CN"/>
                <w14:textFill>
                  <w14:solidFill>
                    <w14:schemeClr w14:val="tx1"/>
                  </w14:solidFill>
                </w14:textFill>
              </w:rPr>
              <w:t>汞</w:t>
            </w:r>
          </w:p>
        </w:tc>
        <w:tc>
          <w:tcPr>
            <w:tcW w:w="1901"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S</w:t>
            </w:r>
            <w:r>
              <w:rPr>
                <w:rFonts w:hint="eastAsia" w:ascii="Times New Roman" w:hAnsi="Times New Roman" w:cs="Times New Roman"/>
                <w:snapToGrid w:val="0"/>
                <w:color w:val="000000" w:themeColor="text1"/>
                <w:spacing w:val="0"/>
                <w:w w:val="100"/>
                <w:kern w:val="18"/>
                <w:position w:val="0"/>
                <w:sz w:val="21"/>
                <w:szCs w:val="21"/>
                <w:u w:val="none"/>
                <w:lang w:val="en-US" w:eastAsia="zh-CN" w:bidi="ar-SA"/>
                <w14:textFill>
                  <w14:solidFill>
                    <w14:schemeClr w14:val="tx1"/>
                  </w14:solidFill>
                </w14:textFill>
              </w:rPr>
              <w:t>O</w:t>
            </w:r>
            <w:r>
              <w:rPr>
                <w:rFonts w:hint="eastAsia" w:ascii="Times New Roman" w:hAnsi="Times New Roman" w:eastAsia="Times New Roman" w:cs="Times New Roman"/>
                <w:snapToGrid w:val="0"/>
                <w:color w:val="000000" w:themeColor="text1"/>
                <w:spacing w:val="0"/>
                <w:w w:val="100"/>
                <w:kern w:val="18"/>
                <w:position w:val="0"/>
                <w:sz w:val="21"/>
                <w:szCs w:val="21"/>
                <w:u w:val="none"/>
                <w:vertAlign w:val="subscript"/>
                <w:lang w:val="en-US" w:eastAsia="en-US" w:bidi="ar-SA"/>
                <w14:textFill>
                  <w14:solidFill>
                    <w14:schemeClr w14:val="tx1"/>
                  </w14:solidFill>
                </w14:textFill>
              </w:rPr>
              <w:t>2</w:t>
            </w:r>
            <w:r>
              <w:rPr>
                <w:rFonts w:hint="eastAsia" w:ascii="Times New Roman" w:hAnsi="Times New Roman" w:eastAsia="Times New Roman" w:cs="Times New Roman"/>
                <w:snapToGrid w:val="0"/>
                <w:color w:val="000000" w:themeColor="text1"/>
                <w:spacing w:val="0"/>
                <w:w w:val="100"/>
                <w:kern w:val="18"/>
                <w:position w:val="0"/>
                <w:sz w:val="21"/>
                <w:szCs w:val="21"/>
                <w:u w:val="none"/>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N</w:t>
            </w:r>
            <w:r>
              <w:rPr>
                <w:rFonts w:hint="eastAsia" w:ascii="Times New Roman" w:hAnsi="Times New Roman" w:eastAsia="宋体" w:cs="Times New Roman"/>
                <w:snapToGrid w:val="0"/>
                <w:color w:val="000000" w:themeColor="text1"/>
                <w:spacing w:val="0"/>
                <w:w w:val="100"/>
                <w:kern w:val="18"/>
                <w:position w:val="0"/>
                <w:sz w:val="21"/>
                <w:szCs w:val="21"/>
                <w:u w:val="none"/>
                <w:lang w:val="en-US" w:eastAsia="zh-CN" w:bidi="ar-SA"/>
                <w14:textFill>
                  <w14:solidFill>
                    <w14:schemeClr w14:val="tx1"/>
                  </w14:solidFill>
                </w14:textFill>
              </w:rPr>
              <w:t>O</w:t>
            </w:r>
            <w:r>
              <w:rPr>
                <w:rFonts w:hint="eastAsia" w:ascii="Times New Roman" w:hAnsi="Times New Roman" w:eastAsia="Times New Roman" w:cs="Times New Roman"/>
                <w:snapToGrid w:val="0"/>
                <w:color w:val="000000" w:themeColor="text1"/>
                <w:spacing w:val="0"/>
                <w:w w:val="100"/>
                <w:kern w:val="18"/>
                <w:position w:val="0"/>
                <w:sz w:val="21"/>
                <w:szCs w:val="21"/>
                <w:u w:val="none"/>
                <w:vertAlign w:val="subscript"/>
                <w:lang w:val="en-US" w:eastAsia="zh-CN" w:bidi="ar-SA"/>
                <w14:textFill>
                  <w14:solidFill>
                    <w14:schemeClr w14:val="tx1"/>
                  </w14:solidFill>
                </w14:textFill>
              </w:rPr>
              <w:t>x</w:t>
            </w:r>
            <w:r>
              <w:rPr>
                <w:rFonts w:hint="eastAsia" w:ascii="Times New Roman" w:hAnsi="Times New Roman" w:eastAsia="Times New Roman" w:cs="Times New Roman"/>
                <w:snapToGrid w:val="0"/>
                <w:color w:val="000000" w:themeColor="text1"/>
                <w:spacing w:val="0"/>
                <w:w w:val="100"/>
                <w:kern w:val="18"/>
                <w:position w:val="0"/>
                <w:sz w:val="21"/>
                <w:szCs w:val="21"/>
                <w:u w:val="none"/>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1"/>
                <w:szCs w:val="21"/>
                <w:u w:val="none"/>
                <w:lang w:val="zh-CN" w:eastAsia="zh-CN" w:bidi="ar-SA"/>
                <w14:textFill>
                  <w14:solidFill>
                    <w14:schemeClr w14:val="tx1"/>
                  </w14:solidFill>
                </w14:textFill>
              </w:rPr>
              <w:t>PM</w:t>
            </w:r>
            <w:r>
              <w:rPr>
                <w:rFonts w:hint="eastAsia" w:ascii="Times New Roman" w:hAnsi="Times New Roman" w:eastAsia="宋体" w:cs="Times New Roman"/>
                <w:snapToGrid w:val="0"/>
                <w:color w:val="000000" w:themeColor="text1"/>
                <w:spacing w:val="0"/>
                <w:w w:val="100"/>
                <w:kern w:val="18"/>
                <w:position w:val="0"/>
                <w:sz w:val="21"/>
                <w:szCs w:val="21"/>
                <w:u w:val="none"/>
                <w:vertAlign w:val="subscript"/>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97" w:hRule="exact"/>
        </w:trPr>
        <w:tc>
          <w:tcPr>
            <w:tcW w:w="348" w:type="dxa"/>
            <w:vMerge w:val="continue"/>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p>
        </w:tc>
        <w:tc>
          <w:tcPr>
            <w:tcW w:w="991"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地表水环境</w:t>
            </w:r>
          </w:p>
        </w:tc>
        <w:tc>
          <w:tcPr>
            <w:tcW w:w="5089"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水温、pH、溶解氧、氨氮、高锰酸盐指数、挥发酚、氰化物、六价铬、硫化物、铜、锌、铅、砷、镉、汞、铁等</w:t>
            </w:r>
          </w:p>
        </w:tc>
        <w:tc>
          <w:tcPr>
            <w:tcW w:w="1901"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2" w:hRule="exact"/>
        </w:trPr>
        <w:tc>
          <w:tcPr>
            <w:tcW w:w="348" w:type="dxa"/>
            <w:vMerge w:val="continue"/>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p>
        </w:tc>
        <w:tc>
          <w:tcPr>
            <w:tcW w:w="991"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地下水环境</w:t>
            </w:r>
          </w:p>
        </w:tc>
        <w:tc>
          <w:tcPr>
            <w:tcW w:w="5089"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pH、挥发酚、氯化物、硫酸盐、耗氧量、氨氮、挥发酚、氰化物、铁、铜、铅、锌、镉、六价铬等</w:t>
            </w:r>
          </w:p>
        </w:tc>
        <w:tc>
          <w:tcPr>
            <w:tcW w:w="1901"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COD、氨氮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2" w:hRule="exact"/>
        </w:trPr>
        <w:tc>
          <w:tcPr>
            <w:tcW w:w="348" w:type="dxa"/>
            <w:vMerge w:val="continue"/>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p>
        </w:tc>
        <w:tc>
          <w:tcPr>
            <w:tcW w:w="991"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声环境</w:t>
            </w:r>
          </w:p>
        </w:tc>
        <w:tc>
          <w:tcPr>
            <w:tcW w:w="5089"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等效连续A 声级</w:t>
            </w:r>
          </w:p>
        </w:tc>
        <w:tc>
          <w:tcPr>
            <w:tcW w:w="1901"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等效连续A 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3" w:hRule="exact"/>
        </w:trPr>
        <w:tc>
          <w:tcPr>
            <w:tcW w:w="348" w:type="dxa"/>
            <w:vMerge w:val="continue"/>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p>
        </w:tc>
        <w:tc>
          <w:tcPr>
            <w:tcW w:w="991"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固体废物</w:t>
            </w:r>
          </w:p>
        </w:tc>
        <w:tc>
          <w:tcPr>
            <w:tcW w:w="5089"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w:t>
            </w:r>
          </w:p>
        </w:tc>
        <w:tc>
          <w:tcPr>
            <w:tcW w:w="1901"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脱硫灰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exact"/>
        </w:trPr>
        <w:tc>
          <w:tcPr>
            <w:tcW w:w="348"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p>
        </w:tc>
        <w:tc>
          <w:tcPr>
            <w:tcW w:w="991"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生态环境</w:t>
            </w:r>
          </w:p>
        </w:tc>
        <w:tc>
          <w:tcPr>
            <w:tcW w:w="5089"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植被、土壤</w:t>
            </w:r>
          </w:p>
        </w:tc>
        <w:tc>
          <w:tcPr>
            <w:tcW w:w="1901"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exact"/>
        </w:trPr>
        <w:tc>
          <w:tcPr>
            <w:tcW w:w="348"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p>
        </w:tc>
        <w:tc>
          <w:tcPr>
            <w:tcW w:w="991"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lang w:eastAsia="zh-CN"/>
                <w14:textFill>
                  <w14:solidFill>
                    <w14:schemeClr w14:val="tx1"/>
                  </w14:solidFill>
                </w14:textFill>
              </w:rPr>
              <w:t>环境风险</w:t>
            </w:r>
          </w:p>
        </w:tc>
        <w:tc>
          <w:tcPr>
            <w:tcW w:w="5089"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bCs w:val="0"/>
                <w:color w:val="000000" w:themeColor="text1"/>
                <w:sz w:val="21"/>
                <w:szCs w:val="21"/>
                <w14:textFill>
                  <w14:solidFill>
                    <w14:schemeClr w14:val="tx1"/>
                  </w14:solidFill>
                </w14:textFill>
              </w:rPr>
            </w:pPr>
          </w:p>
        </w:tc>
        <w:tc>
          <w:tcPr>
            <w:tcW w:w="1901"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液氨</w:t>
            </w:r>
          </w:p>
        </w:tc>
      </w:tr>
    </w:tbl>
    <w:p>
      <w:pPr>
        <w:pStyle w:val="4"/>
        <w:keepNext/>
        <w:keepLines/>
        <w:pageBreakBefore w:val="0"/>
        <w:widowControl w:val="0"/>
        <w:kinsoku w:val="0"/>
        <w:wordWrap/>
        <w:overflowPunct w:val="0"/>
        <w:topLinePunct w:val="0"/>
        <w:autoSpaceDE/>
        <w:autoSpaceDN/>
        <w:bidi w:val="0"/>
        <w:adjustRightInd/>
        <w:snapToGrid/>
        <w:spacing w:before="0" w:beforeLines="100" w:after="0" w:afterLines="0" w:line="360" w:lineRule="auto"/>
        <w:ind w:left="0" w:right="0"/>
        <w:jc w:val="both"/>
        <w:textAlignment w:val="auto"/>
        <w:outlineLvl w:val="1"/>
        <w:rPr>
          <w:rFonts w:hint="default" w:ascii="Times New Roman" w:hAnsi="Times New Roman" w:eastAsia="Times New Roman" w:cs="Times New Roman"/>
          <w:color w:val="000000" w:themeColor="text1"/>
          <w:sz w:val="32"/>
          <w:szCs w:val="32"/>
          <w14:textFill>
            <w14:solidFill>
              <w14:schemeClr w14:val="tx1"/>
            </w14:solidFill>
          </w14:textFill>
        </w:rPr>
      </w:pPr>
      <w:bookmarkStart w:id="13" w:name="_Toc24349"/>
      <w:bookmarkStart w:id="14" w:name="_Toc1043467"/>
      <w:bookmarkStart w:id="15" w:name="_Toc532680689"/>
      <w:bookmarkStart w:id="16" w:name="_Toc795764"/>
      <w:bookmarkStart w:id="17" w:name="_Toc23342"/>
      <w:bookmarkStart w:id="18" w:name="_Toc2703365"/>
      <w:r>
        <w:rPr>
          <w:rFonts w:hint="default" w:ascii="Times New Roman" w:hAnsi="Times New Roman" w:eastAsia="Times New Roman" w:cs="Times New Roman"/>
          <w:color w:val="000000" w:themeColor="text1"/>
          <w:sz w:val="32"/>
          <w:szCs w:val="32"/>
          <w:lang w:val="en-US" w:eastAsia="zh-CN"/>
          <w14:textFill>
            <w14:solidFill>
              <w14:schemeClr w14:val="tx1"/>
            </w14:solidFill>
          </w14:textFill>
        </w:rPr>
        <w:t>1.5</w:t>
      </w:r>
      <w:r>
        <w:rPr>
          <w:rFonts w:hint="default" w:ascii="Times New Roman" w:hAnsi="Times New Roman" w:eastAsia="Times New Roman" w:cs="Times New Roman"/>
          <w:color w:val="000000" w:themeColor="text1"/>
          <w:sz w:val="32"/>
          <w:szCs w:val="32"/>
          <w14:textFill>
            <w14:solidFill>
              <w14:schemeClr w14:val="tx1"/>
            </w14:solidFill>
          </w14:textFill>
        </w:rPr>
        <w:t>环境质量功能区划及评价标准</w:t>
      </w:r>
      <w:bookmarkEnd w:id="13"/>
      <w:bookmarkEnd w:id="14"/>
      <w:bookmarkEnd w:id="15"/>
      <w:bookmarkEnd w:id="16"/>
      <w:bookmarkEnd w:id="17"/>
      <w:bookmarkEnd w:id="18"/>
    </w:p>
    <w:p>
      <w:pPr>
        <w:pStyle w:val="10"/>
        <w:keepNext w:val="0"/>
        <w:keepLines w:val="0"/>
        <w:pageBreakBefore w:val="0"/>
        <w:widowControl w:val="0"/>
        <w:kinsoku w:val="0"/>
        <w:wordWrap/>
        <w:overflowPunct w:val="0"/>
        <w:topLinePunct w:val="0"/>
        <w:autoSpaceDE/>
        <w:autoSpaceDN/>
        <w:bidi w:val="0"/>
        <w:adjustRightInd/>
        <w:snapToGrid/>
        <w:spacing w:before="0" w:afterLines="0" w:line="360" w:lineRule="auto"/>
        <w:ind w:left="0"/>
        <w:jc w:val="both"/>
        <w:textAlignment w:val="auto"/>
        <w:outlineLvl w:val="2"/>
        <w:rPr>
          <w:rFonts w:hint="default" w:ascii="Times New Roman" w:hAnsi="Times New Roman" w:eastAsia="宋体" w:cs="Times New Roman"/>
          <w:b/>
          <w:bCs/>
          <w:color w:val="000000" w:themeColor="text1"/>
          <w:sz w:val="28"/>
          <w:szCs w:val="28"/>
          <w:lang w:val="en-US" w:eastAsia="zh-CN"/>
          <w14:textFill>
            <w14:solidFill>
              <w14:schemeClr w14:val="tx1"/>
            </w14:solidFill>
          </w14:textFill>
        </w:rPr>
      </w:pPr>
      <w:bookmarkStart w:id="19" w:name="_Toc532680690"/>
      <w:r>
        <w:rPr>
          <w:rFonts w:hint="default" w:ascii="Times New Roman" w:hAnsi="Times New Roman" w:cs="Times New Roman"/>
          <w:b/>
          <w:bCs/>
          <w:color w:val="000000" w:themeColor="text1"/>
          <w:sz w:val="28"/>
          <w:szCs w:val="28"/>
          <w:lang w:val="en-US" w:eastAsia="zh-CN"/>
          <w14:textFill>
            <w14:solidFill>
              <w14:schemeClr w14:val="tx1"/>
            </w14:solidFill>
          </w14:textFill>
        </w:rPr>
        <w:t>1.5.1</w:t>
      </w:r>
      <w:r>
        <w:rPr>
          <w:rFonts w:hint="default" w:ascii="Times New Roman" w:hAnsi="Times New Roman" w:eastAsia="宋体" w:cs="Times New Roman"/>
          <w:b/>
          <w:bCs/>
          <w:color w:val="000000" w:themeColor="text1"/>
          <w:sz w:val="28"/>
          <w:szCs w:val="28"/>
          <w:lang w:val="en-US" w:eastAsia="zh-CN"/>
          <w14:textFill>
            <w14:solidFill>
              <w14:schemeClr w14:val="tx1"/>
            </w14:solidFill>
          </w14:textFill>
        </w:rPr>
        <w:t>环境质量功能区划</w:t>
      </w:r>
      <w:bookmarkEnd w:id="19"/>
    </w:p>
    <w:p>
      <w:pPr>
        <w:pStyle w:val="128"/>
        <w:keepNext w:val="0"/>
        <w:keepLines w:val="0"/>
        <w:pageBreakBefore w:val="0"/>
        <w:widowControl/>
        <w:numPr>
          <w:ilvl w:val="0"/>
          <w:numId w:val="0"/>
        </w:numPr>
        <w:kinsoku/>
        <w:wordWrap/>
        <w:overflowPunct/>
        <w:topLinePunct w:val="0"/>
        <w:autoSpaceDE/>
        <w:autoSpaceDN/>
        <w:bidi w:val="0"/>
        <w:adjustRightInd w:val="0"/>
        <w:snapToGrid w:val="0"/>
        <w:ind w:leftChars="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1.5.1.1</w:t>
      </w:r>
      <w:r>
        <w:rPr>
          <w:rFonts w:hint="default" w:ascii="Times New Roman" w:hAnsi="Times New Roman" w:eastAsia="宋体" w:cs="Times New Roman"/>
          <w:color w:val="000000" w:themeColor="text1"/>
          <w14:textFill>
            <w14:solidFill>
              <w14:schemeClr w14:val="tx1"/>
            </w14:solidFill>
          </w14:textFill>
        </w:rPr>
        <w:t>环境空气</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本项目所在地</w:t>
      </w:r>
      <w:r>
        <w:rPr>
          <w:rFonts w:hint="eastAsia" w:ascii="Times New Roman" w:hAnsi="Times New Roman" w:cs="Times New Roman"/>
          <w:color w:val="000000" w:themeColor="text1"/>
          <w:lang w:eastAsia="zh-CN"/>
          <w14:textFill>
            <w14:solidFill>
              <w14:schemeClr w14:val="tx1"/>
            </w14:solidFill>
          </w14:textFill>
        </w:rPr>
        <w:t>克拉玛依高新技术产业开发区</w:t>
      </w:r>
      <w:r>
        <w:rPr>
          <w:rFonts w:hint="default" w:ascii="Times New Roman" w:hAnsi="Times New Roman" w:cs="Times New Roman"/>
          <w:color w:val="000000" w:themeColor="text1"/>
          <w14:textFill>
            <w14:solidFill>
              <w14:schemeClr w14:val="tx1"/>
            </w14:solidFill>
          </w14:textFill>
        </w:rPr>
        <w:t>。按照《环境空气质量标准》（GB3095-2012）中的规定，规划范围环境空气质量功能区划属二类功能区，环境空气质量执行二级标准。</w:t>
      </w:r>
    </w:p>
    <w:p>
      <w:pPr>
        <w:pStyle w:val="128"/>
        <w:keepNext w:val="0"/>
        <w:keepLines w:val="0"/>
        <w:pageBreakBefore w:val="0"/>
        <w:widowControl/>
        <w:numPr>
          <w:ilvl w:val="3"/>
          <w:numId w:val="0"/>
        </w:numPr>
        <w:kinsoku/>
        <w:wordWrap/>
        <w:overflowPunct/>
        <w:topLinePunct w:val="0"/>
        <w:autoSpaceDE/>
        <w:autoSpaceDN/>
        <w:bidi w:val="0"/>
        <w:adjustRightInd w:val="0"/>
        <w:snapToGrid w:val="0"/>
        <w:ind w:left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1.5.1.2地表水环境</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本项目周围无地表水分布</w:t>
      </w:r>
      <w:r>
        <w:rPr>
          <w:rFonts w:hint="default" w:ascii="Times New Roman" w:hAnsi="Times New Roman" w:cs="Times New Roman"/>
          <w:color w:val="000000" w:themeColor="text1"/>
          <w:lang w:val="en-US" w:eastAsia="zh-CN"/>
          <w14:textFill>
            <w14:solidFill>
              <w14:schemeClr w14:val="tx1"/>
            </w14:solidFill>
          </w14:textFill>
        </w:rPr>
        <w:t>。</w:t>
      </w:r>
    </w:p>
    <w:p>
      <w:pPr>
        <w:pStyle w:val="128"/>
        <w:keepNext w:val="0"/>
        <w:keepLines w:val="0"/>
        <w:pageBreakBefore w:val="0"/>
        <w:widowControl/>
        <w:numPr>
          <w:ilvl w:val="3"/>
          <w:numId w:val="0"/>
        </w:numPr>
        <w:kinsoku/>
        <w:wordWrap/>
        <w:overflowPunct/>
        <w:topLinePunct w:val="0"/>
        <w:autoSpaceDE/>
        <w:autoSpaceDN/>
        <w:bidi w:val="0"/>
        <w:adjustRightInd w:val="0"/>
        <w:snapToGrid w:val="0"/>
        <w:ind w:left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1.5.1.3地下水环境</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本项目所在区域地下水执行《地下水质量标准》（GB/T14848-2017）Ⅲ类水质标准。</w:t>
      </w:r>
    </w:p>
    <w:p>
      <w:pPr>
        <w:pStyle w:val="128"/>
        <w:keepNext w:val="0"/>
        <w:keepLines w:val="0"/>
        <w:pageBreakBefore w:val="0"/>
        <w:widowControl/>
        <w:numPr>
          <w:ilvl w:val="3"/>
          <w:numId w:val="0"/>
        </w:numPr>
        <w:kinsoku/>
        <w:wordWrap/>
        <w:overflowPunct/>
        <w:topLinePunct w:val="0"/>
        <w:autoSpaceDE/>
        <w:autoSpaceDN/>
        <w:bidi w:val="0"/>
        <w:adjustRightInd w:val="0"/>
        <w:snapToGrid w:val="0"/>
        <w:ind w:left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1.5.1.4声环境</w:t>
      </w:r>
    </w:p>
    <w:p>
      <w:pPr>
        <w:pStyle w:val="129"/>
        <w:keepNext w:val="0"/>
        <w:keepLines w:val="0"/>
        <w:pageBreakBefore w:val="0"/>
        <w:widowControl w:val="0"/>
        <w:shd w:val="clear" w:color="auto" w:fill="auto"/>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b w:val="0"/>
          <w:bCs w:val="0"/>
          <w:color w:val="000000" w:themeColor="text1"/>
          <w:kern w:val="2"/>
          <w:sz w:val="24"/>
          <w:szCs w:val="24"/>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本项目位于</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高新技术产业开发区</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，属于3类声环境功能区，声环境执行《声环境质量标准》（GB3096-2008）3类声环境功能区标准。</w:t>
      </w:r>
    </w:p>
    <w:p>
      <w:pPr>
        <w:pStyle w:val="10"/>
        <w:keepNext w:val="0"/>
        <w:keepLines w:val="0"/>
        <w:pageBreakBefore w:val="0"/>
        <w:widowControl w:val="0"/>
        <w:kinsoku w:val="0"/>
        <w:wordWrap/>
        <w:overflowPunct w:val="0"/>
        <w:topLinePunct w:val="0"/>
        <w:autoSpaceDE/>
        <w:autoSpaceDN/>
        <w:bidi w:val="0"/>
        <w:adjustRightInd/>
        <w:snapToGrid/>
        <w:spacing w:before="0" w:afterLines="0" w:line="360" w:lineRule="auto"/>
        <w:ind w:left="0"/>
        <w:jc w:val="both"/>
        <w:textAlignment w:val="auto"/>
        <w:outlineLvl w:val="2"/>
        <w:rPr>
          <w:rFonts w:hint="default" w:ascii="Times New Roman" w:hAnsi="Times New Roman" w:cs="Times New Roman"/>
          <w:b/>
          <w:bCs/>
          <w:color w:val="000000" w:themeColor="text1"/>
          <w:sz w:val="28"/>
          <w:szCs w:val="28"/>
          <w:lang w:val="en-US" w:eastAsia="zh-CN"/>
          <w14:textFill>
            <w14:solidFill>
              <w14:schemeClr w14:val="tx1"/>
            </w14:solidFill>
          </w14:textFill>
        </w:rPr>
      </w:pPr>
      <w:bookmarkStart w:id="20" w:name="_Toc532680691"/>
      <w:r>
        <w:rPr>
          <w:rFonts w:hint="default" w:ascii="Times New Roman" w:hAnsi="Times New Roman" w:cs="Times New Roman"/>
          <w:b/>
          <w:bCs/>
          <w:color w:val="000000" w:themeColor="text1"/>
          <w:sz w:val="28"/>
          <w:szCs w:val="28"/>
          <w:lang w:val="en-US" w:eastAsia="zh-CN"/>
          <w14:textFill>
            <w14:solidFill>
              <w14:schemeClr w14:val="tx1"/>
            </w14:solidFill>
          </w14:textFill>
        </w:rPr>
        <w:t>1.5.2环境质量标准</w:t>
      </w:r>
      <w:bookmarkEnd w:id="20"/>
    </w:p>
    <w:p>
      <w:pPr>
        <w:pStyle w:val="128"/>
        <w:keepNext w:val="0"/>
        <w:keepLines w:val="0"/>
        <w:pageBreakBefore w:val="0"/>
        <w:widowControl/>
        <w:numPr>
          <w:ilvl w:val="3"/>
          <w:numId w:val="0"/>
        </w:numPr>
        <w:kinsoku/>
        <w:wordWrap/>
        <w:overflowPunct/>
        <w:topLinePunct w:val="0"/>
        <w:autoSpaceDE/>
        <w:autoSpaceDN/>
        <w:bidi w:val="0"/>
        <w:adjustRightInd w:val="0"/>
        <w:snapToGrid w:val="0"/>
        <w:ind w:left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1.5.2.1大气环境质量标准</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bookmarkStart w:id="21" w:name="OLE_LINK260"/>
      <w:bookmarkStart w:id="22" w:name="OLE_LINK229"/>
      <w:bookmarkStart w:id="23" w:name="OLE_LINK261"/>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常规污染物</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S</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O</w:t>
      </w:r>
      <w:r>
        <w:rPr>
          <w:rFonts w:hint="default" w:ascii="Times New Roman" w:hAnsi="Times New Roman" w:eastAsia="宋体" w:cs="Times New Roman"/>
          <w:b w:val="0"/>
          <w:bCs w:val="0"/>
          <w:color w:val="000000" w:themeColor="text1"/>
          <w:kern w:val="2"/>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、PM</w:t>
      </w:r>
      <w:r>
        <w:rPr>
          <w:rFonts w:hint="default" w:ascii="Times New Roman" w:hAnsi="Times New Roman" w:eastAsia="宋体" w:cs="Times New Roman"/>
          <w:b w:val="0"/>
          <w:bCs w:val="0"/>
          <w:color w:val="000000" w:themeColor="text1"/>
          <w:kern w:val="2"/>
          <w:sz w:val="24"/>
          <w:szCs w:val="24"/>
          <w:vertAlign w:val="subscript"/>
          <w:lang w:val="en-US" w:eastAsia="zh-CN" w:bidi="ar-SA"/>
          <w14:textFill>
            <w14:solidFill>
              <w14:schemeClr w14:val="tx1"/>
            </w14:solidFill>
          </w14:textFill>
        </w:rPr>
        <w:t>10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、PM</w:t>
      </w:r>
      <w:r>
        <w:rPr>
          <w:rFonts w:hint="default" w:ascii="Times New Roman" w:hAnsi="Times New Roman" w:eastAsia="宋体" w:cs="Times New Roman"/>
          <w:b w:val="0"/>
          <w:bCs w:val="0"/>
          <w:color w:val="000000" w:themeColor="text1"/>
          <w:kern w:val="2"/>
          <w:sz w:val="24"/>
          <w:szCs w:val="24"/>
          <w:vertAlign w:val="subscript"/>
          <w:lang w:val="en-US" w:eastAsia="zh-CN" w:bidi="ar-SA"/>
          <w14:textFill>
            <w14:solidFill>
              <w14:schemeClr w14:val="tx1"/>
            </w14:solidFill>
          </w14:textFill>
        </w:rPr>
        <w:t>2.5</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、CO、臭氧、NOx执行《环境空气质量标准》（GB3095-2012）中的二级标准，特征污染物执行《环境影响评价技术导则-大气环境》（HJ2.2-2018）附录D</w:t>
      </w:r>
      <w:bookmarkEnd w:id="21"/>
      <w:bookmarkEnd w:id="22"/>
      <w:bookmarkEnd w:id="23"/>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的的参考浓度限值标准，其标准值见表1.5-1。</w:t>
      </w:r>
    </w:p>
    <w:p>
      <w:pPr>
        <w:pStyle w:val="131"/>
        <w:keepNext w:val="0"/>
        <w:keepLines w:val="0"/>
        <w:pageBreakBefore w:val="0"/>
        <w:widowControl w:val="0"/>
        <w:shd w:val="clear" w:color="auto" w:fill="auto"/>
        <w:kinsoku/>
        <w:wordWrap/>
        <w:overflowPunct/>
        <w:topLinePunct w:val="0"/>
        <w:autoSpaceDE/>
        <w:autoSpaceDN/>
        <w:bidi w:val="0"/>
        <w:adjustRightInd/>
        <w:snapToGrid w:val="0"/>
        <w:spacing w:before="0" w:beforeLines="50"/>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表</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1.5-1</w:t>
      </w:r>
      <w:r>
        <w:rPr>
          <w:rFonts w:hint="default" w:ascii="Times New Roman" w:hAnsi="Times New Roman" w:eastAsia="黑体" w:cs="Times New Roman"/>
          <w:color w:val="000000" w:themeColor="text1"/>
          <w:sz w:val="21"/>
          <w:szCs w:val="21"/>
          <w14:textFill>
            <w14:solidFill>
              <w14:schemeClr w14:val="tx1"/>
            </w14:solidFill>
          </w14:textFill>
        </w:rPr>
        <w:t>环境空气质量评价标准一览表</w:t>
      </w:r>
    </w:p>
    <w:tbl>
      <w:tblPr>
        <w:tblStyle w:val="21"/>
        <w:tblW w:w="8309" w:type="dxa"/>
        <w:tblInd w:w="-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
      <w:tblGrid>
        <w:gridCol w:w="584"/>
        <w:gridCol w:w="2133"/>
        <w:gridCol w:w="1137"/>
        <w:gridCol w:w="902"/>
        <w:gridCol w:w="1045"/>
        <w:gridCol w:w="25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c>
          <w:tcPr>
            <w:tcW w:w="584" w:type="dxa"/>
            <w:vMerge w:val="restart"/>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2133" w:type="dxa"/>
            <w:vMerge w:val="restart"/>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w:t>
            </w:r>
          </w:p>
        </w:tc>
        <w:tc>
          <w:tcPr>
            <w:tcW w:w="3084" w:type="dxa"/>
            <w:gridSpan w:val="3"/>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浓度限值（μg/m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2508" w:type="dxa"/>
            <w:vMerge w:val="restart"/>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c>
          <w:tcPr>
            <w:tcW w:w="584"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p>
        </w:tc>
        <w:tc>
          <w:tcPr>
            <w:tcW w:w="21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小时平均</w:t>
            </w:r>
          </w:p>
        </w:tc>
        <w:tc>
          <w:tcPr>
            <w:tcW w:w="902"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日平均</w:t>
            </w:r>
          </w:p>
        </w:tc>
        <w:tc>
          <w:tcPr>
            <w:tcW w:w="1045"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年平均值</w:t>
            </w:r>
          </w:p>
        </w:tc>
        <w:tc>
          <w:tcPr>
            <w:tcW w:w="2508"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c>
          <w:tcPr>
            <w:tcW w:w="584"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133"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二氧化硫（SO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w:t>
            </w:r>
          </w:p>
        </w:tc>
        <w:tc>
          <w:tcPr>
            <w:tcW w:w="902"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150</w:t>
            </w:r>
          </w:p>
        </w:tc>
        <w:tc>
          <w:tcPr>
            <w:tcW w:w="1045"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2508" w:type="dxa"/>
            <w:vMerge w:val="restart"/>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《环境空气质量标准》(GB3095-2012)二级（μg/m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rPr>
          <w:trHeight w:val="146"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pPr>
              <w:pStyle w:val="132"/>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2133"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氮氧化物（NO</w:t>
            </w:r>
            <w:r>
              <w:rPr>
                <w:rFonts w:hint="default" w:ascii="Times New Roman" w:hAnsi="Times New Roman" w:cs="Times New Roman"/>
                <w:color w:val="000000" w:themeColor="text1"/>
                <w:sz w:val="21"/>
                <w:szCs w:val="21"/>
                <w:vertAlign w:val="subscript"/>
                <w14:textFill>
                  <w14:solidFill>
                    <w14:schemeClr w14:val="tx1"/>
                  </w14:solidFill>
                </w14:textFill>
              </w:rPr>
              <w:t>X</w:t>
            </w:r>
            <w:r>
              <w:rPr>
                <w:rFonts w:hint="default" w:ascii="Times New Roman" w:hAnsi="Times New Roman" w:cs="Times New Roman"/>
                <w:color w:val="000000" w:themeColor="text1"/>
                <w:sz w:val="21"/>
                <w:szCs w:val="21"/>
                <w14:textFill>
                  <w14:solidFill>
                    <w14:schemeClr w14:val="tx1"/>
                  </w14:solidFill>
                </w14:textFill>
              </w:rPr>
              <w:t>）</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250</w:t>
            </w:r>
          </w:p>
        </w:tc>
        <w:tc>
          <w:tcPr>
            <w:tcW w:w="902"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w:t>
            </w:r>
          </w:p>
        </w:tc>
        <w:tc>
          <w:tcPr>
            <w:tcW w:w="1045"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w:t>
            </w:r>
          </w:p>
        </w:tc>
        <w:tc>
          <w:tcPr>
            <w:tcW w:w="2508"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rPr>
          <w:trHeight w:val="146"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pPr>
              <w:pStyle w:val="132"/>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2133"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臭氧</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w:t>
            </w:r>
          </w:p>
        </w:tc>
        <w:tc>
          <w:tcPr>
            <w:tcW w:w="902"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w:t>
            </w:r>
          </w:p>
        </w:tc>
        <w:tc>
          <w:tcPr>
            <w:tcW w:w="1045"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508"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rPr>
          <w:trHeight w:val="206"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pPr>
              <w:pStyle w:val="132"/>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p>
        </w:tc>
        <w:tc>
          <w:tcPr>
            <w:tcW w:w="2133"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902"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045"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508"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c>
          <w:tcPr>
            <w:tcW w:w="584" w:type="dxa"/>
            <w:tcBorders>
              <w:top w:val="single" w:color="auto" w:sz="4" w:space="0"/>
              <w:left w:val="single" w:color="auto" w:sz="4" w:space="0"/>
              <w:bottom w:val="single" w:color="auto" w:sz="4" w:space="0"/>
              <w:right w:val="single" w:color="auto" w:sz="4" w:space="0"/>
            </w:tcBorders>
            <w:noWrap w:val="0"/>
            <w:vAlign w:val="center"/>
          </w:tcPr>
          <w:p>
            <w:pPr>
              <w:pStyle w:val="132"/>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2133"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可吸入颗粒物（PM</w:t>
            </w:r>
            <w:r>
              <w:rPr>
                <w:rFonts w:hint="default" w:ascii="Times New Roman" w:hAnsi="Times New Roman" w:cs="Times New Roman"/>
                <w:color w:val="000000" w:themeColor="text1"/>
                <w:sz w:val="21"/>
                <w:szCs w:val="21"/>
                <w:vertAlign w:val="subscript"/>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02"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150</w:t>
            </w:r>
          </w:p>
        </w:tc>
        <w:tc>
          <w:tcPr>
            <w:tcW w:w="1045"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2508"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rPr>
          <w:trHeight w:val="70"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pPr>
              <w:pStyle w:val="132"/>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w:t>
            </w:r>
          </w:p>
        </w:tc>
        <w:tc>
          <w:tcPr>
            <w:tcW w:w="2133"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细颗粒物（PM</w:t>
            </w:r>
            <w:r>
              <w:rPr>
                <w:rFonts w:hint="default" w:ascii="Times New Roman" w:hAnsi="Times New Roman" w:cs="Times New Roman"/>
                <w:color w:val="000000" w:themeColor="text1"/>
                <w:sz w:val="21"/>
                <w:szCs w:val="21"/>
                <w:vertAlign w:val="subscript"/>
                <w14:textFill>
                  <w14:solidFill>
                    <w14:schemeClr w14:val="tx1"/>
                  </w14:solidFill>
                </w14:textFill>
              </w:rPr>
              <w:t>2.5</w:t>
            </w:r>
            <w:r>
              <w:rPr>
                <w:rFonts w:hint="default" w:ascii="Times New Roman" w:hAnsi="Times New Roman" w:cs="Times New Roman"/>
                <w:color w:val="000000" w:themeColor="text1"/>
                <w:sz w:val="21"/>
                <w:szCs w:val="21"/>
                <w14:textFill>
                  <w14:solidFill>
                    <w14:schemeClr w14:val="tx1"/>
                  </w14:solidFill>
                </w14:textFill>
              </w:rPr>
              <w:t>）</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02"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75</w:t>
            </w:r>
          </w:p>
        </w:tc>
        <w:tc>
          <w:tcPr>
            <w:tcW w:w="1045"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2508"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rPr>
          <w:trHeight w:val="70"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pPr>
              <w:pStyle w:val="132"/>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w:t>
            </w:r>
          </w:p>
        </w:tc>
        <w:tc>
          <w:tcPr>
            <w:tcW w:w="2133"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NH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3</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200</w:t>
            </w:r>
          </w:p>
        </w:tc>
        <w:tc>
          <w:tcPr>
            <w:tcW w:w="902"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p>
        </w:tc>
        <w:tc>
          <w:tcPr>
            <w:tcW w:w="1045"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p>
        </w:tc>
        <w:tc>
          <w:tcPr>
            <w:tcW w:w="2508"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《环境影响评价技术导则-大气环境》（HJ2.2-2018）附录D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rPr>
          <w:trHeight w:val="332"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w:t>
            </w:r>
          </w:p>
        </w:tc>
        <w:tc>
          <w:tcPr>
            <w:tcW w:w="2133"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汞</w:t>
            </w:r>
          </w:p>
        </w:tc>
        <w:tc>
          <w:tcPr>
            <w:tcW w:w="3084" w:type="dxa"/>
            <w:gridSpan w:val="3"/>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w:t>
            </w:r>
          </w:p>
        </w:tc>
        <w:tc>
          <w:tcPr>
            <w:tcW w:w="2508" w:type="dxa"/>
            <w:tcBorders>
              <w:top w:val="single" w:color="auto" w:sz="4" w:space="0"/>
              <w:left w:val="single" w:color="auto" w:sz="4" w:space="0"/>
              <w:bottom w:val="single" w:color="auto" w:sz="4" w:space="0"/>
              <w:right w:val="single" w:color="auto" w:sz="4" w:space="0"/>
            </w:tcBorders>
            <w:noWrap w:val="0"/>
            <w:vAlign w:val="center"/>
          </w:tcPr>
          <w:p>
            <w:pPr>
              <w:pStyle w:val="13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《大气污染物综合排放标准》（</w:t>
            </w:r>
            <w:r>
              <w:rPr>
                <w:rFonts w:hint="default" w:ascii="Times New Roman" w:hAnsi="Times New Roman" w:cs="Times New Roman"/>
                <w:color w:val="000000" w:themeColor="text1"/>
                <w:sz w:val="21"/>
                <w:szCs w:val="21"/>
                <w14:textFill>
                  <w14:solidFill>
                    <w14:schemeClr w14:val="tx1"/>
                  </w14:solidFill>
                </w14:textFill>
              </w:rPr>
              <w:t>GB</w:t>
            </w:r>
            <w:r>
              <w:rPr>
                <w:rFonts w:hint="eastAsia" w:ascii="Times New Roman" w:hAnsi="Times New Roman" w:cs="Times New Roman"/>
                <w:color w:val="000000" w:themeColor="text1"/>
                <w:sz w:val="21"/>
                <w:szCs w:val="21"/>
                <w:lang w:val="en-US" w:eastAsia="zh-CN"/>
                <w14:textFill>
                  <w14:solidFill>
                    <w14:schemeClr w14:val="tx1"/>
                  </w14:solidFill>
                </w14:textFill>
              </w:rPr>
              <w:t>16297-1996</w:t>
            </w:r>
            <w:r>
              <w:rPr>
                <w:rFonts w:hint="eastAsia" w:ascii="Times New Roman" w:hAnsi="Times New Roman" w:cs="Times New Roman"/>
                <w:color w:val="000000" w:themeColor="text1"/>
                <w:sz w:val="21"/>
                <w:szCs w:val="21"/>
                <w:lang w:eastAsia="zh-CN"/>
                <w14:textFill>
                  <w14:solidFill>
                    <w14:schemeClr w14:val="tx1"/>
                  </w14:solidFill>
                </w14:textFill>
              </w:rPr>
              <w:t>）表</w:t>
            </w:r>
            <w:r>
              <w:rPr>
                <w:rFonts w:hint="eastAsia" w:ascii="Times New Roman" w:hAnsi="Times New Roman" w:cs="Times New Roman"/>
                <w:color w:val="000000" w:themeColor="text1"/>
                <w:sz w:val="21"/>
                <w:szCs w:val="21"/>
                <w:lang w:val="en-US" w:eastAsia="zh-CN"/>
                <w14:textFill>
                  <w14:solidFill>
                    <w14:schemeClr w14:val="tx1"/>
                  </w14:solidFill>
                </w14:textFill>
              </w:rPr>
              <w:t>1</w:t>
            </w:r>
          </w:p>
        </w:tc>
      </w:tr>
    </w:tbl>
    <w:p>
      <w:pPr>
        <w:pStyle w:val="128"/>
        <w:keepNext w:val="0"/>
        <w:keepLines w:val="0"/>
        <w:pageBreakBefore w:val="0"/>
        <w:widowControl/>
        <w:numPr>
          <w:ilvl w:val="3"/>
          <w:numId w:val="0"/>
        </w:numPr>
        <w:kinsoku/>
        <w:wordWrap/>
        <w:overflowPunct/>
        <w:topLinePunct w:val="0"/>
        <w:autoSpaceDE/>
        <w:autoSpaceDN/>
        <w:bidi w:val="0"/>
        <w:adjustRightInd w:val="0"/>
        <w:snapToGrid w:val="0"/>
        <w:spacing w:before="0" w:beforeLines="100"/>
        <w:ind w:left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1.5.2.2地下水环境质量标准</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项目所在区域地下水执行《地下水质量标准》（GB/T14848-2017）Ⅲ类水质标准，其标准值见表1.5-</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pPr>
        <w:pStyle w:val="131"/>
        <w:keepNext w:val="0"/>
        <w:keepLines w:val="0"/>
        <w:pageBreakBefore w:val="0"/>
        <w:widowControl w:val="0"/>
        <w:shd w:val="clear" w:color="auto" w:fill="auto"/>
        <w:kinsoku/>
        <w:wordWrap/>
        <w:overflowPunct/>
        <w:topLinePunct w:val="0"/>
        <w:autoSpaceDE/>
        <w:autoSpaceDN/>
        <w:bidi w:val="0"/>
        <w:adjustRightInd/>
        <w:snapToGrid w:val="0"/>
        <w:spacing w:before="0" w:beforeLines="50"/>
        <w:textAlignment w:val="auto"/>
        <w:rPr>
          <w:rFonts w:hint="default" w:ascii="Times New Roman" w:hAnsi="Times New Roman" w:eastAsia="黑体" w:cs="Times New Roman"/>
          <w:color w:val="000000" w:themeColor="text1"/>
          <w:sz w:val="21"/>
          <w:szCs w:val="21"/>
          <w:lang w:val="zh-CN" w:eastAsia="zh-CN"/>
          <w14:textFill>
            <w14:solidFill>
              <w14:schemeClr w14:val="tx1"/>
            </w14:solidFill>
          </w14:textFill>
        </w:rPr>
      </w:pPr>
      <w:r>
        <w:rPr>
          <w:rFonts w:hint="default" w:ascii="Times New Roman" w:hAnsi="Times New Roman" w:eastAsia="黑体" w:cs="Times New Roman"/>
          <w:color w:val="000000" w:themeColor="text1"/>
          <w:sz w:val="21"/>
          <w:szCs w:val="21"/>
          <w:lang w:val="zh-CN" w:eastAsia="zh-CN"/>
          <w14:textFill>
            <w14:solidFill>
              <w14:schemeClr w14:val="tx1"/>
            </w14:solidFill>
          </w14:textFill>
        </w:rPr>
        <w:t>表</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1.5-</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黑体" w:cs="Times New Roman"/>
          <w:color w:val="000000" w:themeColor="text1"/>
          <w:sz w:val="21"/>
          <w:szCs w:val="21"/>
          <w:lang w:val="zh-CN" w:eastAsia="zh-CN"/>
          <w14:textFill>
            <w14:solidFill>
              <w14:schemeClr w14:val="tx1"/>
            </w14:solidFill>
          </w14:textFill>
        </w:rPr>
        <w:t>地下水质量评价标准一览表  单位：mg/L(pH除外)</w:t>
      </w:r>
    </w:p>
    <w:tbl>
      <w:tblPr>
        <w:tblStyle w:val="21"/>
        <w:tblW w:w="85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108" w:type="dxa"/>
          <w:bottom w:w="6" w:type="dxa"/>
          <w:right w:w="108" w:type="dxa"/>
        </w:tblCellMar>
      </w:tblPr>
      <w:tblGrid>
        <w:gridCol w:w="968"/>
        <w:gridCol w:w="1629"/>
        <w:gridCol w:w="1629"/>
        <w:gridCol w:w="1032"/>
        <w:gridCol w:w="1628"/>
        <w:gridCol w:w="16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108" w:type="dxa"/>
            <w:bottom w:w="6" w:type="dxa"/>
            <w:right w:w="108" w:type="dxa"/>
          </w:tblCellMar>
        </w:tblPrEx>
        <w:trPr>
          <w:trHeight w:val="67" w:hRule="atLeast"/>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指标</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标准值</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162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指标</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108" w:type="dxa"/>
            <w:bottom w:w="6"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pH</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6.5-8.5</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w:t>
            </w:r>
          </w:p>
        </w:tc>
        <w:tc>
          <w:tcPr>
            <w:tcW w:w="162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Mn</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108" w:type="dxa"/>
            <w:bottom w:w="6"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耗氧量（COD</w:t>
            </w:r>
            <w:r>
              <w:rPr>
                <w:rFonts w:hint="default" w:ascii="Times New Roman" w:hAnsi="Times New Roman" w:cs="Times New Roman"/>
                <w:color w:val="000000" w:themeColor="text1"/>
                <w:sz w:val="21"/>
                <w:szCs w:val="21"/>
                <w:vertAlign w:val="subscript"/>
                <w14:textFill>
                  <w14:solidFill>
                    <w14:schemeClr w14:val="tx1"/>
                  </w14:solidFill>
                </w14:textFill>
              </w:rPr>
              <w:t>MN</w:t>
            </w:r>
            <w:r>
              <w:rPr>
                <w:rFonts w:hint="default" w:ascii="Times New Roman" w:hAnsi="Times New Roman" w:cs="Times New Roman"/>
                <w:color w:val="000000" w:themeColor="text1"/>
                <w:sz w:val="21"/>
                <w:szCs w:val="21"/>
                <w14:textFill>
                  <w14:solidFill>
                    <w14:schemeClr w14:val="tx1"/>
                  </w14:solidFill>
                </w14:textFill>
              </w:rPr>
              <w:t>）</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w:t>
            </w:r>
          </w:p>
        </w:tc>
        <w:tc>
          <w:tcPr>
            <w:tcW w:w="162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Zn</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108" w:type="dxa"/>
            <w:bottom w:w="6"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≤0.5</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w:t>
            </w:r>
          </w:p>
        </w:tc>
        <w:tc>
          <w:tcPr>
            <w:tcW w:w="162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Pb</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108" w:type="dxa"/>
            <w:bottom w:w="6"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亚硝酸盐</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14</w:t>
            </w:r>
          </w:p>
        </w:tc>
        <w:tc>
          <w:tcPr>
            <w:tcW w:w="162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Cu</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108" w:type="dxa"/>
            <w:bottom w:w="6"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氰化物</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≤0.05</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162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Cd</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108" w:type="dxa"/>
            <w:bottom w:w="6"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氯化物</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≤250</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w:t>
            </w:r>
          </w:p>
        </w:tc>
        <w:tc>
          <w:tcPr>
            <w:tcW w:w="162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As</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108" w:type="dxa"/>
            <w:bottom w:w="6"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氟化物</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w:t>
            </w:r>
          </w:p>
        </w:tc>
        <w:tc>
          <w:tcPr>
            <w:tcW w:w="162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Hg</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108" w:type="dxa"/>
            <w:bottom w:w="6"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硫酸盐</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≤250</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18</w:t>
            </w:r>
          </w:p>
        </w:tc>
        <w:tc>
          <w:tcPr>
            <w:tcW w:w="162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vertAlign w:val="superscript"/>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Cr</w:t>
            </w:r>
            <w:r>
              <w:rPr>
                <w:rFonts w:hint="default" w:ascii="Times New Roman" w:hAnsi="Times New Roman" w:cs="Times New Roman"/>
                <w:color w:val="000000" w:themeColor="text1"/>
                <w:sz w:val="21"/>
                <w:szCs w:val="21"/>
                <w:vertAlign w:val="superscript"/>
                <w14:textFill>
                  <w14:solidFill>
                    <w14:schemeClr w14:val="tx1"/>
                  </w14:solidFill>
                </w14:textFill>
              </w:rPr>
              <w:t>6+</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108" w:type="dxa"/>
            <w:bottom w:w="6"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挥发酚</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≤0.002</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19</w:t>
            </w:r>
          </w:p>
        </w:tc>
        <w:tc>
          <w:tcPr>
            <w:tcW w:w="162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Ni</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108" w:type="dxa"/>
            <w:bottom w:w="6"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Fe</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≤0.3</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w:t>
            </w:r>
          </w:p>
        </w:tc>
        <w:tc>
          <w:tcPr>
            <w:tcW w:w="162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Se</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≤0.01</w:t>
            </w:r>
          </w:p>
        </w:tc>
      </w:tr>
    </w:tbl>
    <w:p>
      <w:pPr>
        <w:pStyle w:val="128"/>
        <w:keepNext w:val="0"/>
        <w:keepLines w:val="0"/>
        <w:pageBreakBefore w:val="0"/>
        <w:widowControl/>
        <w:numPr>
          <w:ilvl w:val="3"/>
          <w:numId w:val="0"/>
        </w:numPr>
        <w:kinsoku/>
        <w:wordWrap/>
        <w:overflowPunct/>
        <w:topLinePunct w:val="0"/>
        <w:autoSpaceDE/>
        <w:autoSpaceDN/>
        <w:bidi w:val="0"/>
        <w:adjustRightInd w:val="0"/>
        <w:snapToGrid w:val="0"/>
        <w:spacing w:before="0" w:beforeLines="100"/>
        <w:ind w:left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1.5.2.</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声环境质量标准</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声环境质量执行《声环境质量标准》(GB3096-2008)，区域执行其中的3类标准。标准值见表1.5-</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pPr>
        <w:pStyle w:val="131"/>
        <w:keepNext w:val="0"/>
        <w:keepLines w:val="0"/>
        <w:pageBreakBefore w:val="0"/>
        <w:widowControl w:val="0"/>
        <w:shd w:val="clear" w:color="auto" w:fill="auto"/>
        <w:kinsoku/>
        <w:wordWrap/>
        <w:overflowPunct/>
        <w:topLinePunct w:val="0"/>
        <w:autoSpaceDE/>
        <w:autoSpaceDN/>
        <w:bidi w:val="0"/>
        <w:adjustRightInd/>
        <w:snapToGrid w:val="0"/>
        <w:spacing w:before="0" w:beforeLines="50"/>
        <w:textAlignment w:val="auto"/>
        <w:rPr>
          <w:rFonts w:hint="default" w:ascii="Times New Roman" w:hAnsi="Times New Roman" w:eastAsia="黑体" w:cs="Times New Roman"/>
          <w:color w:val="000000" w:themeColor="text1"/>
          <w:sz w:val="21"/>
          <w:szCs w:val="21"/>
          <w:lang w:val="zh-CN" w:eastAsia="zh-CN"/>
          <w14:textFill>
            <w14:solidFill>
              <w14:schemeClr w14:val="tx1"/>
            </w14:solidFill>
          </w14:textFill>
        </w:rPr>
      </w:pPr>
      <w:r>
        <w:rPr>
          <w:rFonts w:hint="default" w:ascii="Times New Roman" w:hAnsi="Times New Roman" w:eastAsia="黑体" w:cs="Times New Roman"/>
          <w:color w:val="000000" w:themeColor="text1"/>
          <w:sz w:val="21"/>
          <w:szCs w:val="21"/>
          <w:lang w:val="zh-CN" w:eastAsia="zh-CN"/>
          <w14:textFill>
            <w14:solidFill>
              <w14:schemeClr w14:val="tx1"/>
            </w14:solidFill>
          </w14:textFill>
        </w:rPr>
        <w:t>表</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1.5-</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黑体" w:cs="Times New Roman"/>
          <w:color w:val="000000" w:themeColor="text1"/>
          <w:sz w:val="21"/>
          <w:szCs w:val="21"/>
          <w:lang w:val="zh-CN" w:eastAsia="zh-CN"/>
          <w14:textFill>
            <w14:solidFill>
              <w14:schemeClr w14:val="tx1"/>
            </w14:solidFill>
          </w14:textFill>
        </w:rPr>
        <w:t>声环境质量评价标准一览表</w:t>
      </w:r>
    </w:p>
    <w:tbl>
      <w:tblPr>
        <w:tblStyle w:val="21"/>
        <w:tblW w:w="8329" w:type="dxa"/>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753"/>
        <w:gridCol w:w="2482"/>
        <w:gridCol w:w="2130"/>
        <w:gridCol w:w="19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35" w:hRule="atLeast"/>
        </w:trPr>
        <w:tc>
          <w:tcPr>
            <w:tcW w:w="1753" w:type="dxa"/>
            <w:vMerge w:val="restart"/>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w:t>
            </w:r>
          </w:p>
        </w:tc>
        <w:tc>
          <w:tcPr>
            <w:tcW w:w="4612" w:type="dxa"/>
            <w:gridSpan w:val="2"/>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标准值dB(A)</w:t>
            </w:r>
          </w:p>
        </w:tc>
        <w:tc>
          <w:tcPr>
            <w:tcW w:w="1964" w:type="dxa"/>
            <w:vMerge w:val="restart"/>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81" w:hRule="atLeast"/>
        </w:trPr>
        <w:tc>
          <w:tcPr>
            <w:tcW w:w="1753"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482"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昼间</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夜间</w:t>
            </w:r>
          </w:p>
        </w:tc>
        <w:tc>
          <w:tcPr>
            <w:tcW w:w="1964"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99" w:hRule="atLeast"/>
        </w:trPr>
        <w:tc>
          <w:tcPr>
            <w:tcW w:w="1753"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等效连续A声级</w:t>
            </w:r>
          </w:p>
        </w:tc>
        <w:tc>
          <w:tcPr>
            <w:tcW w:w="2482"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55</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GB3096-2008 3类</w:t>
            </w:r>
          </w:p>
        </w:tc>
      </w:tr>
    </w:tbl>
    <w:p>
      <w:pPr>
        <w:pStyle w:val="128"/>
        <w:keepNext w:val="0"/>
        <w:keepLines w:val="0"/>
        <w:pageBreakBefore w:val="0"/>
        <w:widowControl/>
        <w:numPr>
          <w:ilvl w:val="3"/>
          <w:numId w:val="0"/>
        </w:numPr>
        <w:kinsoku/>
        <w:wordWrap/>
        <w:overflowPunct/>
        <w:topLinePunct w:val="0"/>
        <w:autoSpaceDE/>
        <w:autoSpaceDN/>
        <w:bidi w:val="0"/>
        <w:adjustRightInd w:val="0"/>
        <w:snapToGrid w:val="0"/>
        <w:spacing w:before="0" w:beforeLines="100"/>
        <w:ind w:left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1.5.2.</w:t>
      </w:r>
      <w:r>
        <w:rPr>
          <w:rFonts w:hint="eastAsia"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val="en-US" w:eastAsia="zh-CN"/>
          <w14:textFill>
            <w14:solidFill>
              <w14:schemeClr w14:val="tx1"/>
            </w14:solidFill>
          </w14:textFill>
        </w:rPr>
        <w:t>土壤环境质量标准</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根据《土壤环境质量建设用地土壤污染风险管控标准（试行）》（GB36600-2018），本项目属于第二类用地中的工业用地（M），其管控标准值见表1.5-</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pPr>
        <w:pStyle w:val="131"/>
        <w:keepNext w:val="0"/>
        <w:keepLines w:val="0"/>
        <w:pageBreakBefore w:val="0"/>
        <w:widowControl w:val="0"/>
        <w:shd w:val="clear" w:color="auto" w:fill="auto"/>
        <w:kinsoku/>
        <w:wordWrap/>
        <w:overflowPunct/>
        <w:topLinePunct w:val="0"/>
        <w:autoSpaceDE/>
        <w:autoSpaceDN/>
        <w:bidi w:val="0"/>
        <w:adjustRightInd/>
        <w:snapToGrid w:val="0"/>
        <w:spacing w:before="0" w:beforeLines="50"/>
        <w:textAlignment w:val="auto"/>
        <w:rPr>
          <w:rFonts w:hint="default" w:ascii="Times New Roman" w:hAnsi="Times New Roman" w:eastAsia="黑体" w:cs="Times New Roman"/>
          <w:color w:val="000000" w:themeColor="text1"/>
          <w:sz w:val="21"/>
          <w:szCs w:val="21"/>
          <w:lang w:val="zh-CN" w:eastAsia="zh-CN"/>
          <w14:textFill>
            <w14:solidFill>
              <w14:schemeClr w14:val="tx1"/>
            </w14:solidFill>
          </w14:textFill>
        </w:rPr>
      </w:pPr>
      <w:r>
        <w:rPr>
          <w:rFonts w:hint="default" w:ascii="Times New Roman" w:hAnsi="Times New Roman" w:eastAsia="黑体" w:cs="Times New Roman"/>
          <w:color w:val="000000" w:themeColor="text1"/>
          <w:sz w:val="21"/>
          <w:szCs w:val="21"/>
          <w:lang w:val="zh-CN" w:eastAsia="zh-CN"/>
          <w14:textFill>
            <w14:solidFill>
              <w14:schemeClr w14:val="tx1"/>
            </w14:solidFill>
          </w14:textFill>
        </w:rPr>
        <w:t>表</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1.5-</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黑体" w:cs="Times New Roman"/>
          <w:color w:val="000000" w:themeColor="text1"/>
          <w:sz w:val="21"/>
          <w:szCs w:val="21"/>
          <w:lang w:val="zh-CN" w:eastAsia="zh-CN"/>
          <w14:textFill>
            <w14:solidFill>
              <w14:schemeClr w14:val="tx1"/>
            </w14:solidFill>
          </w14:textFill>
        </w:rPr>
        <w:t>建设用地土壤污染风险筛选至和管制值一览表 单位：mg/kg</w:t>
      </w:r>
    </w:p>
    <w:tbl>
      <w:tblPr>
        <w:tblStyle w:val="21"/>
        <w:tblW w:w="8309" w:type="dxa"/>
        <w:tblInd w:w="-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47"/>
        <w:gridCol w:w="1547"/>
        <w:gridCol w:w="1137"/>
        <w:gridCol w:w="1088"/>
        <w:gridCol w:w="466"/>
        <w:gridCol w:w="1414"/>
        <w:gridCol w:w="1130"/>
        <w:gridCol w:w="11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污染物项目</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筛选值（第二类）</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管制值（第二类）</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污染物项目</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筛选值（第二类）</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管制值（第二类）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砷</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140</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1,2,3-三氯丙烷</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0.5</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镉</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172</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氯乙烯</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0.43</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铬（六价）</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5.7</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78</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26</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苯</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铜</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18000</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36000</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27</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氯苯</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270</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铅</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800</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2500</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28</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1,2-二氯苯</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560</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汞</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38</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82</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29</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1,4-二氯苯</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镍</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900</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2000</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乙苯</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28</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四氯化碳</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2.8</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36</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31</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苯乙烯</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1290</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氯仿</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0.9</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32</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甲苯</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1200</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氯甲烷</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37</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120</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33</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间二甲苯+对二甲苯</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570</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1,1-二氯乙烷</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34</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邻二甲苯</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640</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1,2-二氯乙烷</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21</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硝基苯</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76</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1,1-二氯乙烯</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66</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36</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苯胺</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260</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14</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顺-1,2-二氯乙烯</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596</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2000</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37</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2-氯酚</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2256</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反-1,2-二氯乙烯</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54</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163</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38</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苯并[a]蒽</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二氯甲烷</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616</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2000</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39</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苯并[a]芘</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1,2-二氯丙烷</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47</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苯并[b]荧蒽</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18</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1,1,1,2-四氯乙烷</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41</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苯并[k]荧蒽</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151</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19</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1,1,2,2-四氯乙烷</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6.8</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42</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䓛</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1293</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四氯乙烯</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53</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183</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43</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二苯并</w:t>
            </w:r>
            <w:r>
              <w:rPr>
                <w:rFonts w:hint="default" w:ascii="Times New Roman" w:hAnsi="Times New Roman" w:cs="Times New Roman"/>
                <w:color w:val="000000" w:themeColor="text1"/>
                <w:sz w:val="21"/>
                <w:szCs w:val="21"/>
                <w14:textFill>
                  <w14:solidFill>
                    <w14:schemeClr w14:val="tx1"/>
                  </w14:solidFill>
                </w14:textFill>
              </w:rPr>
              <w:t>[a,h]蒽</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21</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1,1,1-三氯乙烷</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840</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840</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44</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茚并[1,2,3-cd]芘</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22</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1,1,2-三氯乙烷</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2.8</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45</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萘</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3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23</w:t>
            </w:r>
          </w:p>
        </w:tc>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三氯乙烯</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2.8</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w:t>
            </w:r>
          </w:p>
        </w:tc>
        <w:tc>
          <w:tcPr>
            <w:tcW w:w="46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bl>
    <w:p>
      <w:pPr>
        <w:pStyle w:val="10"/>
        <w:keepNext w:val="0"/>
        <w:keepLines w:val="0"/>
        <w:pageBreakBefore w:val="0"/>
        <w:widowControl w:val="0"/>
        <w:kinsoku w:val="0"/>
        <w:wordWrap/>
        <w:overflowPunct w:val="0"/>
        <w:topLinePunct w:val="0"/>
        <w:autoSpaceDE/>
        <w:autoSpaceDN/>
        <w:bidi w:val="0"/>
        <w:adjustRightInd/>
        <w:snapToGrid/>
        <w:spacing w:before="313" w:beforeLines="100" w:afterLines="0" w:line="360" w:lineRule="auto"/>
        <w:ind w:left="0"/>
        <w:jc w:val="both"/>
        <w:textAlignment w:val="auto"/>
        <w:outlineLvl w:val="2"/>
        <w:rPr>
          <w:rFonts w:hint="default" w:ascii="Times New Roman" w:hAnsi="Times New Roman" w:cs="Times New Roman"/>
          <w:b/>
          <w:bCs/>
          <w:color w:val="000000" w:themeColor="text1"/>
          <w:sz w:val="28"/>
          <w:szCs w:val="28"/>
          <w:lang w:val="en-US" w:eastAsia="zh-CN"/>
          <w14:textFill>
            <w14:solidFill>
              <w14:schemeClr w14:val="tx1"/>
            </w14:solidFill>
          </w14:textFill>
        </w:rPr>
      </w:pPr>
      <w:bookmarkStart w:id="24" w:name="_Toc532680692"/>
      <w:r>
        <w:rPr>
          <w:rFonts w:hint="default" w:ascii="Times New Roman" w:hAnsi="Times New Roman" w:cs="Times New Roman"/>
          <w:b/>
          <w:bCs/>
          <w:color w:val="000000" w:themeColor="text1"/>
          <w:sz w:val="28"/>
          <w:szCs w:val="28"/>
          <w:lang w:val="en-US" w:eastAsia="zh-CN"/>
          <w14:textFill>
            <w14:solidFill>
              <w14:schemeClr w14:val="tx1"/>
            </w14:solidFill>
          </w14:textFill>
        </w:rPr>
        <w:t>1.5.3污染物排放控制标准</w:t>
      </w:r>
      <w:bookmarkEnd w:id="24"/>
    </w:p>
    <w:p>
      <w:pPr>
        <w:pStyle w:val="128"/>
        <w:numPr>
          <w:ilvl w:val="0"/>
          <w:numId w:val="0"/>
        </w:numPr>
        <w:ind w:leftChars="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1.5.3.1</w:t>
      </w:r>
      <w:r>
        <w:rPr>
          <w:rFonts w:hint="default" w:ascii="Times New Roman" w:hAnsi="Times New Roman" w:eastAsia="宋体" w:cs="Times New Roman"/>
          <w:b/>
          <w:bCs w:val="0"/>
          <w:color w:val="000000" w:themeColor="text1"/>
          <w14:textFill>
            <w14:solidFill>
              <w14:schemeClr w14:val="tx1"/>
            </w14:solidFill>
          </w14:textFill>
        </w:rPr>
        <w:t>废气</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根据新疆维吾尔自治区环境保护厅公告2016年第45号《关于重点区域执行大气污染物特别排放限值的公告》，本工程位于克拉玛依高新技术产业开发区，该工业园位于克拉玛依市金龙镇至三坪镇以及两者之间的用地范围。本工程厂址属于大气污染物控制重点区域，应执行《火电厂大气污染物排放标准》</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GB</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13223-20</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zh-CN" w:bidi="ar-SA"/>
          <w14:textFill>
            <w14:solidFill>
              <w14:schemeClr w14:val="tx1"/>
            </w14:solidFill>
          </w14:textFill>
        </w:rPr>
        <w:t>11</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大气污染物特别排放限值。见表</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zh-CN" w:bidi="ar-SA"/>
          <w14:textFill>
            <w14:solidFill>
              <w14:schemeClr w14:val="tx1"/>
            </w14:solidFill>
          </w14:textFill>
        </w:rPr>
        <w:t>1.5-5</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根据《煤电节能减排升级与改造行动计划</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(2014-2020</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年)》(发改能源[20〗4]2093 号)文中“鼓励西部地区新建机组接近或达到燃气轮机组排放限值”要求，本工程锅炉烟尘、二氧化硫、氮氧化物设计采用以气体为燃料的燃气轮机组排放标准值，即烟尘、二氧化硫、氮氧化物浓度分别不高于</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5</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mg</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Nm</w:t>
      </w:r>
      <w:r>
        <w:rPr>
          <w:rFonts w:hint="eastAsia" w:ascii="Times New Roman" w:hAnsi="Times New Roman" w:eastAsia="Times New Roman" w:cs="Times New Roman"/>
          <w:snapToGrid w:val="0"/>
          <w:color w:val="000000" w:themeColor="text1"/>
          <w:spacing w:val="0"/>
          <w:w w:val="100"/>
          <w:kern w:val="18"/>
          <w:position w:val="0"/>
          <w:sz w:val="24"/>
          <w:szCs w:val="24"/>
          <w:u w:val="none"/>
          <w:vertAlign w:val="superscript"/>
          <w:lang w:val="en-US" w:eastAsia="en-US" w:bidi="ar-SA"/>
          <w14:textFill>
            <w14:solidFill>
              <w14:schemeClr w14:val="tx1"/>
            </w14:solidFill>
          </w14:textFill>
        </w:rPr>
        <w:t>3</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35</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mg</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Nm</w:t>
      </w:r>
      <w:r>
        <w:rPr>
          <w:rFonts w:hint="eastAsia" w:ascii="Times New Roman" w:hAnsi="Times New Roman" w:eastAsia="Times New Roman" w:cs="Times New Roman"/>
          <w:snapToGrid w:val="0"/>
          <w:color w:val="000000" w:themeColor="text1"/>
          <w:spacing w:val="0"/>
          <w:w w:val="100"/>
          <w:kern w:val="18"/>
          <w:position w:val="0"/>
          <w:sz w:val="24"/>
          <w:szCs w:val="24"/>
          <w:u w:val="none"/>
          <w:vertAlign w:val="superscript"/>
          <w:lang w:val="en-US" w:eastAsia="en-US" w:bidi="ar-SA"/>
          <w14:textFill>
            <w14:solidFill>
              <w14:schemeClr w14:val="tx1"/>
            </w14:solidFill>
          </w14:textFill>
        </w:rPr>
        <w:t>3</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50</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mg</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Nm</w:t>
      </w:r>
      <w:r>
        <w:rPr>
          <w:rFonts w:hint="eastAsia" w:ascii="Times New Roman" w:hAnsi="Times New Roman" w:eastAsia="Times New Roman" w:cs="Times New Roman"/>
          <w:snapToGrid w:val="0"/>
          <w:color w:val="000000" w:themeColor="text1"/>
          <w:spacing w:val="0"/>
          <w:w w:val="100"/>
          <w:kern w:val="18"/>
          <w:position w:val="0"/>
          <w:sz w:val="24"/>
          <w:szCs w:val="24"/>
          <w:u w:val="none"/>
          <w:vertAlign w:val="superscript"/>
          <w:lang w:val="en-US" w:eastAsia="en-US" w:bidi="ar-SA"/>
          <w14:textFill>
            <w14:solidFill>
              <w14:schemeClr w14:val="tx1"/>
            </w14:solidFill>
          </w14:textFill>
        </w:rPr>
        <w:t>3</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w:t>
      </w:r>
    </w:p>
    <w:p>
      <w:pPr>
        <w:pStyle w:val="131"/>
        <w:keepNext w:val="0"/>
        <w:keepLines w:val="0"/>
        <w:pageBreakBefore w:val="0"/>
        <w:widowControl w:val="0"/>
        <w:shd w:val="clear" w:color="auto" w:fill="auto"/>
        <w:kinsoku/>
        <w:wordWrap/>
        <w:overflowPunct/>
        <w:topLinePunct w:val="0"/>
        <w:autoSpaceDE/>
        <w:autoSpaceDN/>
        <w:bidi w:val="0"/>
        <w:adjustRightInd/>
        <w:snapToGrid w:val="0"/>
        <w:spacing w:before="0" w:beforeLines="50"/>
        <w:textAlignment w:val="auto"/>
        <w:rPr>
          <w:rFonts w:hint="eastAsia" w:ascii="Times New Roman" w:hAnsi="Times New Roman" w:eastAsia="黑体" w:cs="Times New Roman"/>
          <w:color w:val="000000" w:themeColor="text1"/>
          <w:sz w:val="21"/>
          <w:szCs w:val="21"/>
          <w:lang w:val="zh-CN" w:eastAsia="zh-CN"/>
          <w14:textFill>
            <w14:solidFill>
              <w14:schemeClr w14:val="tx1"/>
            </w14:solidFill>
          </w14:textFill>
        </w:rPr>
      </w:pPr>
      <w:r>
        <w:rPr>
          <w:rFonts w:hint="eastAsia" w:ascii="Times New Roman" w:hAnsi="Times New Roman" w:eastAsia="黑体" w:cs="Times New Roman"/>
          <w:color w:val="000000" w:themeColor="text1"/>
          <w:sz w:val="21"/>
          <w:szCs w:val="21"/>
          <w:lang w:val="zh-CN" w:eastAsia="zh-CN"/>
          <w14:textFill>
            <w14:solidFill>
              <w14:schemeClr w14:val="tx1"/>
            </w14:solidFill>
          </w14:textFill>
        </w:rPr>
        <w:t>表</w:t>
      </w:r>
      <w:r>
        <w:rPr>
          <w:rFonts w:hint="eastAsia" w:ascii="Times New Roman" w:hAnsi="Times New Roman" w:eastAsia="黑体" w:cs="Times New Roman"/>
          <w:color w:val="000000" w:themeColor="text1"/>
          <w:sz w:val="21"/>
          <w:szCs w:val="21"/>
          <w:lang w:val="en-US" w:eastAsia="en-US"/>
          <w14:textFill>
            <w14:solidFill>
              <w14:schemeClr w14:val="tx1"/>
            </w14:solidFill>
          </w14:textFill>
        </w:rPr>
        <w:t>1.</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5.5</w:t>
      </w:r>
      <w:r>
        <w:rPr>
          <w:rFonts w:hint="eastAsia" w:ascii="Times New Roman" w:hAnsi="Times New Roman" w:eastAsia="黑体" w:cs="Times New Roman"/>
          <w:color w:val="000000" w:themeColor="text1"/>
          <w:sz w:val="21"/>
          <w:szCs w:val="21"/>
          <w:lang w:val="en-US" w:eastAsia="en-US"/>
          <w14:textFill>
            <w14:solidFill>
              <w14:schemeClr w14:val="tx1"/>
            </w14:solidFill>
          </w14:textFill>
        </w:rPr>
        <w:tab/>
      </w:r>
      <w:r>
        <w:rPr>
          <w:rFonts w:hint="eastAsia" w:ascii="Times New Roman" w:hAnsi="Times New Roman" w:eastAsia="黑体" w:cs="Times New Roman"/>
          <w:color w:val="000000" w:themeColor="text1"/>
          <w:sz w:val="21"/>
          <w:szCs w:val="21"/>
          <w:lang w:val="zh-CN" w:eastAsia="zh-CN"/>
          <w14:textFill>
            <w14:solidFill>
              <w14:schemeClr w14:val="tx1"/>
            </w14:solidFill>
          </w14:textFill>
        </w:rPr>
        <w:t>大气污染物排放标准</w:t>
      </w:r>
      <w:r>
        <w:rPr>
          <w:rFonts w:hint="eastAsia" w:ascii="Times New Roman" w:hAnsi="Times New Roman" w:eastAsia="黑体" w:cs="Times New Roman"/>
          <w:color w:val="000000" w:themeColor="text1"/>
          <w:sz w:val="21"/>
          <w:szCs w:val="21"/>
          <w:lang w:val="zh-CN" w:eastAsia="zh-CN"/>
          <w14:textFill>
            <w14:solidFill>
              <w14:schemeClr w14:val="tx1"/>
            </w14:solidFill>
          </w14:textFill>
        </w:rPr>
        <w:tab/>
      </w:r>
      <w:r>
        <w:rPr>
          <w:rFonts w:hint="eastAsia" w:ascii="Times New Roman" w:hAnsi="Times New Roman" w:eastAsia="黑体" w:cs="Times New Roman"/>
          <w:color w:val="000000" w:themeColor="text1"/>
          <w:sz w:val="21"/>
          <w:szCs w:val="21"/>
          <w:lang w:val="zh-CN" w:eastAsia="zh-CN"/>
          <w14:textFill>
            <w14:solidFill>
              <w14:schemeClr w14:val="tx1"/>
            </w14:solidFill>
          </w14:textFill>
        </w:rPr>
        <w:t>单位：</w:t>
      </w:r>
      <w:r>
        <w:rPr>
          <w:rFonts w:hint="eastAsia" w:ascii="Times New Roman" w:hAnsi="Times New Roman" w:eastAsia="黑体" w:cs="Times New Roman"/>
          <w:color w:val="000000" w:themeColor="text1"/>
          <w:sz w:val="21"/>
          <w:szCs w:val="21"/>
          <w:lang w:val="en-US" w:eastAsia="en-US"/>
          <w14:textFill>
            <w14:solidFill>
              <w14:schemeClr w14:val="tx1"/>
            </w14:solidFill>
          </w14:textFill>
        </w:rPr>
        <w:t>mg/m</w:t>
      </w:r>
      <w:r>
        <w:rPr>
          <w:rFonts w:hint="eastAsia" w:ascii="Times New Roman" w:hAnsi="Times New Roman" w:eastAsia="黑体" w:cs="Times New Roman"/>
          <w:color w:val="000000" w:themeColor="text1"/>
          <w:sz w:val="21"/>
          <w:szCs w:val="21"/>
          <w:vertAlign w:val="superscript"/>
          <w:lang w:val="en-US" w:eastAsia="zh-CN"/>
          <w14:textFill>
            <w14:solidFill>
              <w14:schemeClr w14:val="tx1"/>
            </w14:solidFill>
          </w14:textFill>
        </w:rPr>
        <w:t>3</w:t>
      </w:r>
    </w:p>
    <w:tbl>
      <w:tblPr>
        <w:tblStyle w:val="21"/>
        <w:tblW w:w="8326" w:type="dxa"/>
        <w:jc w:val="center"/>
        <w:tblInd w:w="0" w:type="dxa"/>
        <w:tblLayout w:type="fixed"/>
        <w:tblCellMar>
          <w:top w:w="0" w:type="dxa"/>
          <w:left w:w="10" w:type="dxa"/>
          <w:bottom w:w="0" w:type="dxa"/>
          <w:right w:w="10" w:type="dxa"/>
        </w:tblCellMar>
      </w:tblPr>
      <w:tblGrid>
        <w:gridCol w:w="2821"/>
        <w:gridCol w:w="1373"/>
        <w:gridCol w:w="1374"/>
        <w:gridCol w:w="1315"/>
        <w:gridCol w:w="1"/>
        <w:gridCol w:w="1442"/>
      </w:tblGrid>
      <w:tr>
        <w:tblPrEx>
          <w:tblLayout w:type="fixed"/>
          <w:tblCellMar>
            <w:top w:w="0" w:type="dxa"/>
            <w:left w:w="10" w:type="dxa"/>
            <w:bottom w:w="0" w:type="dxa"/>
            <w:right w:w="10" w:type="dxa"/>
          </w:tblCellMar>
        </w:tblPrEx>
        <w:trPr>
          <w:trHeight w:val="322" w:hRule="exact"/>
          <w:jc w:val="center"/>
        </w:trPr>
        <w:tc>
          <w:tcPr>
            <w:tcW w:w="2821"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t>项目</w:t>
            </w:r>
          </w:p>
        </w:tc>
        <w:tc>
          <w:tcPr>
            <w:tcW w:w="5505"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t>容许排放浓度</w:t>
            </w:r>
          </w:p>
        </w:tc>
      </w:tr>
      <w:tr>
        <w:tblPrEx>
          <w:tblLayout w:type="fixed"/>
          <w:tblCellMar>
            <w:top w:w="0" w:type="dxa"/>
            <w:left w:w="10" w:type="dxa"/>
            <w:bottom w:w="0" w:type="dxa"/>
            <w:right w:w="10" w:type="dxa"/>
          </w:tblCellMar>
        </w:tblPrEx>
        <w:trPr>
          <w:trHeight w:val="381" w:hRule="exact"/>
          <w:jc w:val="center"/>
        </w:trPr>
        <w:tc>
          <w:tcPr>
            <w:tcW w:w="2821" w:type="dxa"/>
            <w:vMerge w:val="continue"/>
            <w:tcBorders>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spacing w:line="240" w:lineRule="auto"/>
              <w:ind w:right="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p>
        </w:tc>
        <w:tc>
          <w:tcPr>
            <w:tcW w:w="1373"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spacing w:line="240" w:lineRule="auto"/>
              <w:ind w:right="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kern w:val="18"/>
                <w:position w:val="0"/>
                <w:sz w:val="21"/>
                <w:szCs w:val="21"/>
                <w:u w:val="none"/>
                <w:lang w:val="en-US" w:eastAsia="en-US" w:bidi="zh-CN"/>
                <w14:textFill>
                  <w14:solidFill>
                    <w14:schemeClr w14:val="tx1"/>
                  </w14:solidFill>
                </w14:textFill>
              </w:rPr>
              <w:t>SO</w:t>
            </w:r>
            <w:r>
              <w:rPr>
                <w:rFonts w:hint="eastAsia" w:ascii="Times New Roman" w:hAnsi="Times New Roman" w:eastAsia="Times New Roman" w:cs="Times New Roman"/>
                <w:color w:val="000000" w:themeColor="text1"/>
                <w:spacing w:val="0"/>
                <w:w w:val="100"/>
                <w:kern w:val="18"/>
                <w:position w:val="0"/>
                <w:sz w:val="21"/>
                <w:szCs w:val="21"/>
                <w:u w:val="none"/>
                <w:vertAlign w:val="subscript"/>
                <w:lang w:val="en-US" w:eastAsia="en-US" w:bidi="zh-CN"/>
                <w14:textFill>
                  <w14:solidFill>
                    <w14:schemeClr w14:val="tx1"/>
                  </w14:solidFill>
                </w14:textFill>
              </w:rPr>
              <w:t>2</w:t>
            </w:r>
          </w:p>
        </w:tc>
        <w:tc>
          <w:tcPr>
            <w:tcW w:w="1374"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spacing w:line="240" w:lineRule="auto"/>
              <w:ind w:right="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t>烟尘</w:t>
            </w:r>
          </w:p>
        </w:tc>
        <w:tc>
          <w:tcPr>
            <w:tcW w:w="131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spacing w:line="240" w:lineRule="auto"/>
              <w:ind w:right="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kern w:val="18"/>
                <w:position w:val="0"/>
                <w:sz w:val="21"/>
                <w:szCs w:val="21"/>
                <w:u w:val="none"/>
                <w:lang w:val="en-US" w:eastAsia="en-US" w:bidi="zh-CN"/>
                <w14:textFill>
                  <w14:solidFill>
                    <w14:schemeClr w14:val="tx1"/>
                  </w14:solidFill>
                </w14:textFill>
              </w:rPr>
              <w:t>NOx</w:t>
            </w:r>
          </w:p>
        </w:tc>
        <w:tc>
          <w:tcPr>
            <w:tcW w:w="1443" w:type="dxa"/>
            <w:gridSpan w:val="2"/>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spacing w:line="240" w:lineRule="auto"/>
              <w:ind w:right="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t>汞及其化合物</w:t>
            </w:r>
          </w:p>
        </w:tc>
      </w:tr>
      <w:tr>
        <w:tblPrEx>
          <w:tblLayout w:type="fixed"/>
          <w:tblCellMar>
            <w:top w:w="0" w:type="dxa"/>
            <w:left w:w="10" w:type="dxa"/>
            <w:bottom w:w="0" w:type="dxa"/>
            <w:right w:w="10" w:type="dxa"/>
          </w:tblCellMar>
        </w:tblPrEx>
        <w:trPr>
          <w:trHeight w:val="706" w:hRule="exact"/>
          <w:jc w:val="center"/>
        </w:trPr>
        <w:tc>
          <w:tcPr>
            <w:tcW w:w="2821"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t xml:space="preserve">《火电厂大气污染物排放标准》 </w:t>
            </w:r>
            <w:r>
              <w:rPr>
                <w:rFonts w:hint="eastAsia" w:ascii="Times New Roman" w:hAnsi="Times New Roman" w:eastAsia="Times New Roman" w:cs="Times New Roman"/>
                <w:color w:val="000000" w:themeColor="text1"/>
                <w:spacing w:val="0"/>
                <w:w w:val="100"/>
                <w:kern w:val="18"/>
                <w:position w:val="0"/>
                <w:sz w:val="21"/>
                <w:szCs w:val="21"/>
                <w:u w:val="none"/>
                <w:lang w:val="en-US" w:eastAsia="en-US" w:bidi="zh-CN"/>
                <w14:textFill>
                  <w14:solidFill>
                    <w14:schemeClr w14:val="tx1"/>
                  </w14:solidFill>
                </w14:textFill>
              </w:rPr>
              <w:t>(GB13223-2011)</w:t>
            </w:r>
            <w:r>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t>特别排放标准</w:t>
            </w:r>
          </w:p>
        </w:tc>
        <w:tc>
          <w:tcPr>
            <w:tcW w:w="137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default" w:ascii="Arial" w:hAnsi="Arial" w:eastAsia="Times New Roman" w:cs="Arial"/>
                <w:color w:val="000000" w:themeColor="text1"/>
                <w:spacing w:val="0"/>
                <w:w w:val="100"/>
                <w:kern w:val="18"/>
                <w:position w:val="0"/>
                <w:sz w:val="21"/>
                <w:szCs w:val="21"/>
                <w:u w:val="none"/>
                <w:lang w:val="zh-CN" w:eastAsia="zh-CN" w:bidi="zh-CN"/>
                <w14:textFill>
                  <w14:solidFill>
                    <w14:schemeClr w14:val="tx1"/>
                  </w14:solidFill>
                </w14:textFill>
              </w:rPr>
              <w:t>≤</w:t>
            </w:r>
            <w:r>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t>50</w:t>
            </w:r>
          </w:p>
        </w:tc>
        <w:tc>
          <w:tcPr>
            <w:tcW w:w="137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t>20</w:t>
            </w:r>
          </w:p>
        </w:tc>
        <w:tc>
          <w:tcPr>
            <w:tcW w:w="131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topLinePunct w:val="0"/>
              <w:autoSpaceDE/>
              <w:autoSpaceDN/>
              <w:bidi w:val="0"/>
              <w:adjustRightInd/>
              <w:snapToGrid/>
              <w:spacing w:before="0" w:after="0" w:line="240" w:lineRule="auto"/>
              <w:ind w:left="20" w:right="0" w:firstLine="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t>100</w:t>
            </w:r>
          </w:p>
        </w:tc>
        <w:tc>
          <w:tcPr>
            <w:tcW w:w="1443"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topLinePunct w:val="0"/>
              <w:autoSpaceDE/>
              <w:autoSpaceDN/>
              <w:bidi w:val="0"/>
              <w:adjustRightInd/>
              <w:snapToGrid/>
              <w:spacing w:before="0" w:after="0" w:line="240" w:lineRule="auto"/>
              <w:ind w:left="20" w:right="0" w:firstLine="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default" w:ascii="Arial" w:hAnsi="Arial" w:eastAsia="Times New Roman" w:cs="Arial"/>
                <w:color w:val="000000" w:themeColor="text1"/>
                <w:spacing w:val="0"/>
                <w:w w:val="100"/>
                <w:kern w:val="18"/>
                <w:position w:val="0"/>
                <w:sz w:val="21"/>
                <w:szCs w:val="21"/>
                <w:u w:val="none"/>
                <w:lang w:val="zh-CN" w:eastAsia="zh-CN" w:bidi="zh-CN"/>
                <w14:textFill>
                  <w14:solidFill>
                    <w14:schemeClr w14:val="tx1"/>
                  </w14:solidFill>
                </w14:textFill>
              </w:rPr>
              <w:t>≤</w:t>
            </w:r>
            <w:r>
              <w:rPr>
                <w:rFonts w:hint="eastAsia" w:ascii="Times New Roman" w:hAnsi="Times New Roman" w:eastAsia="Times New Roman" w:cs="Times New Roman"/>
                <w:color w:val="000000" w:themeColor="text1"/>
                <w:spacing w:val="0"/>
                <w:w w:val="100"/>
                <w:kern w:val="18"/>
                <w:position w:val="0"/>
                <w:sz w:val="21"/>
                <w:szCs w:val="21"/>
                <w:u w:val="none"/>
                <w:lang w:val="en-US" w:eastAsia="en-US" w:bidi="zh-CN"/>
                <w14:textFill>
                  <w14:solidFill>
                    <w14:schemeClr w14:val="tx1"/>
                  </w14:solidFill>
                </w14:textFill>
              </w:rPr>
              <w:t>0. 03*</w:t>
            </w:r>
          </w:p>
        </w:tc>
      </w:tr>
      <w:tr>
        <w:tblPrEx>
          <w:tblLayout w:type="fixed"/>
          <w:tblCellMar>
            <w:top w:w="0" w:type="dxa"/>
            <w:left w:w="10" w:type="dxa"/>
            <w:bottom w:w="0" w:type="dxa"/>
            <w:right w:w="10" w:type="dxa"/>
          </w:tblCellMar>
        </w:tblPrEx>
        <w:trPr>
          <w:trHeight w:val="478" w:hRule="exact"/>
          <w:jc w:val="center"/>
        </w:trPr>
        <w:tc>
          <w:tcPr>
            <w:tcW w:w="2821" w:type="dxa"/>
            <w:vMerge w:val="continue"/>
            <w:tcBorders>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spacing w:line="240" w:lineRule="auto"/>
              <w:ind w:right="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p>
        </w:tc>
        <w:tc>
          <w:tcPr>
            <w:tcW w:w="2747" w:type="dxa"/>
            <w:gridSpan w:val="2"/>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spacing w:line="240" w:lineRule="auto"/>
              <w:ind w:right="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t>烟气黑度</w:t>
            </w:r>
          </w:p>
        </w:tc>
        <w:tc>
          <w:tcPr>
            <w:tcW w:w="2758" w:type="dxa"/>
            <w:gridSpan w:val="3"/>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spacing w:line="240" w:lineRule="auto"/>
              <w:ind w:right="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t>林格曼黑度I级</w:t>
            </w:r>
          </w:p>
        </w:tc>
      </w:tr>
      <w:tr>
        <w:tblPrEx>
          <w:tblLayout w:type="fixed"/>
          <w:tblCellMar>
            <w:top w:w="0" w:type="dxa"/>
            <w:left w:w="10" w:type="dxa"/>
            <w:bottom w:w="0" w:type="dxa"/>
            <w:right w:w="10" w:type="dxa"/>
          </w:tblCellMar>
        </w:tblPrEx>
        <w:trPr>
          <w:trHeight w:val="749" w:hRule="exact"/>
          <w:jc w:val="center"/>
        </w:trPr>
        <w:tc>
          <w:tcPr>
            <w:tcW w:w="2821"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t>《煤电节能减排升级与改造行动计 划</w:t>
            </w:r>
            <w:r>
              <w:rPr>
                <w:rFonts w:hint="eastAsia" w:ascii="Times New Roman" w:hAnsi="Times New Roman" w:eastAsia="Times New Roman" w:cs="Times New Roman"/>
                <w:color w:val="000000" w:themeColor="text1"/>
                <w:spacing w:val="0"/>
                <w:w w:val="100"/>
                <w:kern w:val="18"/>
                <w:position w:val="0"/>
                <w:sz w:val="21"/>
                <w:szCs w:val="21"/>
                <w:u w:val="none"/>
                <w:lang w:val="en-US" w:eastAsia="en-US" w:bidi="zh-CN"/>
                <w14:textFill>
                  <w14:solidFill>
                    <w14:schemeClr w14:val="tx1"/>
                  </w14:solidFill>
                </w14:textFill>
              </w:rPr>
              <w:t>(20</w:t>
            </w:r>
            <w:r>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t>14—2020年)》</w:t>
            </w:r>
          </w:p>
        </w:tc>
        <w:tc>
          <w:tcPr>
            <w:tcW w:w="1373"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default" w:ascii="Arial" w:hAnsi="Arial" w:eastAsia="Times New Roman" w:cs="Arial"/>
                <w:color w:val="000000" w:themeColor="text1"/>
                <w:spacing w:val="0"/>
                <w:w w:val="100"/>
                <w:kern w:val="18"/>
                <w:position w:val="0"/>
                <w:sz w:val="21"/>
                <w:szCs w:val="21"/>
                <w:u w:val="none"/>
                <w:lang w:val="zh-CN" w:eastAsia="zh-CN" w:bidi="zh-CN"/>
                <w14:textFill>
                  <w14:solidFill>
                    <w14:schemeClr w14:val="tx1"/>
                  </w14:solidFill>
                </w14:textFill>
              </w:rPr>
              <w:t>≤</w:t>
            </w:r>
            <w:r>
              <w:rPr>
                <w:rFonts w:hint="eastAsia" w:ascii="Times New Roman" w:hAnsi="Times New Roman" w:eastAsia="Times New Roman" w:cs="Times New Roman"/>
                <w:color w:val="000000" w:themeColor="text1"/>
                <w:spacing w:val="0"/>
                <w:w w:val="100"/>
                <w:kern w:val="18"/>
                <w:position w:val="0"/>
                <w:sz w:val="21"/>
                <w:szCs w:val="21"/>
                <w:u w:val="none"/>
                <w:lang w:val="en-US" w:eastAsia="en-US" w:bidi="zh-CN"/>
                <w14:textFill>
                  <w14:solidFill>
                    <w14:schemeClr w14:val="tx1"/>
                  </w14:solidFill>
                </w14:textFill>
              </w:rPr>
              <w:t>35*</w:t>
            </w:r>
          </w:p>
        </w:tc>
        <w:tc>
          <w:tcPr>
            <w:tcW w:w="1374"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default" w:ascii="Arial" w:hAnsi="Arial" w:eastAsia="Times New Roman" w:cs="Arial"/>
                <w:color w:val="000000" w:themeColor="text1"/>
                <w:spacing w:val="0"/>
                <w:w w:val="100"/>
                <w:kern w:val="18"/>
                <w:position w:val="0"/>
                <w:sz w:val="21"/>
                <w:szCs w:val="21"/>
                <w:u w:val="none"/>
                <w:lang w:val="zh-CN" w:eastAsia="zh-CN" w:bidi="zh-CN"/>
                <w14:textFill>
                  <w14:solidFill>
                    <w14:schemeClr w14:val="tx1"/>
                  </w14:solidFill>
                </w14:textFill>
              </w:rPr>
              <w:t>≤</w:t>
            </w:r>
            <w:r>
              <w:rPr>
                <w:rFonts w:hint="eastAsia" w:ascii="Times New Roman" w:hAnsi="Times New Roman" w:eastAsia="Times New Roman" w:cs="Times New Roman"/>
                <w:color w:val="000000" w:themeColor="text1"/>
                <w:spacing w:val="0"/>
                <w:w w:val="100"/>
                <w:kern w:val="18"/>
                <w:position w:val="0"/>
                <w:sz w:val="21"/>
                <w:szCs w:val="21"/>
                <w:u w:val="none"/>
                <w:lang w:val="en-US" w:eastAsia="en-US" w:bidi="zh-CN"/>
                <w14:textFill>
                  <w14:solidFill>
                    <w14:schemeClr w14:val="tx1"/>
                  </w14:solidFill>
                </w14:textFill>
              </w:rPr>
              <w:t>5*</w:t>
            </w:r>
          </w:p>
        </w:tc>
        <w:tc>
          <w:tcPr>
            <w:tcW w:w="1316" w:type="dxa"/>
            <w:gridSpan w:val="2"/>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default" w:ascii="Arial" w:hAnsi="Arial" w:eastAsia="Times New Roman" w:cs="Arial"/>
                <w:color w:val="000000" w:themeColor="text1"/>
                <w:spacing w:val="0"/>
                <w:w w:val="100"/>
                <w:kern w:val="18"/>
                <w:position w:val="0"/>
                <w:sz w:val="21"/>
                <w:szCs w:val="21"/>
                <w:u w:val="none"/>
                <w:lang w:val="zh-CN" w:eastAsia="zh-CN" w:bidi="zh-CN"/>
                <w14:textFill>
                  <w14:solidFill>
                    <w14:schemeClr w14:val="tx1"/>
                  </w14:solidFill>
                </w14:textFill>
              </w:rPr>
              <w:t>≤</w:t>
            </w:r>
            <w:r>
              <w:rPr>
                <w:rFonts w:hint="eastAsia" w:ascii="Times New Roman" w:hAnsi="Times New Roman" w:eastAsia="Times New Roman" w:cs="Times New Roman"/>
                <w:color w:val="000000" w:themeColor="text1"/>
                <w:spacing w:val="0"/>
                <w:w w:val="100"/>
                <w:kern w:val="18"/>
                <w:position w:val="0"/>
                <w:sz w:val="21"/>
                <w:szCs w:val="21"/>
                <w:u w:val="none"/>
                <w:lang w:val="en-US" w:eastAsia="en-US" w:bidi="zh-CN"/>
                <w14:textFill>
                  <w14:solidFill>
                    <w14:schemeClr w14:val="tx1"/>
                  </w14:solidFill>
                </w14:textFill>
              </w:rPr>
              <w:t>50*</w:t>
            </w:r>
          </w:p>
        </w:tc>
        <w:tc>
          <w:tcPr>
            <w:tcW w:w="14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topLinePunct w:val="0"/>
              <w:autoSpaceDE/>
              <w:autoSpaceDN/>
              <w:bidi w:val="0"/>
              <w:adjustRightInd/>
              <w:snapToGrid/>
              <w:spacing w:before="0" w:after="0" w:line="240" w:lineRule="auto"/>
              <w:ind w:left="20" w:right="0" w:firstLine="0"/>
              <w:jc w:val="center"/>
              <w:textAlignment w:val="auto"/>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kern w:val="18"/>
                <w:position w:val="0"/>
                <w:sz w:val="21"/>
                <w:szCs w:val="21"/>
                <w:u w:val="none"/>
                <w:lang w:val="zh-CN" w:eastAsia="zh-CN" w:bidi="zh-CN"/>
                <w14:textFill>
                  <w14:solidFill>
                    <w14:schemeClr w14:val="tx1"/>
                  </w14:solidFill>
                </w14:textFill>
              </w:rPr>
              <w:t>/</w:t>
            </w:r>
          </w:p>
        </w:tc>
      </w:tr>
    </w:tbl>
    <w:p>
      <w:pPr>
        <w:pStyle w:val="44"/>
        <w:keepNext w:val="0"/>
        <w:keepLines w:val="0"/>
        <w:widowControl w:val="0"/>
        <w:shd w:val="clear" w:color="auto" w:fill="auto"/>
        <w:bidi w:val="0"/>
        <w:spacing w:before="0" w:after="0"/>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zh-CN" w:eastAsia="zh-CN" w:bidi="zh-CN"/>
          <w14:textFill>
            <w14:solidFill>
              <w14:schemeClr w14:val="tx1"/>
            </w14:solidFill>
          </w14:textFill>
        </w:rPr>
        <w:t>注：所有浓度均为干烟气、标准状态；</w:t>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w:t>
      </w:r>
      <w:r>
        <w:rPr>
          <w:rFonts w:hint="eastAsia" w:ascii="宋体" w:hAnsi="宋体" w:eastAsia="宋体" w:cs="宋体"/>
          <w:color w:val="000000" w:themeColor="text1"/>
          <w:spacing w:val="0"/>
          <w:w w:val="100"/>
          <w:position w:val="0"/>
          <w:lang w:val="zh-CN" w:eastAsia="zh-CN" w:bidi="zh-CN"/>
          <w14:textFill>
            <w14:solidFill>
              <w14:schemeClr w14:val="tx1"/>
            </w14:solidFill>
          </w14:textFill>
        </w:rPr>
        <w:t>为本项目执行标准。</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电厂无组织排放污染物执行《大气污染物综合排放标准》</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GB</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16297-1996)</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中无组织排放污染物新污染源大气污染物排放限值要求，即周界外颗粒物浓度最高点</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zh-CN" w:bidi="ar-SA"/>
          <w14:textFill>
            <w14:solidFill>
              <w14:schemeClr w14:val="tx1"/>
            </w14:solidFill>
          </w14:textFill>
        </w:rPr>
        <w:t>1.3</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mg/m</w:t>
      </w:r>
      <w:r>
        <w:rPr>
          <w:rFonts w:hint="eastAsia" w:ascii="Times New Roman" w:hAnsi="Times New Roman" w:eastAsia="Times New Roman" w:cs="Times New Roman"/>
          <w:snapToGrid w:val="0"/>
          <w:color w:val="000000" w:themeColor="text1"/>
          <w:spacing w:val="0"/>
          <w:w w:val="100"/>
          <w:kern w:val="18"/>
          <w:position w:val="0"/>
          <w:sz w:val="24"/>
          <w:szCs w:val="24"/>
          <w:u w:val="none"/>
          <w:vertAlign w:val="superscript"/>
          <w:lang w:val="zh-CN" w:eastAsia="zh-CN" w:bidi="ar-SA"/>
          <w14:textFill>
            <w14:solidFill>
              <w14:schemeClr w14:val="tx1"/>
            </w14:solidFill>
          </w14:textFill>
        </w:rPr>
        <w:t>3</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；由于项目采用水煤浆，根据《火电厂大气污染物排放标准》</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GB</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zh-CN" w:bidi="ar-SA"/>
          <w14:textFill>
            <w14:solidFill>
              <w14:schemeClr w14:val="tx1"/>
            </w14:solidFill>
          </w14:textFill>
        </w:rPr>
        <w:t>13223-2011</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表4要求，排气筒高度不低于</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45</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m</w:t>
      </w:r>
      <w:r>
        <w:rPr>
          <w:rFonts w:hint="eastAsia" w:ascii="Times New Roman" w:hAnsi="Times New Roman" w:eastAsia="宋体" w:cs="Times New Roman"/>
          <w:snapToGrid w:val="0"/>
          <w:color w:val="000000" w:themeColor="text1"/>
          <w:spacing w:val="0"/>
          <w:w w:val="100"/>
          <w:kern w:val="18"/>
          <w:position w:val="0"/>
          <w:sz w:val="24"/>
          <w:szCs w:val="24"/>
          <w:u w:val="none"/>
          <w:lang w:val="en-US"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本项目采取高度</w:t>
      </w:r>
      <w:r>
        <w:rPr>
          <w:rFonts w:hint="eastAsia" w:ascii="Times New Roman" w:hAnsi="Times New Roman" w:eastAsia="宋体" w:cs="Times New Roman"/>
          <w:snapToGrid w:val="0"/>
          <w:color w:val="000000" w:themeColor="text1"/>
          <w:spacing w:val="0"/>
          <w:w w:val="100"/>
          <w:kern w:val="18"/>
          <w:position w:val="0"/>
          <w:sz w:val="24"/>
          <w:szCs w:val="24"/>
          <w:u w:val="none"/>
          <w:lang w:val="en-US" w:eastAsia="zh-CN" w:bidi="ar-SA"/>
          <w14:textFill>
            <w14:solidFill>
              <w14:schemeClr w14:val="tx1"/>
            </w14:solidFill>
          </w14:textFill>
        </w:rPr>
        <w:t>80</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m</w:t>
      </w:r>
      <w:r>
        <w:rPr>
          <w:rFonts w:hint="eastAsia" w:ascii="Times New Roman" w:hAnsi="Times New Roman" w:eastAsia="宋体" w:cs="Times New Roman"/>
          <w:snapToGrid w:val="0"/>
          <w:color w:val="000000" w:themeColor="text1"/>
          <w:spacing w:val="0"/>
          <w:w w:val="100"/>
          <w:kern w:val="18"/>
          <w:position w:val="0"/>
          <w:sz w:val="24"/>
          <w:szCs w:val="24"/>
          <w:u w:val="none"/>
          <w:lang w:val="en-US" w:eastAsia="zh-CN"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出口直径为</w:t>
      </w:r>
      <w:r>
        <w:rPr>
          <w:rFonts w:hint="eastAsia" w:ascii="Times New Roman" w:hAnsi="Times New Roman" w:eastAsia="宋体" w:cs="Times New Roman"/>
          <w:snapToGrid w:val="0"/>
          <w:color w:val="000000" w:themeColor="text1"/>
          <w:spacing w:val="0"/>
          <w:w w:val="100"/>
          <w:kern w:val="18"/>
          <w:position w:val="0"/>
          <w:sz w:val="24"/>
          <w:szCs w:val="24"/>
          <w:u w:val="none"/>
          <w:lang w:val="en-US" w:eastAsia="zh-CN" w:bidi="ar-SA"/>
          <w14:textFill>
            <w14:solidFill>
              <w14:schemeClr w14:val="tx1"/>
            </w14:solidFill>
          </w14:textFill>
        </w:rPr>
        <w:t>4.5</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m烟囱，满足标准要求。</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bCs/>
          <w:color w:val="000000" w:themeColor="text1"/>
          <w:kern w:val="2"/>
          <w:sz w:val="18"/>
          <w:szCs w:val="18"/>
          <w:lang w:val="en-US" w:eastAsia="zh-CN" w:bidi="ar-SA"/>
          <w14:textFill>
            <w14:solidFill>
              <w14:schemeClr w14:val="tx1"/>
            </w14:solidFill>
          </w14:textFill>
        </w:rPr>
      </w:pP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厂内无组织氨污染物排放执行《恶臭污染物排放标准》</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GB</w:t>
      </w:r>
      <w:r>
        <w:rPr>
          <w:rFonts w:hint="eastAsia" w:ascii="Times New Roman" w:hAnsi="Times New Roman" w:eastAsia="宋体" w:cs="Times New Roman"/>
          <w:snapToGrid w:val="0"/>
          <w:color w:val="000000" w:themeColor="text1"/>
          <w:spacing w:val="0"/>
          <w:w w:val="100"/>
          <w:kern w:val="18"/>
          <w:position w:val="0"/>
          <w:sz w:val="24"/>
          <w:szCs w:val="24"/>
          <w:u w:val="none"/>
          <w:lang w:val="en-US" w:eastAsia="zh-CN" w:bidi="ar-SA"/>
          <w14:textFill>
            <w14:solidFill>
              <w14:schemeClr w14:val="tx1"/>
            </w14:solidFill>
          </w14:textFill>
        </w:rPr>
        <w:t>1</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4554-93)</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表1二级新改扩标准</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1.5</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mg</w:t>
      </w:r>
      <w:r>
        <w:rPr>
          <w:rFonts w:hint="eastAsia" w:ascii="Times New Roman" w:hAnsi="Times New Roman" w:eastAsia="Times New Roman" w:cs="Times New Roman"/>
          <w:snapToGrid w:val="0"/>
          <w:color w:val="000000" w:themeColor="text1"/>
          <w:spacing w:val="0"/>
          <w:w w:val="100"/>
          <w:kern w:val="18"/>
          <w:position w:val="0"/>
          <w:sz w:val="24"/>
          <w:szCs w:val="24"/>
          <w:u w:val="none"/>
          <w:lang w:val="en-US" w:eastAsia="en-US" w:bidi="ar-SA"/>
          <w14:textFill>
            <w14:solidFill>
              <w14:schemeClr w14:val="tx1"/>
            </w14:solidFill>
          </w14:textFill>
        </w:rPr>
        <w:t>/</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m</w:t>
      </w:r>
      <w:r>
        <w:rPr>
          <w:rFonts w:hint="eastAsia" w:ascii="Times New Roman" w:hAnsi="Times New Roman" w:eastAsia="Times New Roman" w:cs="Times New Roman"/>
          <w:snapToGrid w:val="0"/>
          <w:color w:val="000000" w:themeColor="text1"/>
          <w:spacing w:val="0"/>
          <w:w w:val="100"/>
          <w:kern w:val="18"/>
          <w:position w:val="0"/>
          <w:sz w:val="24"/>
          <w:szCs w:val="24"/>
          <w:u w:val="none"/>
          <w:vertAlign w:val="superscript"/>
          <w:lang w:val="en-US" w:eastAsia="en-US" w:bidi="ar-SA"/>
          <w14:textFill>
            <w14:solidFill>
              <w14:schemeClr w14:val="tx1"/>
            </w14:solidFill>
          </w14:textFill>
        </w:rPr>
        <w:t>3</w:t>
      </w:r>
      <w:r>
        <w:rPr>
          <w:rFonts w:hint="eastAsia" w:ascii="Times New Roman" w:hAnsi="Times New Roman" w:eastAsia="Times New Roman" w:cs="Times New Roman"/>
          <w:snapToGrid w:val="0"/>
          <w:color w:val="000000" w:themeColor="text1"/>
          <w:spacing w:val="0"/>
          <w:w w:val="100"/>
          <w:kern w:val="18"/>
          <w:position w:val="0"/>
          <w:sz w:val="24"/>
          <w:szCs w:val="24"/>
          <w:u w:val="none"/>
          <w:lang w:val="zh-CN" w:eastAsia="zh-CN" w:bidi="ar-SA"/>
          <w14:textFill>
            <w14:solidFill>
              <w14:schemeClr w14:val="tx1"/>
            </w14:solidFill>
          </w14:textFill>
        </w:rPr>
        <w:t>。</w:t>
      </w:r>
    </w:p>
    <w:p>
      <w:pPr>
        <w:pStyle w:val="128"/>
        <w:numPr>
          <w:ilvl w:val="3"/>
          <w:numId w:val="0"/>
        </w:numPr>
        <w:ind w:leftChars="0"/>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1.5.3.2废水</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bookmarkStart w:id="25" w:name="OLE_LINK87"/>
      <w:bookmarkEnd w:id="25"/>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项目生产废水通过沉淀处理后，废水循环使用不外排；生活污水排入厂区自建污水处理厂处理，</w:t>
      </w:r>
      <w:r>
        <w:rPr>
          <w:rFonts w:ascii="Times New Roman" w:hAnsi="Times New Roman" w:eastAsia="宋体"/>
          <w:bCs w:val="0"/>
          <w:color w:val="000000" w:themeColor="text1"/>
          <w:kern w:val="2"/>
          <w:lang w:val="en-US" w:bidi="ar-SA"/>
          <w14:textFill>
            <w14:solidFill>
              <w14:schemeClr w14:val="tx1"/>
            </w14:solidFill>
          </w14:textFill>
        </w:rPr>
        <w:t>处理达《城镇污水处理厂污染物排放标准》（GB/T31962-2015）</w:t>
      </w:r>
      <w:r>
        <w:rPr>
          <w:rFonts w:hint="eastAsia" w:ascii="Times New Roman" w:hAnsi="Times New Roman" w:eastAsia="宋体"/>
          <w:bCs w:val="0"/>
          <w:color w:val="000000" w:themeColor="text1"/>
          <w:kern w:val="2"/>
          <w:lang w:val="en-US" w:bidi="ar-SA"/>
          <w14:textFill>
            <w14:solidFill>
              <w14:schemeClr w14:val="tx1"/>
            </w14:solidFill>
          </w14:textFill>
        </w:rPr>
        <w:t>C</w:t>
      </w:r>
      <w:r>
        <w:rPr>
          <w:rFonts w:ascii="Times New Roman" w:hAnsi="Times New Roman" w:eastAsia="宋体"/>
          <w:bCs w:val="0"/>
          <w:color w:val="000000" w:themeColor="text1"/>
          <w:kern w:val="2"/>
          <w:lang w:val="en-US" w:bidi="ar-SA"/>
          <w14:textFill>
            <w14:solidFill>
              <w14:schemeClr w14:val="tx1"/>
            </w14:solidFill>
          </w14:textFill>
        </w:rPr>
        <w:t>级标准。</w:t>
      </w:r>
    </w:p>
    <w:p>
      <w:pPr>
        <w:pStyle w:val="128"/>
        <w:numPr>
          <w:ilvl w:val="3"/>
          <w:numId w:val="0"/>
        </w:numPr>
        <w:ind w:leftChars="0"/>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1.5.3.3噪声</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项目运营期厂界噪声执行《工业企业厂界环境噪声排放标准》</w:t>
      </w:r>
      <w:bookmarkStart w:id="26" w:name="OLE_LINK43"/>
      <w:bookmarkEnd w:id="26"/>
      <w:bookmarkStart w:id="27" w:name="OLE_LINK44"/>
      <w:bookmarkEnd w:id="27"/>
      <w:bookmarkStart w:id="28" w:name="OLE_LINK45"/>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(GB12348－2008)中的3类</w:t>
      </w:r>
      <w:bookmarkEnd w:id="28"/>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。标准值见表1.5-</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6</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pPr>
        <w:pStyle w:val="131"/>
        <w:keepNext w:val="0"/>
        <w:keepLines w:val="0"/>
        <w:pageBreakBefore w:val="0"/>
        <w:widowControl w:val="0"/>
        <w:shd w:val="clear" w:color="auto" w:fill="auto"/>
        <w:kinsoku/>
        <w:wordWrap/>
        <w:overflowPunct/>
        <w:topLinePunct w:val="0"/>
        <w:autoSpaceDE/>
        <w:autoSpaceDN/>
        <w:bidi w:val="0"/>
        <w:adjustRightInd/>
        <w:snapToGrid w:val="0"/>
        <w:spacing w:before="0" w:beforeLines="50"/>
        <w:textAlignment w:val="auto"/>
        <w:rPr>
          <w:rFonts w:hint="default" w:ascii="Times New Roman" w:hAnsi="Times New Roman" w:eastAsia="黑体" w:cs="Times New Roman"/>
          <w:color w:val="000000" w:themeColor="text1"/>
          <w:sz w:val="21"/>
          <w:szCs w:val="21"/>
          <w:lang w:val="zh-CN" w:eastAsia="zh-CN"/>
          <w14:textFill>
            <w14:solidFill>
              <w14:schemeClr w14:val="tx1"/>
            </w14:solidFill>
          </w14:textFill>
        </w:rPr>
      </w:pPr>
      <w:r>
        <w:rPr>
          <w:rFonts w:hint="default" w:ascii="Times New Roman" w:hAnsi="Times New Roman" w:eastAsia="黑体" w:cs="Times New Roman"/>
          <w:color w:val="000000" w:themeColor="text1"/>
          <w:sz w:val="21"/>
          <w:szCs w:val="21"/>
          <w:lang w:val="zh-CN" w:eastAsia="zh-CN"/>
          <w14:textFill>
            <w14:solidFill>
              <w14:schemeClr w14:val="tx1"/>
            </w14:solidFill>
          </w14:textFill>
        </w:rPr>
        <w:t>表</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1.5-</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6</w:t>
      </w:r>
      <w:r>
        <w:rPr>
          <w:rFonts w:hint="default" w:ascii="Times New Roman" w:hAnsi="Times New Roman" w:eastAsia="黑体" w:cs="Times New Roman"/>
          <w:color w:val="000000" w:themeColor="text1"/>
          <w:sz w:val="21"/>
          <w:szCs w:val="21"/>
          <w:lang w:val="zh-CN" w:eastAsia="zh-CN"/>
          <w14:textFill>
            <w14:solidFill>
              <w14:schemeClr w14:val="tx1"/>
            </w14:solidFill>
          </w14:textFill>
        </w:rPr>
        <w:t xml:space="preserve">     噪声排放标准一览表    单位：dB(A)</w:t>
      </w:r>
    </w:p>
    <w:tbl>
      <w:tblPr>
        <w:tblStyle w:val="21"/>
        <w:tblW w:w="8309" w:type="dxa"/>
        <w:tblInd w:w="-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114"/>
        <w:gridCol w:w="2110"/>
        <w:gridCol w:w="2111"/>
        <w:gridCol w:w="19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21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昼间</w:t>
            </w:r>
          </w:p>
        </w:tc>
        <w:tc>
          <w:tcPr>
            <w:tcW w:w="211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夜间</w:t>
            </w:r>
          </w:p>
        </w:tc>
        <w:tc>
          <w:tcPr>
            <w:tcW w:w="2111"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适用阶段</w:t>
            </w:r>
          </w:p>
        </w:tc>
        <w:tc>
          <w:tcPr>
            <w:tcW w:w="197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适用标准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c>
          <w:tcPr>
            <w:tcW w:w="211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w:t>
            </w:r>
          </w:p>
        </w:tc>
        <w:tc>
          <w:tcPr>
            <w:tcW w:w="211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55</w:t>
            </w:r>
          </w:p>
        </w:tc>
        <w:tc>
          <w:tcPr>
            <w:tcW w:w="2111"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运行期</w:t>
            </w:r>
          </w:p>
        </w:tc>
        <w:tc>
          <w:tcPr>
            <w:tcW w:w="1974"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GB12348-2008</w:t>
            </w:r>
          </w:p>
        </w:tc>
      </w:tr>
    </w:tbl>
    <w:p>
      <w:pPr>
        <w:pStyle w:val="128"/>
        <w:keepNext w:val="0"/>
        <w:keepLines w:val="0"/>
        <w:pageBreakBefore w:val="0"/>
        <w:widowControl/>
        <w:numPr>
          <w:ilvl w:val="3"/>
          <w:numId w:val="0"/>
        </w:numPr>
        <w:kinsoku/>
        <w:wordWrap/>
        <w:overflowPunct/>
        <w:topLinePunct w:val="0"/>
        <w:autoSpaceDE/>
        <w:autoSpaceDN/>
        <w:bidi w:val="0"/>
        <w:adjustRightInd w:val="0"/>
        <w:snapToGrid w:val="0"/>
        <w:spacing w:before="313" w:beforeLines="100"/>
        <w:ind w:leftChars="0"/>
        <w:textAlignment w:val="auto"/>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1.5.3.4固体废物</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kern w:val="18"/>
          <w:sz w:val="24"/>
          <w:szCs w:val="24"/>
          <w14:textFill>
            <w14:solidFill>
              <w14:schemeClr w14:val="tx1"/>
            </w14:solidFill>
          </w14:textFill>
        </w:rPr>
      </w:pPr>
      <w:r>
        <w:rPr>
          <w:rFonts w:hint="eastAsia" w:eastAsia="宋体"/>
          <w:color w:val="000000" w:themeColor="text1"/>
          <w:kern w:val="18"/>
          <w:sz w:val="24"/>
          <w:szCs w:val="24"/>
          <w:lang w:val="en-US" w:eastAsia="zh-CN"/>
          <w14:textFill>
            <w14:solidFill>
              <w14:schemeClr w14:val="tx1"/>
            </w14:solidFill>
          </w14:textFill>
        </w:rPr>
        <w:t>（1）</w:t>
      </w:r>
      <w:r>
        <w:rPr>
          <w:rFonts w:hint="eastAsia"/>
          <w:color w:val="000000" w:themeColor="text1"/>
          <w:kern w:val="18"/>
          <w:sz w:val="24"/>
          <w:szCs w:val="24"/>
          <w:lang w:val="zh-CN" w:eastAsia="zh-CN"/>
          <w14:textFill>
            <w14:solidFill>
              <w14:schemeClr w14:val="tx1"/>
            </w14:solidFill>
          </w14:textFill>
        </w:rPr>
        <w:t xml:space="preserve">固体废物中的一般废物满足《一般工业固体废物贮存、处置场污染控制标准》 </w:t>
      </w:r>
      <w:r>
        <w:rPr>
          <w:rFonts w:hint="eastAsia"/>
          <w:color w:val="000000" w:themeColor="text1"/>
          <w:kern w:val="18"/>
          <w:sz w:val="24"/>
          <w:szCs w:val="24"/>
          <w:lang w:val="en-US" w:eastAsia="en-US"/>
          <w14:textFill>
            <w14:solidFill>
              <w14:schemeClr w14:val="tx1"/>
            </w14:solidFill>
          </w14:textFill>
        </w:rPr>
        <w:t>(</w:t>
      </w:r>
      <w:r>
        <w:rPr>
          <w:rFonts w:hint="eastAsia"/>
          <w:color w:val="000000" w:themeColor="text1"/>
          <w:kern w:val="18"/>
          <w:sz w:val="24"/>
          <w:szCs w:val="24"/>
          <w14:textFill>
            <w14:solidFill>
              <w14:schemeClr w14:val="tx1"/>
            </w14:solidFill>
          </w14:textFill>
        </w:rPr>
        <w:t>GB</w:t>
      </w:r>
      <w:r>
        <w:rPr>
          <w:rFonts w:hint="eastAsia"/>
          <w:color w:val="000000" w:themeColor="text1"/>
          <w:kern w:val="18"/>
          <w:sz w:val="24"/>
          <w:szCs w:val="24"/>
          <w:lang w:val="en-US" w:eastAsia="en-US"/>
          <w14:textFill>
            <w14:solidFill>
              <w14:schemeClr w14:val="tx1"/>
            </w14:solidFill>
          </w14:textFill>
        </w:rPr>
        <w:t>18599-2001)</w:t>
      </w:r>
      <w:r>
        <w:rPr>
          <w:rFonts w:hint="eastAsia"/>
          <w:color w:val="000000" w:themeColor="text1"/>
          <w:kern w:val="18"/>
          <w:sz w:val="24"/>
          <w:szCs w:val="24"/>
          <w:lang w:val="zh-CN" w:eastAsia="zh-CN"/>
          <w14:textFill>
            <w14:solidFill>
              <w14:schemeClr w14:val="tx1"/>
            </w14:solidFill>
          </w14:textFill>
        </w:rPr>
        <w:t>及其修改单中II类场的要求。</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kern w:val="18"/>
          <w:sz w:val="24"/>
          <w:szCs w:val="24"/>
          <w14:textFill>
            <w14:solidFill>
              <w14:schemeClr w14:val="tx1"/>
            </w14:solidFill>
          </w14:textFill>
        </w:rPr>
      </w:pPr>
      <w:r>
        <w:rPr>
          <w:rFonts w:hint="eastAsia" w:eastAsia="宋体"/>
          <w:color w:val="000000" w:themeColor="text1"/>
          <w:kern w:val="18"/>
          <w:sz w:val="24"/>
          <w:szCs w:val="24"/>
          <w:lang w:val="en-US" w:eastAsia="zh-CN"/>
          <w14:textFill>
            <w14:solidFill>
              <w14:schemeClr w14:val="tx1"/>
            </w14:solidFill>
          </w14:textFill>
        </w:rPr>
        <w:t>（2）</w:t>
      </w:r>
      <w:r>
        <w:rPr>
          <w:rFonts w:hint="eastAsia"/>
          <w:color w:val="000000" w:themeColor="text1"/>
          <w:kern w:val="18"/>
          <w:sz w:val="24"/>
          <w:szCs w:val="24"/>
          <w:lang w:val="zh-CN" w:eastAsia="zh-CN"/>
          <w14:textFill>
            <w14:solidFill>
              <w14:schemeClr w14:val="tx1"/>
            </w14:solidFill>
          </w14:textFill>
        </w:rPr>
        <w:t>固体废物中的危险废物应满足《危险废物贮存污染控制标准》</w:t>
      </w:r>
      <w:r>
        <w:rPr>
          <w:rFonts w:hint="eastAsia"/>
          <w:color w:val="000000" w:themeColor="text1"/>
          <w:kern w:val="18"/>
          <w:sz w:val="24"/>
          <w:szCs w:val="24"/>
          <w:lang w:val="en-US" w:eastAsia="en-US"/>
          <w14:textFill>
            <w14:solidFill>
              <w14:schemeClr w14:val="tx1"/>
            </w14:solidFill>
          </w14:textFill>
        </w:rPr>
        <w:t>(</w:t>
      </w:r>
      <w:r>
        <w:rPr>
          <w:rFonts w:hint="eastAsia"/>
          <w:color w:val="000000" w:themeColor="text1"/>
          <w:kern w:val="18"/>
          <w:sz w:val="24"/>
          <w:szCs w:val="24"/>
          <w14:textFill>
            <w14:solidFill>
              <w14:schemeClr w14:val="tx1"/>
            </w14:solidFill>
          </w14:textFill>
        </w:rPr>
        <w:t>GB</w:t>
      </w:r>
      <w:r>
        <w:rPr>
          <w:rFonts w:hint="eastAsia"/>
          <w:color w:val="000000" w:themeColor="text1"/>
          <w:kern w:val="18"/>
          <w:sz w:val="24"/>
          <w:szCs w:val="24"/>
          <w:lang w:val="en-US" w:eastAsia="en-US"/>
          <w14:textFill>
            <w14:solidFill>
              <w14:schemeClr w14:val="tx1"/>
            </w14:solidFill>
          </w14:textFill>
        </w:rPr>
        <w:t xml:space="preserve">18597-2001) </w:t>
      </w:r>
      <w:r>
        <w:rPr>
          <w:rFonts w:hint="eastAsia"/>
          <w:color w:val="000000" w:themeColor="text1"/>
          <w:kern w:val="18"/>
          <w:sz w:val="24"/>
          <w:szCs w:val="24"/>
          <w:lang w:val="zh-CN" w:eastAsia="zh-CN"/>
          <w14:textFill>
            <w14:solidFill>
              <w14:schemeClr w14:val="tx1"/>
            </w14:solidFill>
          </w14:textFill>
        </w:rPr>
        <w:t>及其修改单中的要求。</w:t>
      </w:r>
    </w:p>
    <w:p>
      <w:pPr>
        <w:pStyle w:val="128"/>
        <w:numPr>
          <w:ilvl w:val="3"/>
          <w:numId w:val="0"/>
        </w:numPr>
        <w:ind w:leftChars="0"/>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1.5.3.5相关卫生标准</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bookmarkStart w:id="29" w:name="OLE_LINK76"/>
      <w:bookmarkEnd w:id="29"/>
      <w:bookmarkStart w:id="30" w:name="OLE_LINK77"/>
      <w:bookmarkEnd w:id="30"/>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（1）《工作场所有害因素职业接触限值》(化学有害因素)(GBZ2.1-2007)；</w:t>
      </w:r>
    </w:p>
    <w:p>
      <w:pPr>
        <w:pStyle w:val="129"/>
        <w:keepNext w:val="0"/>
        <w:keepLines w:val="0"/>
        <w:pageBreakBefore w:val="0"/>
        <w:widowControl w:val="0"/>
        <w:shd w:val="clear" w:color="auto" w:fill="auto"/>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b w:val="0"/>
          <w:bCs w:val="0"/>
          <w:color w:val="000000" w:themeColor="text1"/>
          <w:kern w:val="2"/>
          <w:sz w:val="24"/>
          <w:szCs w:val="24"/>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（2）《工作场所有害因素职业接触限值》(物理因素)(GBZ2.2-2007)。</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0" w:firstLineChars="0"/>
        <w:jc w:val="left"/>
        <w:textAlignment w:val="auto"/>
        <w:outlineLvl w:val="1"/>
        <w:rPr>
          <w:rFonts w:hint="eastAsia" w:ascii="Times New Roman" w:hAnsi="Times New Roman" w:eastAsia="Times New Roman" w:cs="Times New Roman"/>
          <w:b/>
          <w:bCs/>
          <w:snapToGrid w:val="0"/>
          <w:color w:val="000000" w:themeColor="text1"/>
          <w:spacing w:val="0"/>
          <w:w w:val="100"/>
          <w:kern w:val="18"/>
          <w:position w:val="0"/>
          <w:sz w:val="32"/>
          <w:szCs w:val="32"/>
          <w:lang w:val="zh-CN" w:eastAsia="zh-CN" w:bidi="ar-SA"/>
          <w14:textFill>
            <w14:solidFill>
              <w14:schemeClr w14:val="tx1"/>
            </w14:solidFill>
          </w14:textFill>
        </w:rPr>
      </w:pPr>
      <w:bookmarkStart w:id="31" w:name="_Toc23712"/>
      <w:bookmarkStart w:id="32" w:name="bookmark7"/>
      <w:r>
        <w:rPr>
          <w:rFonts w:hint="eastAsia" w:ascii="Times New Roman" w:hAnsi="Times New Roman" w:eastAsia="Times New Roman" w:cs="Times New Roman"/>
          <w:b/>
          <w:bCs/>
          <w:snapToGrid w:val="0"/>
          <w:color w:val="000000" w:themeColor="text1"/>
          <w:spacing w:val="0"/>
          <w:w w:val="100"/>
          <w:kern w:val="18"/>
          <w:position w:val="0"/>
          <w:sz w:val="32"/>
          <w:szCs w:val="32"/>
          <w:lang w:val="en-US" w:eastAsia="en-US" w:bidi="ar-SA"/>
          <w14:textFill>
            <w14:solidFill>
              <w14:schemeClr w14:val="tx1"/>
            </w14:solidFill>
          </w14:textFill>
        </w:rPr>
        <w:t>1.</w:t>
      </w:r>
      <w:r>
        <w:rPr>
          <w:rFonts w:hint="eastAsia" w:eastAsia="宋体" w:cs="Times New Roman"/>
          <w:b/>
          <w:bCs/>
          <w:snapToGrid w:val="0"/>
          <w:color w:val="000000" w:themeColor="text1"/>
          <w:spacing w:val="0"/>
          <w:w w:val="100"/>
          <w:kern w:val="18"/>
          <w:position w:val="0"/>
          <w:sz w:val="32"/>
          <w:szCs w:val="32"/>
          <w:lang w:val="en-US" w:eastAsia="zh-CN" w:bidi="ar-SA"/>
          <w14:textFill>
            <w14:solidFill>
              <w14:schemeClr w14:val="tx1"/>
            </w14:solidFill>
          </w14:textFill>
        </w:rPr>
        <w:t>6</w:t>
      </w:r>
      <w:r>
        <w:rPr>
          <w:rFonts w:hint="eastAsia" w:ascii="Times New Roman" w:hAnsi="Times New Roman" w:eastAsia="Times New Roman" w:cs="Times New Roman"/>
          <w:b/>
          <w:bCs/>
          <w:snapToGrid w:val="0"/>
          <w:color w:val="000000" w:themeColor="text1"/>
          <w:spacing w:val="0"/>
          <w:w w:val="100"/>
          <w:kern w:val="18"/>
          <w:position w:val="0"/>
          <w:sz w:val="32"/>
          <w:szCs w:val="32"/>
          <w:lang w:val="zh-CN" w:eastAsia="zh-CN" w:bidi="ar-SA"/>
          <w14:textFill>
            <w14:solidFill>
              <w14:schemeClr w14:val="tx1"/>
            </w14:solidFill>
          </w14:textFill>
        </w:rPr>
        <w:t>评价工作等级及评价范围</w:t>
      </w:r>
      <w:bookmarkEnd w:id="31"/>
      <w:bookmarkEnd w:id="32"/>
    </w:p>
    <w:p>
      <w:pPr>
        <w:pStyle w:val="5"/>
        <w:keepNext w:val="0"/>
        <w:keepLines w:val="0"/>
        <w:pageBreakBefore w:val="0"/>
        <w:widowControl w:val="0"/>
        <w:kinsoku/>
        <w:wordWrap/>
        <w:overflowPunct w:val="0"/>
        <w:topLinePunct w:val="0"/>
        <w:autoSpaceDE/>
        <w:autoSpaceDN/>
        <w:bidi w:val="0"/>
        <w:adjustRightInd/>
        <w:snapToGrid/>
        <w:textAlignment w:val="auto"/>
        <w:rPr>
          <w:rFonts w:hint="default" w:eastAsia="宋体"/>
          <w:color w:val="000000" w:themeColor="text1"/>
          <w:sz w:val="28"/>
          <w:szCs w:val="28"/>
          <w:lang w:val="en-US" w:eastAsia="zh-CN"/>
          <w14:textFill>
            <w14:solidFill>
              <w14:schemeClr w14:val="tx1"/>
            </w14:solidFill>
          </w14:textFill>
        </w:rPr>
      </w:pPr>
      <w:bookmarkStart w:id="33" w:name="_Toc29744"/>
      <w:bookmarkStart w:id="34" w:name="_Toc28125"/>
      <w:bookmarkStart w:id="35" w:name="_Toc17470"/>
      <w:bookmarkStart w:id="36" w:name="_Toc19188"/>
      <w:bookmarkStart w:id="37" w:name="_Toc539"/>
      <w:r>
        <w:rPr>
          <w:rFonts w:hint="eastAsia"/>
          <w:color w:val="000000" w:themeColor="text1"/>
          <w:sz w:val="28"/>
          <w:szCs w:val="28"/>
          <w:lang w:val="en-US" w:eastAsia="zh-CN"/>
          <w14:textFill>
            <w14:solidFill>
              <w14:schemeClr w14:val="tx1"/>
            </w14:solidFill>
          </w14:textFill>
        </w:rPr>
        <w:t>1.6.1评价等级</w:t>
      </w:r>
    </w:p>
    <w:p>
      <w:pPr>
        <w:pStyle w:val="6"/>
        <w:keepNext w:val="0"/>
        <w:keepLines w:val="0"/>
        <w:pageBreakBefore w:val="0"/>
        <w:widowControl w:val="0"/>
        <w:kinsoku/>
        <w:wordWrap/>
        <w:overflowPunct w:val="0"/>
        <w:topLinePunct w:val="0"/>
        <w:autoSpaceDE/>
        <w:autoSpaceDN/>
        <w:bidi w:val="0"/>
        <w:adjustRightInd/>
        <w:snapToGrid/>
        <w:spacing w:before="0" w:after="0" w:line="360" w:lineRule="auto"/>
        <w:textAlignment w:val="auto"/>
        <w:outlineLvl w:val="3"/>
        <w:rPr>
          <w:rFonts w:hint="default" w:ascii="Times New Roman" w:hAnsi="Times New Roman" w:eastAsia="宋体" w:cs="Times New Roman"/>
          <w:color w:val="000000" w:themeColor="text1"/>
          <w:sz w:val="24"/>
          <w:szCs w:val="24"/>
          <w:lang w:val="zh-CN"/>
          <w14:textFill>
            <w14:solidFill>
              <w14:schemeClr w14:val="tx1"/>
            </w14:solidFill>
          </w14:textFill>
        </w:rPr>
      </w:pPr>
      <w:r>
        <w:rPr>
          <w:rFonts w:hint="default" w:ascii="Times New Roman" w:hAnsi="Times New Roman" w:eastAsia="宋体" w:cs="Times New Roman"/>
          <w:color w:val="000000" w:themeColor="text1"/>
          <w:sz w:val="24"/>
          <w:szCs w:val="24"/>
          <w:lang w:val="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zh-CN"/>
          <w14:textFill>
            <w14:solidFill>
              <w14:schemeClr w14:val="tx1"/>
            </w14:solidFill>
          </w14:textFill>
        </w:rPr>
        <w:t>大气环境影响评价等级</w:t>
      </w:r>
      <w:bookmarkEnd w:id="33"/>
      <w:bookmarkEnd w:id="34"/>
      <w:bookmarkEnd w:id="35"/>
      <w:bookmarkEnd w:id="36"/>
      <w:bookmarkEnd w:id="3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r>
        <w:rPr>
          <w:rFonts w:ascii="Times New Roman" w:hAnsi="Times New Roman" w:cs="Times New Roman"/>
          <w:color w:val="000000" w:themeColor="text1"/>
          <w:sz w:val="24"/>
          <w:szCs w:val="24"/>
          <w14:textFill>
            <w14:solidFill>
              <w14:schemeClr w14:val="tx1"/>
            </w14:solidFill>
          </w14:textFill>
        </w:rPr>
        <w:t>。</w:t>
      </w:r>
    </w:p>
    <w:p>
      <w:pPr>
        <w:spacing w:line="480" w:lineRule="exact"/>
        <w:ind w:firstLine="422" w:firstLineChars="176"/>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（1）P</w:t>
      </w:r>
      <w:r>
        <w:rPr>
          <w:rFonts w:hint="default" w:ascii="Times New Roman" w:hAnsi="Times New Roman" w:cs="Times New Roman"/>
          <w:color w:val="000000" w:themeColor="text1"/>
          <w:sz w:val="24"/>
          <w:szCs w:val="24"/>
          <w:vertAlign w:val="subscript"/>
          <w14:textFill>
            <w14:solidFill>
              <w14:schemeClr w14:val="tx1"/>
            </w14:solidFill>
          </w14:textFill>
        </w:rPr>
        <w:t>max</w:t>
      </w:r>
      <w:r>
        <w:rPr>
          <w:rFonts w:hint="default" w:ascii="Times New Roman" w:hAnsi="Times New Roman" w:cs="Times New Roman"/>
          <w:color w:val="000000" w:themeColor="text1"/>
          <w:sz w:val="24"/>
          <w:szCs w:val="24"/>
          <w14:textFill>
            <w14:solidFill>
              <w14:schemeClr w14:val="tx1"/>
            </w14:solidFill>
          </w14:textFill>
        </w:rPr>
        <w:t>及D</w:t>
      </w:r>
      <w:r>
        <w:rPr>
          <w:rFonts w:hint="default" w:ascii="Times New Roman" w:hAnsi="Times New Roman" w:cs="Times New Roman"/>
          <w:color w:val="000000" w:themeColor="text1"/>
          <w:sz w:val="24"/>
          <w:szCs w:val="24"/>
          <w:vertAlign w:val="subscript"/>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的确定</w:t>
      </w:r>
    </w:p>
    <w:p>
      <w:pPr>
        <w:spacing w:line="480" w:lineRule="exact"/>
        <w:ind w:firstLine="422" w:firstLineChars="176"/>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依据《环境影响评价技术导则 大气环境》(HJ2.2-2018)中最大地面浓度占标率P</w:t>
      </w:r>
      <w:r>
        <w:rPr>
          <w:rFonts w:hint="default" w:ascii="Times New Roman" w:hAnsi="Times New Roman" w:cs="Times New Roman"/>
          <w:i/>
          <w:color w:val="000000" w:themeColor="text1"/>
          <w:sz w:val="24"/>
          <w:szCs w:val="24"/>
          <w14:textFill>
            <w14:solidFill>
              <w14:schemeClr w14:val="tx1"/>
            </w14:solidFill>
          </w14:textFill>
        </w:rPr>
        <w:t>i</w:t>
      </w:r>
      <w:r>
        <w:rPr>
          <w:rFonts w:hint="default" w:ascii="Times New Roman" w:hAnsi="Times New Roman" w:cs="Times New Roman"/>
          <w:color w:val="000000" w:themeColor="text1"/>
          <w:sz w:val="24"/>
          <w:szCs w:val="24"/>
          <w14:textFill>
            <w14:solidFill>
              <w14:schemeClr w14:val="tx1"/>
            </w14:solidFill>
          </w14:textFill>
        </w:rPr>
        <w:t>定义如下：</w:t>
      </w:r>
    </w:p>
    <w:p>
      <w:pPr>
        <w:spacing w:line="276" w:lineRule="auto"/>
        <w:ind w:firstLine="422" w:firstLineChars="176"/>
        <w:jc w:val="center"/>
        <w:rPr>
          <w:rFonts w:hint="default" w:ascii="Times New Roman" w:hAnsi="Times New Roman" w:cs="Times New Roman"/>
          <w:color w:val="000000" w:themeColor="text1"/>
          <w:sz w:val="24"/>
          <w:szCs w:val="24"/>
          <w14:textFill>
            <w14:solidFill>
              <w14:schemeClr w14:val="tx1"/>
            </w14:solidFill>
          </w14:textFill>
        </w:rPr>
      </w:pPr>
      <m:oMathPara>
        <m:oMath>
          <m:sSub>
            <m:sSubPr>
              <m:ctrlPr>
                <w:rPr>
                  <w:rFonts w:hint="default" w:ascii="Cambria Math" w:hAnsi="Cambria Math" w:cs="Times New Roman"/>
                  <w:color w:val="000000" w:themeColor="text1"/>
                  <w:sz w:val="24"/>
                  <w:szCs w:val="24"/>
                  <w14:textFill>
                    <w14:solidFill>
                      <w14:schemeClr w14:val="tx1"/>
                    </w14:solidFill>
                  </w14:textFill>
                </w:rPr>
              </m:ctrlPr>
            </m:sSubPr>
            <m:e>
              <m:r>
                <w:rPr>
                  <w:rFonts w:hint="default" w:ascii="Cambria Math" w:hAnsi="Cambria Math" w:cs="Times New Roman"/>
                  <w:color w:val="000000" w:themeColor="text1"/>
                  <w:sz w:val="24"/>
                  <w:szCs w:val="24"/>
                  <w14:textFill>
                    <w14:solidFill>
                      <w14:schemeClr w14:val="tx1"/>
                    </w14:solidFill>
                  </w14:textFill>
                </w:rPr>
                <m:t>P</m:t>
              </m:r>
              <m:ctrlPr>
                <w:rPr>
                  <w:rFonts w:hint="default" w:ascii="Cambria Math" w:hAnsi="Cambria Math" w:cs="Times New Roman"/>
                  <w:color w:val="000000" w:themeColor="text1"/>
                  <w:sz w:val="24"/>
                  <w:szCs w:val="24"/>
                  <w14:textFill>
                    <w14:solidFill>
                      <w14:schemeClr w14:val="tx1"/>
                    </w14:solidFill>
                  </w14:textFill>
                </w:rPr>
              </m:ctrlPr>
            </m:e>
            <m:sub>
              <m:r>
                <w:rPr>
                  <w:rFonts w:hint="default" w:ascii="Cambria Math" w:hAnsi="Cambria Math" w:cs="Times New Roman"/>
                  <w:color w:val="000000" w:themeColor="text1"/>
                  <w:sz w:val="24"/>
                  <w:szCs w:val="24"/>
                  <w14:textFill>
                    <w14:solidFill>
                      <w14:schemeClr w14:val="tx1"/>
                    </w14:solidFill>
                  </w14:textFill>
                </w:rPr>
                <m:t>i</m:t>
              </m:r>
              <m:ctrlPr>
                <w:rPr>
                  <w:rFonts w:hint="default" w:ascii="Cambria Math" w:hAnsi="Cambria Math" w:cs="Times New Roman"/>
                  <w:color w:val="000000" w:themeColor="text1"/>
                  <w:sz w:val="24"/>
                  <w:szCs w:val="24"/>
                  <w14:textFill>
                    <w14:solidFill>
                      <w14:schemeClr w14:val="tx1"/>
                    </w14:solidFill>
                  </w14:textFill>
                </w:rPr>
              </m:ctrlPr>
            </m:sub>
          </m:sSub>
          <m:r>
            <m:rPr>
              <m:sty m:val="p"/>
            </m:rPr>
            <w:rPr>
              <w:rFonts w:hint="default" w:ascii="Cambria Math" w:hAnsi="Cambria Math" w:cs="Times New Roman"/>
              <w:color w:val="000000" w:themeColor="text1"/>
              <w:sz w:val="24"/>
              <w:szCs w:val="24"/>
              <w14:textFill>
                <w14:solidFill>
                  <w14:schemeClr w14:val="tx1"/>
                </w14:solidFill>
              </w14:textFill>
            </w:rPr>
            <m:t>=</m:t>
          </m:r>
          <m:f>
            <m:fPr>
              <m:ctrlPr>
                <w:rPr>
                  <w:rFonts w:hint="default" w:ascii="Cambria Math" w:hAnsi="Cambria Math" w:cs="Times New Roman"/>
                  <w:color w:val="000000" w:themeColor="text1"/>
                  <w:sz w:val="24"/>
                  <w:szCs w:val="24"/>
                  <w14:textFill>
                    <w14:solidFill>
                      <w14:schemeClr w14:val="tx1"/>
                    </w14:solidFill>
                  </w14:textFill>
                </w:rPr>
              </m:ctrlPr>
            </m:fPr>
            <m:num>
              <m:sSub>
                <m:sSubPr>
                  <m:ctrlPr>
                    <w:rPr>
                      <w:rFonts w:hint="default" w:ascii="Cambria Math" w:hAnsi="Cambria Math" w:cs="Times New Roman"/>
                      <w:i/>
                      <w:color w:val="000000" w:themeColor="text1"/>
                      <w:sz w:val="24"/>
                      <w:szCs w:val="24"/>
                      <w14:textFill>
                        <w14:solidFill>
                          <w14:schemeClr w14:val="tx1"/>
                        </w14:solidFill>
                      </w14:textFill>
                    </w:rPr>
                  </m:ctrlPr>
                </m:sSubPr>
                <m:e>
                  <m:r>
                    <w:rPr>
                      <w:rFonts w:hint="default" w:ascii="Cambria Math" w:hAnsi="Cambria Math" w:cs="Times New Roman"/>
                      <w:color w:val="000000" w:themeColor="text1"/>
                      <w:sz w:val="24"/>
                      <w:szCs w:val="24"/>
                      <w14:textFill>
                        <w14:solidFill>
                          <w14:schemeClr w14:val="tx1"/>
                        </w14:solidFill>
                      </w14:textFill>
                    </w:rPr>
                    <m:t>C</m:t>
                  </m:r>
                  <m:ctrlPr>
                    <w:rPr>
                      <w:rFonts w:hint="default" w:ascii="Cambria Math" w:hAnsi="Cambria Math" w:cs="Times New Roman"/>
                      <w:i/>
                      <w:color w:val="000000" w:themeColor="text1"/>
                      <w:sz w:val="24"/>
                      <w:szCs w:val="24"/>
                      <w14:textFill>
                        <w14:solidFill>
                          <w14:schemeClr w14:val="tx1"/>
                        </w14:solidFill>
                      </w14:textFill>
                    </w:rPr>
                  </m:ctrlPr>
                </m:e>
                <m:sub>
                  <m:r>
                    <w:rPr>
                      <w:rFonts w:hint="default" w:ascii="Cambria Math" w:hAnsi="Cambria Math" w:cs="Times New Roman"/>
                      <w:color w:val="000000" w:themeColor="text1"/>
                      <w:sz w:val="24"/>
                      <w:szCs w:val="24"/>
                      <w14:textFill>
                        <w14:solidFill>
                          <w14:schemeClr w14:val="tx1"/>
                        </w14:solidFill>
                      </w14:textFill>
                    </w:rPr>
                    <m:t>i</m:t>
                  </m:r>
                  <m:ctrlPr>
                    <w:rPr>
                      <w:rFonts w:hint="default" w:ascii="Cambria Math" w:hAnsi="Cambria Math" w:cs="Times New Roman"/>
                      <w:i/>
                      <w:color w:val="000000" w:themeColor="text1"/>
                      <w:sz w:val="24"/>
                      <w:szCs w:val="24"/>
                      <w14:textFill>
                        <w14:solidFill>
                          <w14:schemeClr w14:val="tx1"/>
                        </w14:solidFill>
                      </w14:textFill>
                    </w:rPr>
                  </m:ctrlPr>
                </m:sub>
              </m:sSub>
              <m:ctrlPr>
                <w:rPr>
                  <w:rFonts w:hint="default" w:ascii="Cambria Math" w:hAnsi="Cambria Math" w:cs="Times New Roman"/>
                  <w:color w:val="000000" w:themeColor="text1"/>
                  <w:sz w:val="24"/>
                  <w:szCs w:val="24"/>
                  <w14:textFill>
                    <w14:solidFill>
                      <w14:schemeClr w14:val="tx1"/>
                    </w14:solidFill>
                  </w14:textFill>
                </w:rPr>
              </m:ctrlPr>
            </m:num>
            <m:den>
              <m:sSub>
                <m:sSubPr>
                  <m:ctrlPr>
                    <w:rPr>
                      <w:rFonts w:hint="default" w:ascii="Cambria Math" w:hAnsi="Cambria Math" w:cs="Times New Roman"/>
                      <w:i/>
                      <w:color w:val="000000" w:themeColor="text1"/>
                      <w:sz w:val="24"/>
                      <w:szCs w:val="24"/>
                      <w14:textFill>
                        <w14:solidFill>
                          <w14:schemeClr w14:val="tx1"/>
                        </w14:solidFill>
                      </w14:textFill>
                    </w:rPr>
                  </m:ctrlPr>
                </m:sSubPr>
                <m:e>
                  <m:r>
                    <w:rPr>
                      <w:rFonts w:hint="default" w:ascii="Cambria Math" w:hAnsi="Cambria Math" w:cs="Times New Roman"/>
                      <w:color w:val="000000" w:themeColor="text1"/>
                      <w:sz w:val="24"/>
                      <w:szCs w:val="24"/>
                      <w14:textFill>
                        <w14:solidFill>
                          <w14:schemeClr w14:val="tx1"/>
                        </w14:solidFill>
                      </w14:textFill>
                    </w:rPr>
                    <m:t>C</m:t>
                  </m:r>
                  <m:ctrlPr>
                    <w:rPr>
                      <w:rFonts w:hint="default" w:ascii="Cambria Math" w:hAnsi="Cambria Math" w:cs="Times New Roman"/>
                      <w:i/>
                      <w:color w:val="000000" w:themeColor="text1"/>
                      <w:sz w:val="24"/>
                      <w:szCs w:val="24"/>
                      <w14:textFill>
                        <w14:solidFill>
                          <w14:schemeClr w14:val="tx1"/>
                        </w14:solidFill>
                      </w14:textFill>
                    </w:rPr>
                  </m:ctrlPr>
                </m:e>
                <m:sub>
                  <m:r>
                    <w:rPr>
                      <w:rFonts w:hint="default" w:ascii="Cambria Math" w:hAnsi="Cambria Math" w:cs="Times New Roman"/>
                      <w:color w:val="000000" w:themeColor="text1"/>
                      <w:sz w:val="24"/>
                      <w:szCs w:val="24"/>
                      <w14:textFill>
                        <w14:solidFill>
                          <w14:schemeClr w14:val="tx1"/>
                        </w14:solidFill>
                      </w14:textFill>
                    </w:rPr>
                    <m:t>0i</m:t>
                  </m:r>
                  <m:ctrlPr>
                    <w:rPr>
                      <w:rFonts w:hint="default" w:ascii="Cambria Math" w:hAnsi="Cambria Math" w:cs="Times New Roman"/>
                      <w:i/>
                      <w:color w:val="000000" w:themeColor="text1"/>
                      <w:sz w:val="24"/>
                      <w:szCs w:val="24"/>
                      <w14:textFill>
                        <w14:solidFill>
                          <w14:schemeClr w14:val="tx1"/>
                        </w14:solidFill>
                      </w14:textFill>
                    </w:rPr>
                  </m:ctrlPr>
                </m:sub>
              </m:sSub>
              <m:ctrlPr>
                <w:rPr>
                  <w:rFonts w:hint="default" w:ascii="Cambria Math" w:hAnsi="Cambria Math" w:cs="Times New Roman"/>
                  <w:color w:val="000000" w:themeColor="text1"/>
                  <w:sz w:val="24"/>
                  <w:szCs w:val="24"/>
                  <w14:textFill>
                    <w14:solidFill>
                      <w14:schemeClr w14:val="tx1"/>
                    </w14:solidFill>
                  </w14:textFill>
                </w:rPr>
              </m:ctrlPr>
            </m:den>
          </m:f>
          <m:r>
            <w:rPr>
              <w:rFonts w:hint="default" w:ascii="Cambria Math" w:hAnsi="Cambria Math" w:cs="Times New Roman"/>
              <w:color w:val="000000" w:themeColor="text1"/>
              <w:sz w:val="24"/>
              <w:szCs w:val="24"/>
              <w14:textFill>
                <w14:solidFill>
                  <w14:schemeClr w14:val="tx1"/>
                </w14:solidFill>
              </w14:textFill>
            </w:rPr>
            <m:t>×100%</m:t>
          </m:r>
        </m:oMath>
      </m:oMathPara>
    </w:p>
    <w:p>
      <w:pPr>
        <w:spacing w:line="480" w:lineRule="exact"/>
        <w:ind w:firstLine="422" w:firstLineChars="176"/>
        <w:jc w:val="left"/>
        <w:rPr>
          <w:rFonts w:hint="default" w:ascii="Times New Roman" w:hAnsi="Times New Roman" w:cs="Times New Roman"/>
          <w:color w:val="000000" w:themeColor="text1"/>
          <w:sz w:val="24"/>
          <w:szCs w:val="24"/>
          <w14:textFill>
            <w14:solidFill>
              <w14:schemeClr w14:val="tx1"/>
            </w14:solidFill>
          </w14:textFill>
        </w:rPr>
      </w:pPr>
      <m:oMath>
        <m:sSub>
          <m:sSubPr>
            <m:ctrlPr>
              <w:rPr>
                <w:rFonts w:hint="default" w:ascii="Cambria Math" w:hAnsi="Cambria Math" w:cs="Times New Roman"/>
                <w:color w:val="000000" w:themeColor="text1"/>
                <w:sz w:val="24"/>
                <w:szCs w:val="24"/>
                <w14:textFill>
                  <w14:solidFill>
                    <w14:schemeClr w14:val="tx1"/>
                  </w14:solidFill>
                </w14:textFill>
              </w:rPr>
            </m:ctrlPr>
          </m:sSubPr>
          <m:e>
            <m:r>
              <w:rPr>
                <w:rFonts w:hint="default" w:ascii="Cambria Math" w:hAnsi="Cambria Math" w:cs="Times New Roman"/>
                <w:color w:val="000000" w:themeColor="text1"/>
                <w:sz w:val="24"/>
                <w:szCs w:val="24"/>
                <w14:textFill>
                  <w14:solidFill>
                    <w14:schemeClr w14:val="tx1"/>
                  </w14:solidFill>
                </w14:textFill>
              </w:rPr>
              <m:t>P</m:t>
            </m:r>
            <m:ctrlPr>
              <w:rPr>
                <w:rFonts w:hint="default" w:ascii="Cambria Math" w:hAnsi="Cambria Math" w:cs="Times New Roman"/>
                <w:color w:val="000000" w:themeColor="text1"/>
                <w:sz w:val="24"/>
                <w:szCs w:val="24"/>
                <w14:textFill>
                  <w14:solidFill>
                    <w14:schemeClr w14:val="tx1"/>
                  </w14:solidFill>
                </w14:textFill>
              </w:rPr>
            </m:ctrlPr>
          </m:e>
          <m:sub>
            <m:r>
              <w:rPr>
                <w:rFonts w:hint="default" w:ascii="Cambria Math" w:hAnsi="Cambria Math" w:cs="Times New Roman"/>
                <w:color w:val="000000" w:themeColor="text1"/>
                <w:sz w:val="24"/>
                <w:szCs w:val="24"/>
                <w14:textFill>
                  <w14:solidFill>
                    <w14:schemeClr w14:val="tx1"/>
                  </w14:solidFill>
                </w14:textFill>
              </w:rPr>
              <m:t>i</m:t>
            </m:r>
            <m:ctrlPr>
              <w:rPr>
                <w:rFonts w:hint="default" w:ascii="Cambria Math" w:hAnsi="Cambria Math" w:cs="Times New Roman"/>
                <w:color w:val="000000" w:themeColor="text1"/>
                <w:sz w:val="24"/>
                <w:szCs w:val="24"/>
                <w14:textFill>
                  <w14:solidFill>
                    <w14:schemeClr w14:val="tx1"/>
                  </w14:solidFill>
                </w14:textFill>
              </w:rPr>
            </m:ctrlPr>
          </m:sub>
        </m:sSub>
      </m:oMath>
      <w:r>
        <w:rPr>
          <w:rFonts w:hint="default" w:ascii="Times New Roman" w:hAnsi="Times New Roman" w:cs="Times New Roman"/>
          <w:color w:val="000000" w:themeColor="text1"/>
          <w:sz w:val="24"/>
          <w:szCs w:val="24"/>
          <w14:textFill>
            <w14:solidFill>
              <w14:schemeClr w14:val="tx1"/>
            </w14:solidFill>
          </w14:textFill>
        </w:rPr>
        <w:t xml:space="preserve"> ——第i个污染物的最大地面空气质量浓度 占标率，%；</w:t>
      </w:r>
    </w:p>
    <w:p>
      <w:pPr>
        <w:spacing w:line="480" w:lineRule="exact"/>
        <w:ind w:firstLine="422" w:firstLineChars="176"/>
        <w:jc w:val="left"/>
        <w:rPr>
          <w:rFonts w:hint="default" w:ascii="Times New Roman" w:hAnsi="Times New Roman" w:cs="Times New Roman"/>
          <w:color w:val="000000" w:themeColor="text1"/>
          <w:sz w:val="24"/>
          <w:szCs w:val="24"/>
          <w14:textFill>
            <w14:solidFill>
              <w14:schemeClr w14:val="tx1"/>
            </w14:solidFill>
          </w14:textFill>
        </w:rPr>
      </w:pPr>
      <m:oMath>
        <m:sSub>
          <m:sSubPr>
            <m:ctrlPr>
              <w:rPr>
                <w:rFonts w:hint="default" w:ascii="Cambria Math" w:hAnsi="Cambria Math" w:cs="Times New Roman"/>
                <w:i/>
                <w:color w:val="000000" w:themeColor="text1"/>
                <w:sz w:val="24"/>
                <w:szCs w:val="24"/>
                <w14:textFill>
                  <w14:solidFill>
                    <w14:schemeClr w14:val="tx1"/>
                  </w14:solidFill>
                </w14:textFill>
              </w:rPr>
            </m:ctrlPr>
          </m:sSubPr>
          <m:e>
            <m:r>
              <w:rPr>
                <w:rFonts w:hint="default" w:ascii="Cambria Math" w:hAnsi="Cambria Math" w:cs="Times New Roman"/>
                <w:color w:val="000000" w:themeColor="text1"/>
                <w:sz w:val="24"/>
                <w:szCs w:val="24"/>
                <w14:textFill>
                  <w14:solidFill>
                    <w14:schemeClr w14:val="tx1"/>
                  </w14:solidFill>
                </w14:textFill>
              </w:rPr>
              <m:t>C</m:t>
            </m:r>
            <m:ctrlPr>
              <w:rPr>
                <w:rFonts w:hint="default" w:ascii="Cambria Math" w:hAnsi="Cambria Math" w:cs="Times New Roman"/>
                <w:i/>
                <w:color w:val="000000" w:themeColor="text1"/>
                <w:sz w:val="24"/>
                <w:szCs w:val="24"/>
                <w14:textFill>
                  <w14:solidFill>
                    <w14:schemeClr w14:val="tx1"/>
                  </w14:solidFill>
                </w14:textFill>
              </w:rPr>
            </m:ctrlPr>
          </m:e>
          <m:sub>
            <m:r>
              <w:rPr>
                <w:rFonts w:hint="default" w:ascii="Cambria Math" w:hAnsi="Cambria Math" w:cs="Times New Roman"/>
                <w:color w:val="000000" w:themeColor="text1"/>
                <w:sz w:val="24"/>
                <w:szCs w:val="24"/>
                <w14:textFill>
                  <w14:solidFill>
                    <w14:schemeClr w14:val="tx1"/>
                  </w14:solidFill>
                </w14:textFill>
              </w:rPr>
              <m:t>i</m:t>
            </m:r>
            <m:ctrlPr>
              <w:rPr>
                <w:rFonts w:hint="default" w:ascii="Cambria Math" w:hAnsi="Cambria Math" w:cs="Times New Roman"/>
                <w:i/>
                <w:color w:val="000000" w:themeColor="text1"/>
                <w:sz w:val="24"/>
                <w:szCs w:val="24"/>
                <w14:textFill>
                  <w14:solidFill>
                    <w14:schemeClr w14:val="tx1"/>
                  </w14:solidFill>
                </w14:textFill>
              </w:rPr>
            </m:ctrlPr>
          </m:sub>
        </m:sSub>
      </m:oMath>
      <w:r>
        <w:rPr>
          <w:rFonts w:hint="default" w:ascii="Times New Roman" w:hAnsi="Times New Roman" w:cs="Times New Roman"/>
          <w:color w:val="000000" w:themeColor="text1"/>
          <w:sz w:val="24"/>
          <w:szCs w:val="24"/>
          <w14:textFill>
            <w14:solidFill>
              <w14:schemeClr w14:val="tx1"/>
            </w14:solidFill>
          </w14:textFill>
        </w:rPr>
        <w:t>——采用估算模型计算出的第i个污染物的最大1h地面空气质量浓度，μg/m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pPr>
        <w:spacing w:line="480" w:lineRule="exact"/>
        <w:ind w:firstLine="422" w:firstLineChars="176"/>
        <w:jc w:val="left"/>
        <w:rPr>
          <w:rFonts w:hint="default" w:ascii="Times New Roman" w:hAnsi="Times New Roman" w:cs="Times New Roman"/>
          <w:color w:val="000000" w:themeColor="text1"/>
          <w:sz w:val="24"/>
          <w:szCs w:val="24"/>
          <w14:textFill>
            <w14:solidFill>
              <w14:schemeClr w14:val="tx1"/>
            </w14:solidFill>
          </w14:textFill>
        </w:rPr>
      </w:pPr>
      <m:oMath>
        <m:sSub>
          <m:sSubPr>
            <m:ctrlPr>
              <w:rPr>
                <w:rFonts w:hint="default" w:ascii="Cambria Math" w:hAnsi="Cambria Math" w:cs="Times New Roman"/>
                <w:i/>
                <w:color w:val="000000" w:themeColor="text1"/>
                <w:sz w:val="24"/>
                <w:szCs w:val="24"/>
                <w14:textFill>
                  <w14:solidFill>
                    <w14:schemeClr w14:val="tx1"/>
                  </w14:solidFill>
                </w14:textFill>
              </w:rPr>
            </m:ctrlPr>
          </m:sSubPr>
          <m:e>
            <m:r>
              <w:rPr>
                <w:rFonts w:hint="default" w:ascii="Cambria Math" w:hAnsi="Cambria Math" w:cs="Times New Roman"/>
                <w:color w:val="000000" w:themeColor="text1"/>
                <w:sz w:val="24"/>
                <w:szCs w:val="24"/>
                <w14:textFill>
                  <w14:solidFill>
                    <w14:schemeClr w14:val="tx1"/>
                  </w14:solidFill>
                </w14:textFill>
              </w:rPr>
              <m:t>C</m:t>
            </m:r>
            <m:ctrlPr>
              <w:rPr>
                <w:rFonts w:hint="default" w:ascii="Cambria Math" w:hAnsi="Cambria Math" w:cs="Times New Roman"/>
                <w:i/>
                <w:color w:val="000000" w:themeColor="text1"/>
                <w:sz w:val="24"/>
                <w:szCs w:val="24"/>
                <w14:textFill>
                  <w14:solidFill>
                    <w14:schemeClr w14:val="tx1"/>
                  </w14:solidFill>
                </w14:textFill>
              </w:rPr>
            </m:ctrlPr>
          </m:e>
          <m:sub>
            <m:r>
              <w:rPr>
                <w:rFonts w:hint="default" w:ascii="Cambria Math" w:hAnsi="Cambria Math" w:cs="Times New Roman"/>
                <w:color w:val="000000" w:themeColor="text1"/>
                <w:sz w:val="24"/>
                <w:szCs w:val="24"/>
                <w14:textFill>
                  <w14:solidFill>
                    <w14:schemeClr w14:val="tx1"/>
                  </w14:solidFill>
                </w14:textFill>
              </w:rPr>
              <m:t>0i</m:t>
            </m:r>
            <m:ctrlPr>
              <w:rPr>
                <w:rFonts w:hint="default" w:ascii="Cambria Math" w:hAnsi="Cambria Math" w:cs="Times New Roman"/>
                <w:i/>
                <w:color w:val="000000" w:themeColor="text1"/>
                <w:sz w:val="24"/>
                <w:szCs w:val="24"/>
                <w14:textFill>
                  <w14:solidFill>
                    <w14:schemeClr w14:val="tx1"/>
                  </w14:solidFill>
                </w14:textFill>
              </w:rPr>
            </m:ctrlPr>
          </m:sub>
        </m:sSub>
      </m:oMath>
      <w:r>
        <w:rPr>
          <w:rFonts w:hint="default" w:ascii="Times New Roman" w:hAnsi="Times New Roman" w:cs="Times New Roman"/>
          <w:color w:val="000000" w:themeColor="text1"/>
          <w:sz w:val="24"/>
          <w:szCs w:val="24"/>
          <w14:textFill>
            <w14:solidFill>
              <w14:schemeClr w14:val="tx1"/>
            </w14:solidFill>
          </w14:textFill>
        </w:rPr>
        <w:t>——第i个污染物的环境空气质量浓度标准，μg/m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pPr>
        <w:spacing w:line="480" w:lineRule="exact"/>
        <w:ind w:firstLine="422" w:firstLineChars="176"/>
        <w:jc w:val="left"/>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评价等级判别表</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eastAsia="黑体"/>
          <w:b/>
          <w:bCs/>
          <w:color w:val="000000" w:themeColor="text1"/>
          <w:szCs w:val="21"/>
          <w14:textFill>
            <w14:solidFill>
              <w14:schemeClr w14:val="tx1"/>
            </w14:solidFill>
          </w14:textFill>
        </w:rPr>
      </w:pPr>
      <w:r>
        <w:rPr>
          <w:color w:val="000000" w:themeColor="text1"/>
          <w:sz w:val="24"/>
          <w:szCs w:val="24"/>
          <w14:textFill>
            <w14:solidFill>
              <w14:schemeClr w14:val="tx1"/>
            </w14:solidFill>
          </w14:textFill>
        </w:rPr>
        <w:t>评价工作等级按表1.</w:t>
      </w:r>
      <w:r>
        <w:rPr>
          <w:rFonts w:hint="eastAsia" w:eastAsia="宋体"/>
          <w:color w:val="000000" w:themeColor="text1"/>
          <w:sz w:val="24"/>
          <w:szCs w:val="24"/>
          <w:lang w:val="en-US" w:eastAsia="zh-CN"/>
          <w14:textFill>
            <w14:solidFill>
              <w14:schemeClr w14:val="tx1"/>
            </w14:solidFill>
          </w14:textFill>
        </w:rPr>
        <w:t>6</w:t>
      </w:r>
      <w:r>
        <w:rPr>
          <w:color w:val="000000" w:themeColor="text1"/>
          <w:sz w:val="24"/>
          <w:szCs w:val="24"/>
          <w14:textFill>
            <w14:solidFill>
              <w14:schemeClr w14:val="tx1"/>
            </w14:solidFill>
          </w14:textFill>
        </w:rPr>
        <w:t>-1进行划分，如污染物数i大于1，取P值中最大者（Pmax）和其对应的D</w:t>
      </w:r>
      <w:r>
        <w:rPr>
          <w:color w:val="000000" w:themeColor="text1"/>
          <w:sz w:val="24"/>
          <w:szCs w:val="24"/>
          <w:vertAlign w:val="subscript"/>
          <w14:textFill>
            <w14:solidFill>
              <w14:schemeClr w14:val="tx1"/>
            </w14:solidFill>
          </w14:textFill>
        </w:rPr>
        <w:t>10%</w:t>
      </w:r>
      <w:r>
        <w:rPr>
          <w:color w:val="000000" w:themeColor="text1"/>
          <w:sz w:val="24"/>
          <w:szCs w:val="24"/>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表1.</w:t>
      </w:r>
      <w:r>
        <w:rPr>
          <w:rFonts w:hint="eastAsia" w:eastAsia="黑体" w:cs="Times New Roman"/>
          <w:color w:val="000000" w:themeColor="text1"/>
          <w:spacing w:val="0"/>
          <w:w w:val="100"/>
          <w:position w:val="0"/>
          <w:sz w:val="21"/>
          <w:szCs w:val="21"/>
          <w:lang w:val="en-US" w:eastAsia="zh-CN" w:bidi="zh-CN"/>
          <w14:textFill>
            <w14:solidFill>
              <w14:schemeClr w14:val="tx1"/>
            </w14:solidFill>
          </w14:textFill>
        </w:rPr>
        <w:t>6</w:t>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-1   大气环境评价工作等级判据</w:t>
      </w:r>
    </w:p>
    <w:tbl>
      <w:tblPr>
        <w:tblStyle w:val="21"/>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80"/>
        <w:gridCol w:w="63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 w:hRule="atLeast"/>
          <w:jc w:val="center"/>
        </w:trPr>
        <w:tc>
          <w:tcPr>
            <w:tcW w:w="2180" w:type="dxa"/>
            <w:noWrap w:val="0"/>
            <w:vAlign w:val="center"/>
          </w:tcPr>
          <w:p>
            <w:pPr>
              <w:tabs>
                <w:tab w:val="left" w:pos="1530"/>
              </w:tabs>
              <w:adjustRightInd w:val="0"/>
              <w:snapToGrid w:val="0"/>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评价工作等级</w:t>
            </w:r>
          </w:p>
        </w:tc>
        <w:tc>
          <w:tcPr>
            <w:tcW w:w="6342" w:type="dxa"/>
            <w:noWrap w:val="0"/>
            <w:vAlign w:val="center"/>
          </w:tcPr>
          <w:p>
            <w:pPr>
              <w:adjustRightInd w:val="0"/>
              <w:snapToGrid w:val="0"/>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评价工作分级判据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 w:hRule="atLeast"/>
          <w:jc w:val="center"/>
        </w:trPr>
        <w:tc>
          <w:tcPr>
            <w:tcW w:w="2180" w:type="dxa"/>
            <w:noWrap w:val="0"/>
            <w:vAlign w:val="center"/>
          </w:tcPr>
          <w:p>
            <w:pPr>
              <w:adjustRightInd w:val="0"/>
              <w:snapToGrid w:val="0"/>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一级评价</w:t>
            </w:r>
          </w:p>
        </w:tc>
        <w:tc>
          <w:tcPr>
            <w:tcW w:w="6342" w:type="dxa"/>
            <w:noWrap w:val="0"/>
            <w:vAlign w:val="center"/>
          </w:tcPr>
          <w:p>
            <w:pPr>
              <w:adjustRightInd w:val="0"/>
              <w:snapToGrid w:val="0"/>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w:t>
            </w:r>
            <w:r>
              <w:rPr>
                <w:color w:val="000000" w:themeColor="text1"/>
                <w:sz w:val="21"/>
                <w:szCs w:val="21"/>
                <w:vertAlign w:val="subscript"/>
                <w14:textFill>
                  <w14:solidFill>
                    <w14:schemeClr w14:val="tx1"/>
                  </w14:solidFill>
                </w14:textFill>
              </w:rPr>
              <w:t>max</w:t>
            </w:r>
            <w:r>
              <w:rPr>
                <w:color w:val="000000" w:themeColor="text1"/>
                <w:sz w:val="21"/>
                <w:szCs w:val="21"/>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 w:hRule="atLeast"/>
          <w:jc w:val="center"/>
        </w:trPr>
        <w:tc>
          <w:tcPr>
            <w:tcW w:w="2180" w:type="dxa"/>
            <w:noWrap w:val="0"/>
            <w:vAlign w:val="center"/>
          </w:tcPr>
          <w:p>
            <w:pPr>
              <w:adjustRightInd w:val="0"/>
              <w:snapToGrid w:val="0"/>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二级评价</w:t>
            </w:r>
          </w:p>
        </w:tc>
        <w:tc>
          <w:tcPr>
            <w:tcW w:w="6342" w:type="dxa"/>
            <w:noWrap w:val="0"/>
            <w:vAlign w:val="center"/>
          </w:tcPr>
          <w:p>
            <w:pPr>
              <w:adjustRightInd w:val="0"/>
              <w:snapToGrid w:val="0"/>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1%≤P</w:t>
            </w:r>
            <w:r>
              <w:rPr>
                <w:color w:val="000000" w:themeColor="text1"/>
                <w:sz w:val="21"/>
                <w:szCs w:val="21"/>
                <w:vertAlign w:val="subscript"/>
                <w14:textFill>
                  <w14:solidFill>
                    <w14:schemeClr w14:val="tx1"/>
                  </w14:solidFill>
                </w14:textFill>
              </w:rPr>
              <w:t>max</w:t>
            </w:r>
            <w:r>
              <w:rPr>
                <w:color w:val="000000" w:themeColor="text1"/>
                <w:sz w:val="21"/>
                <w:szCs w:val="21"/>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 w:hRule="atLeast"/>
          <w:jc w:val="center"/>
        </w:trPr>
        <w:tc>
          <w:tcPr>
            <w:tcW w:w="2180" w:type="dxa"/>
            <w:noWrap w:val="0"/>
            <w:vAlign w:val="center"/>
          </w:tcPr>
          <w:p>
            <w:pPr>
              <w:adjustRightInd w:val="0"/>
              <w:snapToGrid w:val="0"/>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三级评价</w:t>
            </w:r>
          </w:p>
        </w:tc>
        <w:tc>
          <w:tcPr>
            <w:tcW w:w="6342" w:type="dxa"/>
            <w:noWrap w:val="0"/>
            <w:vAlign w:val="center"/>
          </w:tcPr>
          <w:p>
            <w:pPr>
              <w:adjustRightInd w:val="0"/>
              <w:snapToGrid w:val="0"/>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w:t>
            </w:r>
            <w:r>
              <w:rPr>
                <w:color w:val="000000" w:themeColor="text1"/>
                <w:sz w:val="21"/>
                <w:szCs w:val="21"/>
                <w:vertAlign w:val="subscript"/>
                <w14:textFill>
                  <w14:solidFill>
                    <w14:schemeClr w14:val="tx1"/>
                  </w14:solidFill>
                </w14:textFill>
              </w:rPr>
              <w:t>max</w:t>
            </w:r>
            <w:r>
              <w:rPr>
                <w:color w:val="000000" w:themeColor="text1"/>
                <w:sz w:val="21"/>
                <w:szCs w:val="21"/>
                <w14:textFill>
                  <w14:solidFill>
                    <w14:schemeClr w14:val="tx1"/>
                  </w14:solidFill>
                </w14:textFill>
              </w:rPr>
              <w:t>＜1%</w:t>
            </w:r>
          </w:p>
        </w:tc>
      </w:tr>
    </w:tbl>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jc w:val="left"/>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污染物评价标准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污染物评价标准和来源见下表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eastAsia="宋体"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w:t>
      </w:r>
      <w:r>
        <w:rPr>
          <w:rFonts w:hint="eastAsia" w:ascii="Times New Roman" w:hAnsi="Times New Roman" w:eastAsia="黑体" w:cs="Times New Roman"/>
          <w:color w:val="000000" w:themeColor="text1"/>
          <w:spacing w:val="0"/>
          <w:w w:val="100"/>
          <w:position w:val="0"/>
          <w:sz w:val="21"/>
          <w:szCs w:val="21"/>
          <w:lang w:val="en-US" w:eastAsia="zh-CN" w:bidi="zh-CN"/>
          <w14:textFill>
            <w14:solidFill>
              <w14:schemeClr w14:val="tx1"/>
            </w14:solidFill>
          </w14:textFill>
        </w:rPr>
        <w:t>1.</w:t>
      </w:r>
      <w:r>
        <w:rPr>
          <w:rFonts w:hint="eastAsia" w:eastAsia="黑体" w:cs="Times New Roman"/>
          <w:color w:val="000000" w:themeColor="text1"/>
          <w:spacing w:val="0"/>
          <w:w w:val="100"/>
          <w:position w:val="0"/>
          <w:sz w:val="21"/>
          <w:szCs w:val="21"/>
          <w:lang w:val="en-US" w:eastAsia="zh-CN" w:bidi="zh-CN"/>
          <w14:textFill>
            <w14:solidFill>
              <w14:schemeClr w14:val="tx1"/>
            </w14:solidFill>
          </w14:textFill>
        </w:rPr>
        <w:t>6</w:t>
      </w:r>
      <w:r>
        <w:rPr>
          <w:rFonts w:hint="eastAsia" w:ascii="Times New Roman" w:hAnsi="Times New Roman" w:eastAsia="黑体" w:cs="Times New Roman"/>
          <w:color w:val="000000" w:themeColor="text1"/>
          <w:spacing w:val="0"/>
          <w:w w:val="100"/>
          <w:position w:val="0"/>
          <w:sz w:val="21"/>
          <w:szCs w:val="21"/>
          <w:lang w:val="en-US" w:eastAsia="zh-CN" w:bidi="zh-CN"/>
          <w14:textFill>
            <w14:solidFill>
              <w14:schemeClr w14:val="tx1"/>
            </w14:solidFill>
          </w14:textFill>
        </w:rPr>
        <w:t>-2</w:t>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 xml:space="preserve">  污染物评价标准</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649"/>
        <w:gridCol w:w="1823"/>
        <w:gridCol w:w="1633"/>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污染物名称</w:t>
            </w:r>
          </w:p>
        </w:tc>
        <w:tc>
          <w:tcPr>
            <w:tcW w:w="164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功能区</w:t>
            </w:r>
          </w:p>
        </w:tc>
        <w:tc>
          <w:tcPr>
            <w:tcW w:w="182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取值时间</w:t>
            </w:r>
          </w:p>
        </w:tc>
        <w:tc>
          <w:tcPr>
            <w:tcW w:w="163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bookmarkStart w:id="38" w:name="OLE_LINK4"/>
            <w:r>
              <w:rPr>
                <w:rFonts w:hint="default" w:ascii="Times New Roman" w:hAnsi="Times New Roman" w:cs="Times New Roman"/>
                <w:color w:val="000000" w:themeColor="text1"/>
                <w:sz w:val="21"/>
                <w:szCs w:val="21"/>
                <w14:textFill>
                  <w14:solidFill>
                    <w14:schemeClr w14:val="tx1"/>
                  </w14:solidFill>
                </w14:textFill>
              </w:rPr>
              <w:t>标准值</w:t>
            </w:r>
            <w:bookmarkEnd w:id="38"/>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bookmarkStart w:id="39" w:name="OLE_LINK15"/>
            <w:bookmarkStart w:id="40" w:name="OLE_LINK14"/>
            <w:r>
              <w:rPr>
                <w:rFonts w:hint="default" w:ascii="Times New Roman" w:hAnsi="Times New Roman" w:cs="Times New Roman"/>
                <w:color w:val="000000" w:themeColor="text1"/>
                <w:sz w:val="21"/>
                <w:szCs w:val="21"/>
                <w14:textFill>
                  <w14:solidFill>
                    <w14:schemeClr w14:val="tx1"/>
                  </w14:solidFill>
                </w14:textFill>
              </w:rPr>
              <w:t>(μg/m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bookmarkEnd w:id="39"/>
            <w:bookmarkEnd w:id="40"/>
          </w:p>
        </w:tc>
        <w:tc>
          <w:tcPr>
            <w:tcW w:w="18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58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64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二类限区</w:t>
            </w:r>
          </w:p>
        </w:tc>
        <w:tc>
          <w:tcPr>
            <w:tcW w:w="182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一小时</w:t>
            </w:r>
          </w:p>
        </w:tc>
        <w:tc>
          <w:tcPr>
            <w:tcW w:w="163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500.0</w:t>
            </w:r>
          </w:p>
        </w:tc>
        <w:tc>
          <w:tcPr>
            <w:tcW w:w="18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 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58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p>
        </w:tc>
        <w:tc>
          <w:tcPr>
            <w:tcW w:w="164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二类限区</w:t>
            </w:r>
          </w:p>
        </w:tc>
        <w:tc>
          <w:tcPr>
            <w:tcW w:w="182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日均</w:t>
            </w:r>
          </w:p>
        </w:tc>
        <w:tc>
          <w:tcPr>
            <w:tcW w:w="163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150.0</w:t>
            </w:r>
          </w:p>
        </w:tc>
        <w:tc>
          <w:tcPr>
            <w:tcW w:w="18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 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58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NOx</w:t>
            </w:r>
          </w:p>
        </w:tc>
        <w:tc>
          <w:tcPr>
            <w:tcW w:w="164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二类限区</w:t>
            </w:r>
          </w:p>
        </w:tc>
        <w:tc>
          <w:tcPr>
            <w:tcW w:w="182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一小时</w:t>
            </w:r>
          </w:p>
        </w:tc>
        <w:tc>
          <w:tcPr>
            <w:tcW w:w="163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250.0</w:t>
            </w:r>
          </w:p>
        </w:tc>
        <w:tc>
          <w:tcPr>
            <w:tcW w:w="18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 3095-2012</w:t>
            </w:r>
          </w:p>
        </w:tc>
      </w:tr>
    </w:tbl>
    <w:p>
      <w:pPr>
        <w:keepNext w:val="0"/>
        <w:keepLines w:val="0"/>
        <w:pageBreakBefore w:val="0"/>
        <w:widowControl w:val="0"/>
        <w:kinsoku/>
        <w:wordWrap/>
        <w:overflowPunct w:val="0"/>
        <w:topLinePunct w:val="0"/>
        <w:autoSpaceDE/>
        <w:autoSpaceDN/>
        <w:bidi w:val="0"/>
        <w:adjustRightInd/>
        <w:snapToGrid/>
        <w:spacing w:before="313" w:beforeLines="100" w:line="360" w:lineRule="auto"/>
        <w:ind w:firstLine="480" w:firstLineChars="200"/>
        <w:jc w:val="left"/>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本工程估算模式各种计算参数及计算结果，见表1.</w:t>
      </w:r>
      <w:r>
        <w:rPr>
          <w:rFonts w:hint="eastAsia" w:eastAsia="宋体"/>
          <w:color w:val="000000" w:themeColor="text1"/>
          <w:sz w:val="24"/>
          <w:szCs w:val="24"/>
          <w:lang w:val="en-US" w:eastAsia="zh-CN"/>
          <w14:textFill>
            <w14:solidFill>
              <w14:schemeClr w14:val="tx1"/>
            </w14:solidFill>
          </w14:textFill>
        </w:rPr>
        <w:t>6</w:t>
      </w:r>
      <w:r>
        <w:rPr>
          <w:color w:val="000000" w:themeColor="text1"/>
          <w:sz w:val="24"/>
          <w:szCs w:val="24"/>
          <w14:textFill>
            <w14:solidFill>
              <w14:schemeClr w14:val="tx1"/>
            </w14:solidFill>
          </w14:textFill>
        </w:rPr>
        <w:t>-3。</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表1.</w:t>
      </w:r>
      <w:r>
        <w:rPr>
          <w:rFonts w:hint="eastAsia" w:eastAsia="黑体" w:cs="Times New Roman"/>
          <w:color w:val="000000" w:themeColor="text1"/>
          <w:spacing w:val="0"/>
          <w:w w:val="100"/>
          <w:position w:val="0"/>
          <w:sz w:val="21"/>
          <w:szCs w:val="21"/>
          <w:lang w:val="en-US" w:eastAsia="zh-CN" w:bidi="zh-CN"/>
          <w14:textFill>
            <w14:solidFill>
              <w14:schemeClr w14:val="tx1"/>
            </w14:solidFill>
          </w14:textFill>
        </w:rPr>
        <w:t>6</w:t>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w:t>
      </w:r>
      <w:r>
        <w:rPr>
          <w:rFonts w:hint="eastAsia" w:eastAsia="黑体" w:cs="Times New Roman"/>
          <w:color w:val="000000" w:themeColor="text1"/>
          <w:spacing w:val="0"/>
          <w:w w:val="100"/>
          <w:position w:val="0"/>
          <w:sz w:val="21"/>
          <w:szCs w:val="21"/>
          <w:lang w:val="en-US" w:eastAsia="zh-CN" w:bidi="zh-CN"/>
          <w14:textFill>
            <w14:solidFill>
              <w14:schemeClr w14:val="tx1"/>
            </w14:solidFill>
          </w14:textFill>
        </w:rPr>
        <w:t>3</w:t>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 xml:space="preserve">    估算模式计算参数一览表</w:t>
      </w:r>
    </w:p>
    <w:tbl>
      <w:tblPr>
        <w:tblStyle w:val="2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2"/>
        <w:gridCol w:w="2344"/>
        <w:gridCol w:w="4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4336"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参数</w:t>
            </w:r>
          </w:p>
        </w:tc>
        <w:tc>
          <w:tcPr>
            <w:tcW w:w="41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992"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城市农村/选项</w:t>
            </w:r>
          </w:p>
        </w:tc>
        <w:tc>
          <w:tcPr>
            <w:tcW w:w="234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城市/农村</w:t>
            </w:r>
          </w:p>
        </w:tc>
        <w:tc>
          <w:tcPr>
            <w:tcW w:w="41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1992"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p>
        </w:tc>
        <w:tc>
          <w:tcPr>
            <w:tcW w:w="234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人口数(城市人口数)</w:t>
            </w:r>
          </w:p>
        </w:tc>
        <w:tc>
          <w:tcPr>
            <w:tcW w:w="41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4336"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最高环境温度</w:t>
            </w:r>
          </w:p>
        </w:tc>
        <w:tc>
          <w:tcPr>
            <w:tcW w:w="41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4336"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最低环境温度</w:t>
            </w:r>
          </w:p>
        </w:tc>
        <w:tc>
          <w:tcPr>
            <w:tcW w:w="41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-31.4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4336"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土地利用类型</w:t>
            </w:r>
          </w:p>
        </w:tc>
        <w:tc>
          <w:tcPr>
            <w:tcW w:w="41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荒漠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4336"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区域湿度条件</w:t>
            </w:r>
          </w:p>
        </w:tc>
        <w:tc>
          <w:tcPr>
            <w:tcW w:w="41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992"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是否考虑地形</w:t>
            </w:r>
          </w:p>
        </w:tc>
        <w:tc>
          <w:tcPr>
            <w:tcW w:w="234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考虑地形</w:t>
            </w:r>
          </w:p>
        </w:tc>
        <w:tc>
          <w:tcPr>
            <w:tcW w:w="41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1992"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p>
        </w:tc>
        <w:tc>
          <w:tcPr>
            <w:tcW w:w="234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地形数据分辨率(m)</w:t>
            </w:r>
          </w:p>
        </w:tc>
        <w:tc>
          <w:tcPr>
            <w:tcW w:w="41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992"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是否考虑岸线熏烟</w:t>
            </w:r>
          </w:p>
        </w:tc>
        <w:tc>
          <w:tcPr>
            <w:tcW w:w="234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考虑岸线熏烟</w:t>
            </w:r>
          </w:p>
        </w:tc>
        <w:tc>
          <w:tcPr>
            <w:tcW w:w="41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992"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p>
        </w:tc>
        <w:tc>
          <w:tcPr>
            <w:tcW w:w="234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岸线距离/km</w:t>
            </w:r>
          </w:p>
        </w:tc>
        <w:tc>
          <w:tcPr>
            <w:tcW w:w="41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1992"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p>
        </w:tc>
        <w:tc>
          <w:tcPr>
            <w:tcW w:w="234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岸线方向/</w:t>
            </w:r>
            <w:r>
              <w:rPr>
                <w:rFonts w:ascii="Times New Roman" w:hAnsi="Times New Roman" w:cs="Times New Roman"/>
                <w:color w:val="000000" w:themeColor="text1"/>
                <w:sz w:val="21"/>
                <w:szCs w:val="21"/>
                <w:vertAlign w:val="superscript"/>
                <w14:textFill>
                  <w14:solidFill>
                    <w14:schemeClr w14:val="tx1"/>
                  </w14:solidFill>
                </w14:textFill>
              </w:rPr>
              <w:t>o</w:t>
            </w:r>
          </w:p>
        </w:tc>
        <w:tc>
          <w:tcPr>
            <w:tcW w:w="418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before="313" w:beforeLines="100" w:line="360" w:lineRule="auto"/>
        <w:ind w:left="0" w:leftChars="0"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主要废气污染源排放参数见下表</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6</w:t>
      </w:r>
      <w:r>
        <w:rPr>
          <w:rFonts w:hint="eastAsia" w:ascii="Times New Roman" w:hAnsi="Times New Roman" w:cs="Times New Roman"/>
          <w:color w:val="000000" w:themeColor="text1"/>
          <w:sz w:val="24"/>
          <w:szCs w:val="24"/>
          <w:lang w:val="en-US" w:eastAsia="zh-CN"/>
          <w14:textFill>
            <w14:solidFill>
              <w14:schemeClr w14:val="tx1"/>
            </w14:solidFill>
          </w14:textFill>
        </w:rPr>
        <w:t>-4。</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default"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default"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w:t>
      </w:r>
      <w:r>
        <w:rPr>
          <w:rFonts w:hint="default" w:ascii="Times New Roman" w:hAnsi="Times New Roman" w:eastAsia="黑体" w:cs="Times New Roman"/>
          <w:color w:val="000000" w:themeColor="text1"/>
          <w:spacing w:val="0"/>
          <w:w w:val="100"/>
          <w:position w:val="0"/>
          <w:sz w:val="21"/>
          <w:szCs w:val="21"/>
          <w:lang w:val="en-US" w:eastAsia="zh-CN" w:bidi="zh-CN"/>
          <w14:textFill>
            <w14:solidFill>
              <w14:schemeClr w14:val="tx1"/>
            </w14:solidFill>
          </w14:textFill>
        </w:rPr>
        <w:t>1.</w:t>
      </w:r>
      <w:r>
        <w:rPr>
          <w:rFonts w:hint="eastAsia" w:eastAsia="黑体" w:cs="Times New Roman"/>
          <w:color w:val="000000" w:themeColor="text1"/>
          <w:spacing w:val="0"/>
          <w:w w:val="100"/>
          <w:position w:val="0"/>
          <w:sz w:val="21"/>
          <w:szCs w:val="21"/>
          <w:lang w:val="en-US" w:eastAsia="zh-CN" w:bidi="zh-CN"/>
          <w14:textFill>
            <w14:solidFill>
              <w14:schemeClr w14:val="tx1"/>
            </w14:solidFill>
          </w14:textFill>
        </w:rPr>
        <w:t>6</w:t>
      </w:r>
      <w:r>
        <w:rPr>
          <w:rFonts w:hint="eastAsia" w:ascii="Times New Roman" w:hAnsi="Times New Roman" w:eastAsia="黑体" w:cs="Times New Roman"/>
          <w:color w:val="000000" w:themeColor="text1"/>
          <w:spacing w:val="0"/>
          <w:w w:val="100"/>
          <w:position w:val="0"/>
          <w:sz w:val="21"/>
          <w:szCs w:val="21"/>
          <w:lang w:val="en-US" w:eastAsia="zh-CN" w:bidi="zh-CN"/>
          <w14:textFill>
            <w14:solidFill>
              <w14:schemeClr w14:val="tx1"/>
            </w14:solidFill>
          </w14:textFill>
        </w:rPr>
        <w:t>-4</w:t>
      </w:r>
      <w:r>
        <w:rPr>
          <w:rFonts w:hint="default"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 xml:space="preserve">  主要废气污染源参数一览表（点源）</w:t>
      </w:r>
    </w:p>
    <w:tbl>
      <w:tblPr>
        <w:tblStyle w:val="22"/>
        <w:tblW w:w="8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93"/>
        <w:gridCol w:w="550"/>
        <w:gridCol w:w="573"/>
        <w:gridCol w:w="641"/>
        <w:gridCol w:w="676"/>
        <w:gridCol w:w="775"/>
        <w:gridCol w:w="962"/>
        <w:gridCol w:w="844"/>
        <w:gridCol w:w="934"/>
        <w:gridCol w:w="805"/>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793" w:type="dxa"/>
            <w:vMerge w:val="restar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污染源名称</w:t>
            </w:r>
          </w:p>
        </w:tc>
        <w:tc>
          <w:tcPr>
            <w:tcW w:w="1123" w:type="dxa"/>
            <w:gridSpan w:val="2"/>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坐标(</w:t>
            </w:r>
            <w:r>
              <w:rPr>
                <w:rFonts w:hint="default" w:ascii="Times New Roman" w:hAnsi="Times New Roman" w:cs="Times New Roman"/>
                <w:color w:val="000000" w:themeColor="text1"/>
                <w:sz w:val="21"/>
                <w:szCs w:val="21"/>
                <w:vertAlign w:val="superscript"/>
                <w14:textFill>
                  <w14:solidFill>
                    <w14:schemeClr w14:val="tx1"/>
                  </w14:solidFill>
                </w14:textFill>
              </w:rPr>
              <w:t>o</w:t>
            </w:r>
            <w:r>
              <w:rPr>
                <w:rFonts w:hint="default" w:ascii="Times New Roman" w:hAnsi="Times New Roman" w:cs="Times New Roman"/>
                <w:color w:val="000000" w:themeColor="text1"/>
                <w:sz w:val="21"/>
                <w:szCs w:val="21"/>
                <w14:textFill>
                  <w14:solidFill>
                    <w14:schemeClr w14:val="tx1"/>
                  </w14:solidFill>
                </w14:textFill>
              </w:rPr>
              <w:t>)</w:t>
            </w:r>
          </w:p>
        </w:tc>
        <w:tc>
          <w:tcPr>
            <w:tcW w:w="641" w:type="dxa"/>
            <w:vMerge w:val="restart"/>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坐标(</w:t>
            </w:r>
            <w:r>
              <w:rPr>
                <w:rFonts w:hint="default" w:ascii="Times New Roman" w:hAnsi="Times New Roman" w:cs="Times New Roman"/>
                <w:color w:val="000000" w:themeColor="text1"/>
                <w:sz w:val="21"/>
                <w:szCs w:val="21"/>
                <w:vertAlign w:val="superscript"/>
                <w14:textFill>
                  <w14:solidFill>
                    <w14:schemeClr w14:val="tx1"/>
                  </w14:solidFill>
                </w14:textFill>
              </w:rPr>
              <w:t>o</w:t>
            </w:r>
            <w:r>
              <w:rPr>
                <w:rFonts w:hint="default" w:ascii="Times New Roman" w:hAnsi="Times New Roman" w:cs="Times New Roman"/>
                <w:color w:val="000000" w:themeColor="text1"/>
                <w:sz w:val="21"/>
                <w:szCs w:val="21"/>
                <w14:textFill>
                  <w14:solidFill>
                    <w14:schemeClr w14:val="tx1"/>
                  </w14:solidFill>
                </w14:textFill>
              </w:rPr>
              <w:t>)</w:t>
            </w:r>
          </w:p>
        </w:tc>
        <w:tc>
          <w:tcPr>
            <w:tcW w:w="3257" w:type="dxa"/>
            <w:gridSpan w:val="4"/>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排气筒参数</w:t>
            </w:r>
          </w:p>
        </w:tc>
        <w:tc>
          <w:tcPr>
            <w:tcW w:w="934" w:type="dxa"/>
            <w:vMerge w:val="restart"/>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污染物名称</w:t>
            </w:r>
          </w:p>
        </w:tc>
        <w:tc>
          <w:tcPr>
            <w:tcW w:w="805" w:type="dxa"/>
            <w:vMerge w:val="restart"/>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02" w:type="dxa"/>
            <w:vMerge w:val="restart"/>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793" w:type="dxa"/>
            <w:vMerge w:val="continue"/>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50" w:type="dxa"/>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经度</w:t>
            </w:r>
          </w:p>
        </w:tc>
        <w:tc>
          <w:tcPr>
            <w:tcW w:w="573" w:type="dxa"/>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经度</w:t>
            </w:r>
          </w:p>
        </w:tc>
        <w:tc>
          <w:tcPr>
            <w:tcW w:w="641" w:type="dxa"/>
            <w:vMerge w:val="continue"/>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76" w:type="dxa"/>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高度</w:t>
            </w:r>
          </w:p>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775" w:type="dxa"/>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内径</w:t>
            </w:r>
          </w:p>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962" w:type="dxa"/>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温度</w:t>
            </w:r>
          </w:p>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p>
        </w:tc>
        <w:tc>
          <w:tcPr>
            <w:tcW w:w="844" w:type="dxa"/>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流速</w:t>
            </w:r>
          </w:p>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(m/s)</w:t>
            </w:r>
          </w:p>
        </w:tc>
        <w:tc>
          <w:tcPr>
            <w:tcW w:w="934" w:type="dxa"/>
            <w:vMerge w:val="continue"/>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805" w:type="dxa"/>
            <w:vMerge w:val="continue"/>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802" w:type="dxa"/>
            <w:vMerge w:val="continue"/>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51" w:hRule="atLeast"/>
        </w:trPr>
        <w:tc>
          <w:tcPr>
            <w:tcW w:w="793" w:type="dxa"/>
            <w:vMerge w:val="restar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烟囱</w:t>
            </w:r>
          </w:p>
        </w:tc>
        <w:tc>
          <w:tcPr>
            <w:tcW w:w="550" w:type="dxa"/>
            <w:vMerge w:val="restar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85.035556</w:t>
            </w:r>
          </w:p>
        </w:tc>
        <w:tc>
          <w:tcPr>
            <w:tcW w:w="573" w:type="dxa"/>
            <w:vMerge w:val="restar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45.58</w:t>
            </w:r>
          </w:p>
        </w:tc>
        <w:tc>
          <w:tcPr>
            <w:tcW w:w="641" w:type="dxa"/>
            <w:vMerge w:val="restar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270.0</w:t>
            </w:r>
          </w:p>
        </w:tc>
        <w:tc>
          <w:tcPr>
            <w:tcW w:w="676" w:type="dxa"/>
            <w:vMerge w:val="restar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80</w:t>
            </w:r>
            <w:r>
              <w:rPr>
                <w:color w:val="000000" w:themeColor="text1"/>
                <w:sz w:val="21"/>
                <w:szCs w:val="21"/>
                <w14:textFill>
                  <w14:solidFill>
                    <w14:schemeClr w14:val="tx1"/>
                  </w14:solidFill>
                </w14:textFill>
              </w:rPr>
              <w:t>.0</w:t>
            </w:r>
          </w:p>
        </w:tc>
        <w:tc>
          <w:tcPr>
            <w:tcW w:w="775" w:type="dxa"/>
            <w:vMerge w:val="restart"/>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4.5</w:t>
            </w:r>
          </w:p>
        </w:tc>
        <w:tc>
          <w:tcPr>
            <w:tcW w:w="962" w:type="dxa"/>
            <w:vMerge w:val="restar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cs="Times New Roman"/>
                <w:color w:val="000000" w:themeColor="text1"/>
                <w:sz w:val="21"/>
                <w:szCs w:val="21"/>
                <w14:textFill>
                  <w14:solidFill>
                    <w14:schemeClr w14:val="tx1"/>
                  </w14:solidFill>
                </w14:textFill>
              </w:rPr>
              <w:t>0.0</w:t>
            </w:r>
          </w:p>
        </w:tc>
        <w:tc>
          <w:tcPr>
            <w:tcW w:w="844" w:type="dxa"/>
            <w:vMerge w:val="restar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r>
              <w:rPr>
                <w:rFonts w:hint="default" w:ascii="Times New Roman" w:hAnsi="Times New Roman" w:cs="Times New Roman"/>
                <w:color w:val="000000" w:themeColor="text1"/>
                <w:sz w:val="21"/>
                <w:szCs w:val="21"/>
                <w14:textFill>
                  <w14:solidFill>
                    <w14:schemeClr w14:val="tx1"/>
                  </w14:solidFill>
                </w14:textFill>
              </w:rPr>
              <w:t>.0</w:t>
            </w:r>
          </w:p>
        </w:tc>
        <w:tc>
          <w:tcPr>
            <w:tcW w:w="934" w:type="dxa"/>
            <w:noWrap w:val="0"/>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NOx</w:t>
            </w:r>
          </w:p>
        </w:tc>
        <w:tc>
          <w:tcPr>
            <w:tcW w:w="805"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28.125</w:t>
            </w:r>
          </w:p>
        </w:tc>
        <w:tc>
          <w:tcPr>
            <w:tcW w:w="802" w:type="dxa"/>
            <w:vMerge w:val="restar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trPr>
        <w:tc>
          <w:tcPr>
            <w:tcW w:w="793"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550"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573"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641"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676"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775"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62"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844"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3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805"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51.32</w:t>
            </w:r>
          </w:p>
        </w:tc>
        <w:tc>
          <w:tcPr>
            <w:tcW w:w="802"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trPr>
        <w:tc>
          <w:tcPr>
            <w:tcW w:w="793"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550"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573"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641"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676"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775"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62"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844"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34"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PM</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10</w:t>
            </w:r>
          </w:p>
        </w:tc>
        <w:tc>
          <w:tcPr>
            <w:tcW w:w="805"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7.86</w:t>
            </w:r>
          </w:p>
        </w:tc>
        <w:tc>
          <w:tcPr>
            <w:tcW w:w="802"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jc w:val="left"/>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本项目所有污染源的正常排放的污染物的P</w:t>
      </w:r>
      <w:r>
        <w:rPr>
          <w:rFonts w:hint="default" w:ascii="Times New Roman" w:hAnsi="Times New Roman" w:cs="Times New Roman"/>
          <w:color w:val="000000" w:themeColor="text1"/>
          <w:sz w:val="24"/>
          <w:szCs w:val="24"/>
          <w:vertAlign w:val="subscript"/>
          <w14:textFill>
            <w14:solidFill>
              <w14:schemeClr w14:val="tx1"/>
            </w14:solidFill>
          </w14:textFill>
        </w:rPr>
        <w:t>max</w:t>
      </w:r>
      <w:r>
        <w:rPr>
          <w:rFonts w:hint="default" w:ascii="Times New Roman" w:hAnsi="Times New Roman" w:cs="Times New Roman"/>
          <w:color w:val="000000" w:themeColor="text1"/>
          <w:sz w:val="24"/>
          <w:szCs w:val="24"/>
          <w14:textFill>
            <w14:solidFill>
              <w14:schemeClr w14:val="tx1"/>
            </w14:solidFill>
          </w14:textFill>
        </w:rPr>
        <w:t>和D</w:t>
      </w:r>
      <w:r>
        <w:rPr>
          <w:rFonts w:hint="default" w:ascii="Times New Roman" w:hAnsi="Times New Roman" w:cs="Times New Roman"/>
          <w:color w:val="000000" w:themeColor="text1"/>
          <w:sz w:val="24"/>
          <w:szCs w:val="24"/>
          <w:vertAlign w:val="subscript"/>
          <w14:textFill>
            <w14:solidFill>
              <w14:schemeClr w14:val="tx1"/>
            </w14:solidFill>
          </w14:textFill>
        </w:rPr>
        <w:t>10%</w:t>
      </w:r>
      <w:r>
        <w:rPr>
          <w:rFonts w:hint="default" w:ascii="Times New Roman" w:hAnsi="Times New Roman" w:cs="Times New Roman"/>
          <w:color w:val="000000" w:themeColor="text1"/>
          <w:sz w:val="24"/>
          <w:szCs w:val="24"/>
          <w:vertAlign w:val="baseline"/>
          <w:lang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 xml:space="preserve">AER </w:t>
      </w:r>
      <w:r>
        <w:rPr>
          <w:rFonts w:hint="default" w:ascii="Times New Roman" w:hAnsi="Times New Roman" w:cs="Times New Roman"/>
          <w:color w:val="000000" w:themeColor="text1"/>
          <w:kern w:val="0"/>
          <w:sz w:val="24"/>
          <w:szCs w:val="24"/>
          <w14:textFill>
            <w14:solidFill>
              <w14:schemeClr w14:val="tx1"/>
            </w14:solidFill>
          </w14:textFill>
        </w:rPr>
        <w:t>SCREEN</w:t>
      </w:r>
      <w:r>
        <w:rPr>
          <w:rFonts w:hint="default" w:ascii="Times New Roman" w:hAnsi="Times New Roman" w:cs="Times New Roman"/>
          <w:color w:val="000000" w:themeColor="text1"/>
          <w:sz w:val="24"/>
          <w:szCs w:val="24"/>
          <w14:textFill>
            <w14:solidFill>
              <w14:schemeClr w14:val="tx1"/>
            </w14:solidFill>
          </w14:textFill>
        </w:rPr>
        <w:t>预测结果如</w:t>
      </w:r>
      <w:r>
        <w:rPr>
          <w:rFonts w:hint="default" w:ascii="Times New Roman" w:hAnsi="Times New Roman" w:cs="Times New Roman"/>
          <w:color w:val="000000" w:themeColor="text1"/>
          <w:sz w:val="24"/>
          <w:szCs w:val="24"/>
          <w:lang w:eastAsia="zh-CN"/>
          <w14:textFill>
            <w14:solidFill>
              <w14:schemeClr w14:val="tx1"/>
            </w14:solidFill>
          </w14:textFill>
        </w:rPr>
        <w:t>表</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6</w:t>
      </w: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lang w:val="en-US" w:eastAsia="zh-CN"/>
          <w14:textFill>
            <w14:solidFill>
              <w14:schemeClr w14:val="tx1"/>
            </w14:solidFill>
          </w14:textFill>
        </w:rPr>
        <w:t>所示</w:t>
      </w:r>
      <w:r>
        <w:rPr>
          <w:rFonts w:hint="default" w:ascii="Times New Roman" w:hAnsi="Times New Roman" w:cs="Times New Roman"/>
          <w:color w:val="000000" w:themeColor="text1"/>
          <w:sz w:val="24"/>
          <w:szCs w:val="24"/>
          <w:lang w:eastAsia="zh-CN"/>
          <w14:textFill>
            <w14:solidFill>
              <w14:schemeClr w14:val="tx1"/>
            </w14:solidFill>
          </w14:textFill>
        </w:rPr>
        <w:t>。</w:t>
      </w:r>
    </w:p>
    <w:p>
      <w:pPr>
        <w:pStyle w:val="134"/>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p>
    <w:p>
      <w:pPr>
        <w:pStyle w:val="134"/>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p>
    <w:p>
      <w:pPr>
        <w:pStyle w:val="134"/>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w:t>
      </w: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6</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 xml:space="preserve"> Pmax和D10%预测和计算结果一览表</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1"/>
        <w:gridCol w:w="1422"/>
        <w:gridCol w:w="1420"/>
        <w:gridCol w:w="142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trPr>
        <w:tc>
          <w:tcPr>
            <w:tcW w:w="142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污染源名称</w:t>
            </w:r>
          </w:p>
        </w:tc>
        <w:tc>
          <w:tcPr>
            <w:tcW w:w="142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评价因子</w:t>
            </w:r>
          </w:p>
        </w:tc>
        <w:tc>
          <w:tcPr>
            <w:tcW w:w="142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评价标准(μg/m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142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default" w:ascii="Times New Roman" w:hAnsi="Times New Roman" w:cs="Times New Roman"/>
                <w:color w:val="000000" w:themeColor="text1"/>
                <w:sz w:val="21"/>
                <w:szCs w:val="21"/>
                <w:vertAlign w:val="subscript"/>
                <w14:textFill>
                  <w14:solidFill>
                    <w14:schemeClr w14:val="tx1"/>
                  </w14:solidFill>
                </w14:textFill>
              </w:rPr>
              <w:t>max</w:t>
            </w:r>
            <w:r>
              <w:rPr>
                <w:rFonts w:hint="default" w:ascii="Times New Roman" w:hAnsi="Times New Roman" w:cs="Times New Roman"/>
                <w:color w:val="000000" w:themeColor="text1"/>
                <w:sz w:val="21"/>
                <w:szCs w:val="21"/>
                <w14:textFill>
                  <w14:solidFill>
                    <w14:schemeClr w14:val="tx1"/>
                  </w14:solidFill>
                </w14:textFill>
              </w:rPr>
              <w:t>(μg/m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142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w:t>
            </w:r>
            <w:r>
              <w:rPr>
                <w:rFonts w:hint="default" w:ascii="Times New Roman" w:hAnsi="Times New Roman" w:cs="Times New Roman"/>
                <w:color w:val="000000" w:themeColor="text1"/>
                <w:sz w:val="21"/>
                <w:szCs w:val="21"/>
                <w:vertAlign w:val="subscript"/>
                <w14:textFill>
                  <w14:solidFill>
                    <w14:schemeClr w14:val="tx1"/>
                  </w14:solidFill>
                </w14:textFill>
              </w:rPr>
              <w:t>max</w:t>
            </w:r>
            <w:r>
              <w:rPr>
                <w:rFonts w:hint="default" w:ascii="Times New Roman" w:hAnsi="Times New Roman" w:cs="Times New Roman"/>
                <w:color w:val="000000" w:themeColor="text1"/>
                <w:sz w:val="21"/>
                <w:szCs w:val="21"/>
                <w14:textFill>
                  <w14:solidFill>
                    <w14:schemeClr w14:val="tx1"/>
                  </w14:solidFill>
                </w14:textFill>
              </w:rPr>
              <w:t>(%)</w:t>
            </w:r>
          </w:p>
        </w:tc>
        <w:tc>
          <w:tcPr>
            <w:tcW w:w="14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default" w:ascii="Times New Roman" w:hAnsi="Times New Roman" w:cs="Times New Roman"/>
                <w:color w:val="000000" w:themeColor="text1"/>
                <w:sz w:val="21"/>
                <w:szCs w:val="21"/>
                <w:vertAlign w:val="subscript"/>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20"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烟囱</w:t>
            </w:r>
          </w:p>
        </w:tc>
        <w:tc>
          <w:tcPr>
            <w:tcW w:w="142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NOx</w:t>
            </w:r>
          </w:p>
        </w:tc>
        <w:tc>
          <w:tcPr>
            <w:tcW w:w="142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250.0</w:t>
            </w:r>
          </w:p>
        </w:tc>
        <w:tc>
          <w:tcPr>
            <w:tcW w:w="142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.0</w:t>
            </w:r>
          </w:p>
        </w:tc>
        <w:tc>
          <w:tcPr>
            <w:tcW w:w="142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.0</w:t>
            </w:r>
          </w:p>
        </w:tc>
        <w:tc>
          <w:tcPr>
            <w:tcW w:w="14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20"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42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42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500.0</w:t>
            </w:r>
          </w:p>
        </w:tc>
        <w:tc>
          <w:tcPr>
            <w:tcW w:w="142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23</w:t>
            </w:r>
            <w:r>
              <w:rPr>
                <w:rFonts w:hint="default" w:ascii="Times New Roman" w:hAnsi="Times New Roman" w:cs="Times New Roman"/>
                <w:color w:val="000000" w:themeColor="text1"/>
                <w:sz w:val="21"/>
                <w:szCs w:val="21"/>
                <w14:textFill>
                  <w14:solidFill>
                    <w14:schemeClr w14:val="tx1"/>
                  </w14:solidFill>
                </w14:textFill>
              </w:rPr>
              <w:t>.0</w:t>
            </w:r>
          </w:p>
        </w:tc>
        <w:tc>
          <w:tcPr>
            <w:tcW w:w="142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.0</w:t>
            </w:r>
          </w:p>
        </w:tc>
        <w:tc>
          <w:tcPr>
            <w:tcW w:w="14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20"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42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p>
        </w:tc>
        <w:tc>
          <w:tcPr>
            <w:tcW w:w="142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450.0</w:t>
            </w:r>
          </w:p>
        </w:tc>
        <w:tc>
          <w:tcPr>
            <w:tcW w:w="142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.0</w:t>
            </w:r>
          </w:p>
        </w:tc>
        <w:tc>
          <w:tcPr>
            <w:tcW w:w="142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14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本项目P</w:t>
      </w:r>
      <w:r>
        <w:rPr>
          <w:rFonts w:ascii="Times New Roman" w:hAnsi="Times New Roman" w:cs="Times New Roman"/>
          <w:color w:val="000000" w:themeColor="text1"/>
          <w:sz w:val="24"/>
          <w:szCs w:val="24"/>
          <w:vertAlign w:val="subscript"/>
          <w14:textFill>
            <w14:solidFill>
              <w14:schemeClr w14:val="tx1"/>
            </w14:solidFill>
          </w14:textFill>
        </w:rPr>
        <w:t>max</w:t>
      </w:r>
      <w:r>
        <w:rPr>
          <w:rFonts w:ascii="Times New Roman" w:hAnsi="Times New Roman" w:cs="Times New Roman"/>
          <w:color w:val="000000" w:themeColor="text1"/>
          <w:sz w:val="24"/>
          <w:szCs w:val="24"/>
          <w14:textFill>
            <w14:solidFill>
              <w14:schemeClr w14:val="tx1"/>
            </w14:solidFill>
          </w14:textFill>
        </w:rPr>
        <w:t>最大值出现为</w:t>
      </w:r>
      <w:r>
        <w:rPr>
          <w:rFonts w:hint="eastAsia" w:ascii="Times New Roman" w:hAnsi="Times New Roman" w:cs="Times New Roman"/>
          <w:color w:val="000000" w:themeColor="text1"/>
          <w:sz w:val="24"/>
          <w:szCs w:val="24"/>
          <w14:textFill>
            <w14:solidFill>
              <w14:schemeClr w14:val="tx1"/>
            </w14:solidFill>
          </w14:textFill>
        </w:rPr>
        <w:t>点源</w:t>
      </w:r>
      <w:r>
        <w:rPr>
          <w:rFonts w:ascii="Times New Roman" w:hAnsi="Times New Roman" w:cs="Times New Roman"/>
          <w:color w:val="000000" w:themeColor="text1"/>
          <w:sz w:val="24"/>
          <w:szCs w:val="24"/>
          <w14:textFill>
            <w14:solidFill>
              <w14:schemeClr w14:val="tx1"/>
            </w14:solidFill>
          </w14:textFill>
        </w:rPr>
        <w:t>排放的</w:t>
      </w:r>
      <w:r>
        <w:rPr>
          <w:rFonts w:hint="eastAsia" w:ascii="Times New Roman" w:hAnsi="Times New Roman" w:cs="Times New Roman"/>
          <w:color w:val="000000" w:themeColor="text1"/>
          <w:sz w:val="24"/>
          <w:szCs w:val="24"/>
          <w14:textFill>
            <w14:solidFill>
              <w14:schemeClr w14:val="tx1"/>
            </w14:solidFill>
          </w14:textFill>
        </w:rPr>
        <w:t>NOx</w:t>
      </w:r>
      <w:r>
        <w:rPr>
          <w:rFonts w:ascii="Times New Roman" w:hAnsi="Times New Roman" w:cs="Times New Roman"/>
          <w:color w:val="000000" w:themeColor="text1"/>
          <w:sz w:val="24"/>
          <w:szCs w:val="24"/>
          <w14:textFill>
            <w14:solidFill>
              <w14:schemeClr w14:val="tx1"/>
            </w14:solidFill>
          </w14:textFill>
        </w:rPr>
        <w:t>，P</w:t>
      </w:r>
      <w:r>
        <w:rPr>
          <w:rFonts w:ascii="Times New Roman" w:hAnsi="Times New Roman" w:cs="Times New Roman"/>
          <w:color w:val="000000" w:themeColor="text1"/>
          <w:sz w:val="24"/>
          <w:szCs w:val="24"/>
          <w:vertAlign w:val="subscript"/>
          <w14:textFill>
            <w14:solidFill>
              <w14:schemeClr w14:val="tx1"/>
            </w14:solidFill>
          </w14:textFill>
        </w:rPr>
        <w:t>max</w:t>
      </w:r>
      <w:r>
        <w:rPr>
          <w:rFonts w:ascii="Times New Roman" w:hAnsi="Times New Roman" w:cs="Times New Roman"/>
          <w:color w:val="000000" w:themeColor="text1"/>
          <w:sz w:val="24"/>
          <w:szCs w:val="24"/>
          <w14:textFill>
            <w14:solidFill>
              <w14:schemeClr w14:val="tx1"/>
            </w14:solidFill>
          </w14:textFill>
        </w:rPr>
        <w:t>值为</w:t>
      </w:r>
      <w:r>
        <w:rPr>
          <w:rFonts w:hint="eastAsia" w:ascii="Times New Roman" w:hAnsi="Times New Roman" w:cs="Times New Roman"/>
          <w:color w:val="000000" w:themeColor="text1"/>
          <w:sz w:val="24"/>
          <w:szCs w:val="24"/>
          <w14:textFill>
            <w14:solidFill>
              <w14:schemeClr w14:val="tx1"/>
            </w14:solidFill>
          </w14:textFill>
        </w:rPr>
        <w:t>5.0%</w:t>
      </w:r>
      <w:r>
        <w:rPr>
          <w:rFonts w:ascii="Times New Roman" w:hAnsi="Times New Roman" w:cs="Times New Roman"/>
          <w:color w:val="000000" w:themeColor="text1"/>
          <w:sz w:val="24"/>
          <w:szCs w:val="24"/>
          <w14:textFill>
            <w14:solidFill>
              <w14:schemeClr w14:val="tx1"/>
            </w14:solidFill>
          </w14:textFill>
        </w:rPr>
        <w:t>，C</w:t>
      </w:r>
      <w:r>
        <w:rPr>
          <w:rFonts w:ascii="Times New Roman" w:hAnsi="Times New Roman" w:cs="Times New Roman"/>
          <w:color w:val="000000" w:themeColor="text1"/>
          <w:sz w:val="24"/>
          <w:szCs w:val="24"/>
          <w:vertAlign w:val="subscript"/>
          <w14:textFill>
            <w14:solidFill>
              <w14:schemeClr w14:val="tx1"/>
            </w14:solidFill>
          </w14:textFill>
        </w:rPr>
        <w:t>max</w:t>
      </w:r>
      <w:r>
        <w:rPr>
          <w:rFonts w:ascii="Times New Roman" w:hAnsi="Times New Roman" w:cs="Times New Roman"/>
          <w:color w:val="000000" w:themeColor="text1"/>
          <w:sz w:val="24"/>
          <w:szCs w:val="24"/>
          <w14:textFill>
            <w14:solidFill>
              <w14:schemeClr w14:val="tx1"/>
            </w14:solidFill>
          </w14:textFill>
        </w:rPr>
        <w:t>为</w:t>
      </w:r>
      <w:r>
        <w:rPr>
          <w:rFonts w:hint="eastAsia" w:ascii="Times New Roman" w:hAnsi="Times New Roman" w:cs="Times New Roman"/>
          <w:color w:val="000000" w:themeColor="text1"/>
          <w:sz w:val="24"/>
          <w:szCs w:val="24"/>
          <w14:textFill>
            <w14:solidFill>
              <w14:schemeClr w14:val="tx1"/>
            </w14:solidFill>
          </w14:textFill>
        </w:rPr>
        <w:t>13.0</w:t>
      </w:r>
      <w:r>
        <w:rPr>
          <w:rFonts w:ascii="Times New Roman" w:hAnsi="Times New Roman" w:cs="Times New Roman"/>
          <w:color w:val="000000" w:themeColor="text1"/>
          <w:sz w:val="24"/>
          <w:szCs w:val="24"/>
          <w14:textFill>
            <w14:solidFill>
              <w14:schemeClr w14:val="tx1"/>
            </w14:solidFill>
          </w14:textFill>
        </w:rPr>
        <w:t>ug/m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，根据《环境影响评价技术导则 大气环境》(HJ2.2-20</w:t>
      </w: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8)分级判据，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项目不使用高污染燃料，为单源项目，确定本项目大气环境影响评价工作等级为二级。</w:t>
      </w:r>
    </w:p>
    <w:p>
      <w:pPr>
        <w:pStyle w:val="6"/>
        <w:keepNext w:val="0"/>
        <w:keepLines w:val="0"/>
        <w:pageBreakBefore w:val="0"/>
        <w:widowControl w:val="0"/>
        <w:shd w:val="clear" w:color="auto" w:fill="auto"/>
        <w:kinsoku/>
        <w:wordWrap/>
        <w:overflowPunct w:val="0"/>
        <w:topLinePunct w:val="0"/>
        <w:autoSpaceDE/>
        <w:autoSpaceDN/>
        <w:bidi w:val="0"/>
        <w:adjustRightInd/>
        <w:snapToGrid/>
        <w:spacing w:before="0" w:after="0" w:line="360" w:lineRule="auto"/>
        <w:textAlignment w:val="auto"/>
        <w:outlineLvl w:val="3"/>
        <w:rPr>
          <w:rFonts w:hint="eastAsia"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en-US"/>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val="en-US" w:eastAsia="en-US"/>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地面水环境评价工作等级</w:t>
      </w:r>
    </w:p>
    <w:p>
      <w:pPr>
        <w:overflowPunct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工程生产用水、消防、生活用水均由克拉玛依高新技术产业开发区统一提供，供水通过管线送至本工程。生产给水主要分为厂区工业用水、化学用水及生活用水等。工程下水系统采用生活污水、工业废水各自独立的分流制系统。生活污水接入生活污水处理站进行处理，处理后的水作为绿化及道路浇洒用水，冬季生活污水经处理后排入厂区工业废水处理站内清水池回用；化学水处理排水排入工业废水处理站处理后回用；工业废水主要为主厂房的锅炉定排水，经过定排井回收后经升压送至厂区循环水系统。电厂正常运行情况下无外排水，在调试阶段多余的排水经处理合格后可排至市政排水管网。根据</w:t>
      </w:r>
      <w:r>
        <w:rPr>
          <w:color w:val="000000" w:themeColor="text1"/>
          <w14:textFill>
            <w14:solidFill>
              <w14:schemeClr w14:val="tx1"/>
            </w14:solidFill>
          </w14:textFill>
        </w:rPr>
        <w:t>《环境影响评价技术导则 地表水环境》（HJ2.3-2018）规定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间接排放建设项目评价等级为三级B。本项目生产废水及生活污水排入管网，</w:t>
      </w:r>
      <w:r>
        <w:rPr>
          <w:rFonts w:hint="eastAsia"/>
          <w:color w:val="000000" w:themeColor="text1"/>
          <w14:textFill>
            <w14:solidFill>
              <w14:schemeClr w14:val="tx1"/>
            </w14:solidFill>
          </w14:textFill>
        </w:rPr>
        <w:t>最终进入高新技术产业开发区污水处理厂</w:t>
      </w:r>
      <w:r>
        <w:rPr>
          <w:color w:val="000000" w:themeColor="text1"/>
          <w14:textFill>
            <w14:solidFill>
              <w14:schemeClr w14:val="tx1"/>
            </w14:solidFill>
          </w14:textFill>
        </w:rPr>
        <w:t>，为间接排放，因此地表水评价等级为三级B</w:t>
      </w:r>
      <w:r>
        <w:rPr>
          <w:rFonts w:hint="eastAsia"/>
          <w:color w:val="000000" w:themeColor="text1"/>
          <w14:textFill>
            <w14:solidFill>
              <w14:schemeClr w14:val="tx1"/>
            </w14:solidFill>
          </w14:textFill>
        </w:rPr>
        <w:t>。</w:t>
      </w:r>
    </w:p>
    <w:p>
      <w:pPr>
        <w:pStyle w:val="6"/>
        <w:keepNext w:val="0"/>
        <w:keepLines w:val="0"/>
        <w:pageBreakBefore w:val="0"/>
        <w:widowControl w:val="0"/>
        <w:shd w:val="clear" w:color="auto" w:fill="auto"/>
        <w:kinsoku/>
        <w:wordWrap/>
        <w:overflowPunct w:val="0"/>
        <w:topLinePunct w:val="0"/>
        <w:autoSpaceDE/>
        <w:autoSpaceDN/>
        <w:bidi w:val="0"/>
        <w:adjustRightInd/>
        <w:snapToGrid/>
        <w:spacing w:before="0" w:after="0" w:line="360" w:lineRule="auto"/>
        <w:textAlignment w:val="auto"/>
        <w:outlineLvl w:val="3"/>
        <w:rPr>
          <w:rFonts w:hint="eastAsia" w:ascii="Times New Roman" w:hAnsi="Times New Roman" w:eastAsia="宋体" w:cs="Times New Roman"/>
          <w:color w:val="000000" w:themeColor="text1"/>
          <w:sz w:val="24"/>
          <w:szCs w:val="24"/>
          <w:lang w:val="en-US" w:eastAsia="en-US"/>
          <w14:textFill>
            <w14:solidFill>
              <w14:schemeClr w14:val="tx1"/>
            </w14:solidFill>
          </w14:textFill>
        </w:rPr>
      </w:pPr>
      <w:r>
        <w:rPr>
          <w:rFonts w:hint="eastAsia" w:ascii="Times New Roman" w:hAnsi="Times New Roman" w:eastAsia="宋体" w:cs="Times New Roman"/>
          <w:color w:val="000000" w:themeColor="text1"/>
          <w:sz w:val="24"/>
          <w:szCs w:val="24"/>
          <w:lang w:val="en-US" w:eastAsia="en-US"/>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val="en-US" w:eastAsia="en-US"/>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地下水环境评价工作等级</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根据工程所属的地下水环境影响评价项目类别及工程所处位置的地下水环境敏感程度确定评价工作等级。</w:t>
      </w:r>
    </w:p>
    <w:p>
      <w:pPr>
        <w:pStyle w:val="33"/>
        <w:keepNext w:val="0"/>
        <w:keepLines w:val="0"/>
        <w:widowControl w:val="0"/>
        <w:shd w:val="clear" w:color="auto" w:fill="auto"/>
        <w:bidi w:val="0"/>
        <w:spacing w:before="0" w:after="0"/>
        <w:ind w:left="0" w:right="0" w:firstLine="540"/>
        <w:jc w:val="both"/>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w:t>
      </w:r>
      <w:r>
        <w:rPr>
          <w:rFonts w:hint="eastAsia" w:ascii="Times New Roman" w:hAnsi="Times New Roman" w:eastAsia="Times New Roman" w:cs="Times New Roman"/>
          <w:color w:val="000000" w:themeColor="text1"/>
          <w:spacing w:val="0"/>
          <w:w w:val="100"/>
          <w:position w:val="0"/>
          <w:sz w:val="24"/>
          <w:szCs w:val="24"/>
          <w:u w:val="none"/>
          <w:lang w:val="en-US" w:eastAsia="zh-CN" w:bidi="zh-CN"/>
          <w14:textFill>
            <w14:solidFill>
              <w14:schemeClr w14:val="tx1"/>
            </w14:solidFill>
          </w14:textFill>
        </w:rPr>
        <w:t>1</w:t>
      </w: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）项目类别</w:t>
      </w:r>
    </w:p>
    <w:p>
      <w:pPr>
        <w:pStyle w:val="33"/>
        <w:keepNext w:val="0"/>
        <w:keepLines w:val="0"/>
        <w:widowControl w:val="0"/>
        <w:shd w:val="clear" w:color="auto" w:fill="auto"/>
        <w:bidi w:val="0"/>
        <w:spacing w:before="0" w:after="0"/>
        <w:ind w:left="0" w:right="0" w:firstLine="540"/>
        <w:jc w:val="both"/>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pPr>
      <w:r>
        <w:rPr>
          <w:rFonts w:hint="default"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根据《环境影响评价技术导则一地下水环境》(HJ</w:t>
      </w:r>
      <w:r>
        <w:rPr>
          <w:rFonts w:hint="default"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t xml:space="preserve"> 610-2016)</w:t>
      </w:r>
      <w:r>
        <w:rPr>
          <w:rFonts w:hint="default"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附录A</w:t>
      </w:r>
      <w:r>
        <w:rPr>
          <w:rFonts w:hint="default"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t>:</w:t>
      </w:r>
      <w:r>
        <w:rPr>
          <w:rFonts w:hint="default"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地下水环境影响评价行业分类表，本工程属于表中的E电力/30.火力发电(包括热电)类别，且需编写报告书，属</w:t>
      </w:r>
      <w:r>
        <w:rPr>
          <w:rFonts w:hint="default"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fldChar w:fldCharType="begin"/>
      </w:r>
      <w:r>
        <w:rPr>
          <w:rFonts w:hint="default"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instrText xml:space="preserve"> = 3 \* ROMAN \* MERGEFORMAT </w:instrText>
      </w:r>
      <w:r>
        <w:rPr>
          <w:rFonts w:hint="default"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III</w:t>
      </w:r>
      <w:r>
        <w:rPr>
          <w:rFonts w:hint="default"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fldChar w:fldCharType="end"/>
      </w:r>
      <w:r>
        <w:rPr>
          <w:rFonts w:hint="default"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类</w:t>
      </w: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w:t>
      </w:r>
    </w:p>
    <w:p>
      <w:pPr>
        <w:pStyle w:val="33"/>
        <w:keepNext w:val="0"/>
        <w:keepLines w:val="0"/>
        <w:widowControl w:val="0"/>
        <w:shd w:val="clear" w:color="auto" w:fill="auto"/>
        <w:bidi w:val="0"/>
        <w:spacing w:before="0" w:after="0"/>
        <w:ind w:left="0" w:right="0" w:firstLine="540"/>
        <w:jc w:val="both"/>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w:t>
      </w:r>
      <w:r>
        <w:rPr>
          <w:rFonts w:hint="eastAsia" w:ascii="Times New Roman" w:hAnsi="Times New Roman" w:eastAsia="Times New Roman" w:cs="Times New Roman"/>
          <w:color w:val="000000" w:themeColor="text1"/>
          <w:spacing w:val="0"/>
          <w:w w:val="100"/>
          <w:position w:val="0"/>
          <w:sz w:val="24"/>
          <w:szCs w:val="24"/>
          <w:u w:val="none"/>
          <w:lang w:val="en-US" w:eastAsia="zh-CN" w:bidi="zh-CN"/>
          <w14:textFill>
            <w14:solidFill>
              <w14:schemeClr w14:val="tx1"/>
            </w14:solidFill>
          </w14:textFill>
        </w:rPr>
        <w:t>2</w:t>
      </w: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）地下水环境敏感程度</w:t>
      </w:r>
    </w:p>
    <w:p>
      <w:pPr>
        <w:pStyle w:val="33"/>
        <w:keepNext w:val="0"/>
        <w:keepLines w:val="0"/>
        <w:widowControl w:val="0"/>
        <w:shd w:val="clear" w:color="auto" w:fill="auto"/>
        <w:bidi w:val="0"/>
        <w:spacing w:before="0" w:after="0"/>
        <w:ind w:left="0" w:right="0" w:firstLine="540"/>
        <w:jc w:val="both"/>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根据勘探资料可知，园区区域地下水为浅层地下水，地下水稳定水位一般在</w:t>
      </w:r>
      <w:r>
        <w:rPr>
          <w:rFonts w:hint="eastAsia"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t>1.9</w:t>
      </w:r>
      <w:r>
        <w:rPr>
          <w:rFonts w:hint="eastAsia" w:ascii="Times New Roman" w:hAnsi="Times New Roman" w:eastAsia="Times New Roman" w:cs="Times New Roman"/>
          <w:color w:val="000000" w:themeColor="text1"/>
          <w:spacing w:val="0"/>
          <w:w w:val="100"/>
          <w:position w:val="0"/>
          <w:sz w:val="24"/>
          <w:szCs w:val="24"/>
          <w:u w:val="none"/>
          <w:lang w:val="en-US" w:eastAsia="zh-CN" w:bidi="zh-CN"/>
          <w14:textFill>
            <w14:solidFill>
              <w14:schemeClr w14:val="tx1"/>
            </w14:solidFill>
          </w14:textFill>
        </w:rPr>
        <w:t>-</w:t>
      </w:r>
      <w:r>
        <w:rPr>
          <w:rFonts w:hint="eastAsia"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t>9.4</w:t>
      </w: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m之间，地下水位变化幅度受大气降水、工农业及生活用水影响。地下水水位具有由北向南逐渐加深的特点。根据《金龙镇水文地质勘查报告》(新疆生产建设兵团勘查设计院，</w:t>
      </w:r>
      <w:r>
        <w:rPr>
          <w:rFonts w:hint="eastAsia"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t>2002.2)，</w:t>
      </w: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评价区内有效包气带岩性为粉质粘土、粉土、含土沙砾层等，岩层渗，透系数分别为</w:t>
      </w:r>
      <w:r>
        <w:rPr>
          <w:rFonts w:hint="eastAsia"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t>1.15</w:t>
      </w:r>
      <w:r>
        <w:rPr>
          <w:rFonts w:hint="default" w:ascii="Arial" w:hAnsi="Arial" w:eastAsia="Times New Roman" w:cs="Arial"/>
          <w:color w:val="000000" w:themeColor="text1"/>
          <w:spacing w:val="0"/>
          <w:w w:val="100"/>
          <w:position w:val="0"/>
          <w:sz w:val="24"/>
          <w:szCs w:val="24"/>
          <w:u w:val="none"/>
          <w:lang w:val="zh-CN" w:eastAsia="zh-CN" w:bidi="zh-CN"/>
          <w14:textFill>
            <w14:solidFill>
              <w14:schemeClr w14:val="tx1"/>
            </w14:solidFill>
          </w14:textFill>
        </w:rPr>
        <w:t>×</w:t>
      </w:r>
      <w:r>
        <w:rPr>
          <w:rFonts w:hint="eastAsia"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t>10</w:t>
      </w:r>
      <w:r>
        <w:rPr>
          <w:rFonts w:hint="eastAsia" w:ascii="Times New Roman" w:hAnsi="Times New Roman" w:eastAsia="Times New Roman" w:cs="Times New Roman"/>
          <w:color w:val="000000" w:themeColor="text1"/>
          <w:spacing w:val="0"/>
          <w:w w:val="100"/>
          <w:position w:val="0"/>
          <w:sz w:val="24"/>
          <w:szCs w:val="24"/>
          <w:u w:val="none"/>
          <w:vertAlign w:val="superscript"/>
          <w:lang w:val="en-US" w:eastAsia="en-US" w:bidi="zh-CN"/>
          <w14:textFill>
            <w14:solidFill>
              <w14:schemeClr w14:val="tx1"/>
            </w14:solidFill>
          </w14:textFill>
        </w:rPr>
        <w:t>-6</w:t>
      </w: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cm</w:t>
      </w:r>
      <w:r>
        <w:rPr>
          <w:rFonts w:hint="eastAsia"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t>/</w:t>
      </w: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s</w:t>
      </w:r>
      <w:r>
        <w:rPr>
          <w:rFonts w:hint="eastAsia"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t>、3.24</w:t>
      </w:r>
      <w:r>
        <w:rPr>
          <w:rFonts w:hint="default" w:ascii="Arial" w:hAnsi="Arial" w:eastAsia="Times New Roman" w:cs="Arial"/>
          <w:color w:val="000000" w:themeColor="text1"/>
          <w:spacing w:val="0"/>
          <w:w w:val="100"/>
          <w:position w:val="0"/>
          <w:sz w:val="24"/>
          <w:szCs w:val="24"/>
          <w:u w:val="none"/>
          <w:lang w:val="zh-CN" w:eastAsia="zh-CN" w:bidi="zh-CN"/>
          <w14:textFill>
            <w14:solidFill>
              <w14:schemeClr w14:val="tx1"/>
            </w14:solidFill>
          </w14:textFill>
        </w:rPr>
        <w:t>×</w:t>
      </w:r>
      <w:r>
        <w:rPr>
          <w:rFonts w:hint="eastAsia"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t>10</w:t>
      </w:r>
      <w:r>
        <w:rPr>
          <w:rFonts w:hint="eastAsia" w:ascii="Times New Roman" w:hAnsi="Times New Roman" w:eastAsia="Times New Roman" w:cs="Times New Roman"/>
          <w:color w:val="000000" w:themeColor="text1"/>
          <w:spacing w:val="0"/>
          <w:w w:val="100"/>
          <w:position w:val="0"/>
          <w:sz w:val="24"/>
          <w:szCs w:val="24"/>
          <w:u w:val="none"/>
          <w:vertAlign w:val="superscript"/>
          <w:lang w:val="en-US" w:eastAsia="en-US" w:bidi="zh-CN"/>
          <w14:textFill>
            <w14:solidFill>
              <w14:schemeClr w14:val="tx1"/>
            </w14:solidFill>
          </w14:textFill>
        </w:rPr>
        <w:t>-2</w:t>
      </w: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cm</w:t>
      </w:r>
      <w:r>
        <w:rPr>
          <w:rFonts w:hint="eastAsia"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t>/</w:t>
      </w: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s</w:t>
      </w:r>
      <w:r>
        <w:rPr>
          <w:rFonts w:hint="eastAsia"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t>。</w:t>
      </w: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区内有湖积物上覆第四系堆积物组成的包气带，在垂直方向上具有极高的阻水性和防渗性能，可对水污染物起到良好的阻渗作用。项目周边无除集中式饮用水水源以外的国家或地方政府设定的与地下水环境相关的其它保护区，无热水、矿泉水、温泉等特殊地下水资源保护区。</w:t>
      </w:r>
    </w:p>
    <w:p>
      <w:pPr>
        <w:pStyle w:val="33"/>
        <w:keepNext w:val="0"/>
        <w:keepLines w:val="0"/>
        <w:widowControl w:val="0"/>
        <w:shd w:val="clear" w:color="auto" w:fill="auto"/>
        <w:bidi w:val="0"/>
        <w:spacing w:before="0" w:after="0"/>
        <w:ind w:left="0" w:right="0" w:firstLine="540"/>
        <w:jc w:val="both"/>
        <w:rPr>
          <w:rFonts w:hint="eastAsia"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综上所述，根据《环境影响评价技术导则一地下水环境》</w:t>
      </w:r>
      <w:r>
        <w:rPr>
          <w:rFonts w:hint="eastAsia"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t>(</w:t>
      </w: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HJ</w:t>
      </w:r>
      <w:r>
        <w:rPr>
          <w:rFonts w:hint="eastAsia"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t>610-2016)</w:t>
      </w: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中地下水环境敏感程度确定，本工程厂区及灰场地下水环境敏感程度均为“不敏感”。(见表</w:t>
      </w:r>
      <w:r>
        <w:rPr>
          <w:rFonts w:hint="eastAsia"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t>1.6-6)。</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表1</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w:t>
      </w:r>
      <w:r>
        <w:rPr>
          <w:rFonts w:hint="eastAsia" w:eastAsia="黑体" w:cs="Times New Roman"/>
          <w:color w:val="000000" w:themeColor="text1"/>
          <w:spacing w:val="0"/>
          <w:w w:val="100"/>
          <w:position w:val="0"/>
          <w:sz w:val="21"/>
          <w:szCs w:val="21"/>
          <w:lang w:val="en-US" w:eastAsia="en-US" w:bidi="zh-CN"/>
          <w14:textFill>
            <w14:solidFill>
              <w14:schemeClr w14:val="tx1"/>
            </w14:solidFill>
          </w14:textFill>
        </w:rPr>
        <w:t>6</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w:t>
      </w:r>
      <w:r>
        <w:rPr>
          <w:rFonts w:hint="eastAsia" w:eastAsia="黑体" w:cs="Times New Roman"/>
          <w:color w:val="000000" w:themeColor="text1"/>
          <w:spacing w:val="0"/>
          <w:w w:val="100"/>
          <w:position w:val="0"/>
          <w:sz w:val="21"/>
          <w:szCs w:val="21"/>
          <w:lang w:val="en-US" w:eastAsia="zh-CN" w:bidi="zh-CN"/>
          <w14:textFill>
            <w14:solidFill>
              <w14:schemeClr w14:val="tx1"/>
            </w14:solidFill>
          </w14:textFill>
        </w:rPr>
        <w:t>6</w:t>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ab/>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地下水环境敏感程度分级</w:t>
      </w:r>
    </w:p>
    <w:tbl>
      <w:tblPr>
        <w:tblStyle w:val="21"/>
        <w:tblW w:w="8525" w:type="dxa"/>
        <w:jc w:val="center"/>
        <w:tblInd w:w="0" w:type="dxa"/>
        <w:tblLayout w:type="fixed"/>
        <w:tblCellMar>
          <w:top w:w="0" w:type="dxa"/>
          <w:left w:w="10" w:type="dxa"/>
          <w:bottom w:w="0" w:type="dxa"/>
          <w:right w:w="10" w:type="dxa"/>
        </w:tblCellMar>
      </w:tblPr>
      <w:tblGrid>
        <w:gridCol w:w="1310"/>
        <w:gridCol w:w="7215"/>
      </w:tblGrid>
      <w:tr>
        <w:tblPrEx>
          <w:tblLayout w:type="fixed"/>
          <w:tblCellMar>
            <w:top w:w="0" w:type="dxa"/>
            <w:left w:w="10" w:type="dxa"/>
            <w:bottom w:w="0" w:type="dxa"/>
            <w:right w:w="10" w:type="dxa"/>
          </w:tblCellMar>
        </w:tblPrEx>
        <w:trPr>
          <w:trHeight w:val="312" w:hRule="exact"/>
          <w:jc w:val="center"/>
        </w:trPr>
        <w:tc>
          <w:tcPr>
            <w:tcW w:w="131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14:textFill>
                  <w14:solidFill>
                    <w14:schemeClr w14:val="tx1"/>
                  </w14:solidFill>
                </w14:textFill>
              </w:rPr>
              <w:t>敏感程度</w:t>
            </w:r>
          </w:p>
        </w:tc>
        <w:tc>
          <w:tcPr>
            <w:tcW w:w="721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14:textFill>
                  <w14:solidFill>
                    <w14:schemeClr w14:val="tx1"/>
                  </w14:solidFill>
                </w14:textFill>
              </w:rPr>
              <w:t>地下水环境敏感特征</w:t>
            </w:r>
          </w:p>
        </w:tc>
      </w:tr>
      <w:tr>
        <w:tblPrEx>
          <w:tblLayout w:type="fixed"/>
          <w:tblCellMar>
            <w:top w:w="0" w:type="dxa"/>
            <w:left w:w="10" w:type="dxa"/>
            <w:bottom w:w="0" w:type="dxa"/>
            <w:right w:w="10" w:type="dxa"/>
          </w:tblCellMar>
        </w:tblPrEx>
        <w:trPr>
          <w:trHeight w:val="1080" w:hRule="exact"/>
          <w:jc w:val="center"/>
        </w:trPr>
        <w:tc>
          <w:tcPr>
            <w:tcW w:w="131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14:textFill>
                  <w14:solidFill>
                    <w14:schemeClr w14:val="tx1"/>
                  </w14:solidFill>
                </w14:textFill>
              </w:rPr>
              <w:t>敏感</w:t>
            </w:r>
          </w:p>
        </w:tc>
        <w:tc>
          <w:tcPr>
            <w:tcW w:w="721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14:textFill>
                  <w14:solidFill>
                    <w14:schemeClr w14:val="tx1"/>
                  </w14:solidFill>
                </w14:textFill>
              </w:rPr>
              <w:t>集中式饮用水水源地(包括己建成的在用、备用、应急水源地，在建和规划的饮 用水水源)准保护区；除集中式饮用水水源以外的国家或地方政府设定的与地下 水环境相关的其它保护区，如热水、矿泉水、温泉等特殊地下水资源保护区。</w:t>
            </w:r>
          </w:p>
        </w:tc>
      </w:tr>
      <w:tr>
        <w:tblPrEx>
          <w:tblLayout w:type="fixed"/>
          <w:tblCellMar>
            <w:top w:w="0" w:type="dxa"/>
            <w:left w:w="10" w:type="dxa"/>
            <w:bottom w:w="0" w:type="dxa"/>
            <w:right w:w="10" w:type="dxa"/>
          </w:tblCellMar>
        </w:tblPrEx>
        <w:trPr>
          <w:trHeight w:val="1284" w:hRule="exact"/>
          <w:jc w:val="center"/>
        </w:trPr>
        <w:tc>
          <w:tcPr>
            <w:tcW w:w="131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14:textFill>
                  <w14:solidFill>
                    <w14:schemeClr w14:val="tx1"/>
                  </w14:solidFill>
                </w14:textFill>
              </w:rPr>
              <w:t>较敏感</w:t>
            </w:r>
          </w:p>
        </w:tc>
        <w:tc>
          <w:tcPr>
            <w:tcW w:w="721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14:textFill>
                  <w14:solidFill>
                    <w14:schemeClr w14:val="tx1"/>
                  </w14:solidFill>
                </w14:textFill>
              </w:rPr>
              <w:t>集中式饮用水水源(包括己建成的在用、备用、应急水源地，在建和规划的饮用 水水源)准保护区以外的补给径流区；未划定准保护区的集中式饮用水水源，其 保护区以外的补给径流区；分散式饮用水水源地；特殊地下水资源(如矿泉水、</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14:textFill>
                  <w14:solidFill>
                    <w14:schemeClr w14:val="tx1"/>
                  </w14:solidFill>
                </w14:textFill>
              </w:rPr>
              <w:t>温泉等)保护区以外的分布区等其它未列入上述敏感分级的环境敏感区。</w:t>
            </w:r>
          </w:p>
        </w:tc>
      </w:tr>
      <w:tr>
        <w:tblPrEx>
          <w:tblLayout w:type="fixed"/>
          <w:tblCellMar>
            <w:top w:w="0" w:type="dxa"/>
            <w:left w:w="10" w:type="dxa"/>
            <w:bottom w:w="0" w:type="dxa"/>
            <w:right w:w="10" w:type="dxa"/>
          </w:tblCellMar>
        </w:tblPrEx>
        <w:trPr>
          <w:trHeight w:val="312" w:hRule="exact"/>
          <w:jc w:val="center"/>
        </w:trPr>
        <w:tc>
          <w:tcPr>
            <w:tcW w:w="1310"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14:textFill>
                  <w14:solidFill>
                    <w14:schemeClr w14:val="tx1"/>
                  </w14:solidFill>
                </w14:textFill>
              </w:rPr>
              <w:t>不敏感</w:t>
            </w:r>
          </w:p>
        </w:tc>
        <w:tc>
          <w:tcPr>
            <w:tcW w:w="721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14:textFill>
                  <w14:solidFill>
                    <w14:schemeClr w14:val="tx1"/>
                  </w14:solidFill>
                </w14:textFill>
              </w:rPr>
              <w:t>上述地区之外的其它地区</w:t>
            </w:r>
          </w:p>
        </w:tc>
      </w:tr>
    </w:tbl>
    <w:p>
      <w:pPr>
        <w:pStyle w:val="33"/>
        <w:keepNext w:val="0"/>
        <w:keepLines w:val="0"/>
        <w:pageBreakBefore w:val="0"/>
        <w:widowControl w:val="0"/>
        <w:shd w:val="clear" w:color="auto" w:fill="auto"/>
        <w:kinsoku/>
        <w:wordWrap/>
        <w:overflowPunct/>
        <w:topLinePunct w:val="0"/>
        <w:autoSpaceDE/>
        <w:autoSpaceDN/>
        <w:bidi w:val="0"/>
        <w:adjustRightInd/>
        <w:snapToGrid/>
        <w:spacing w:before="361" w:beforeLines="100" w:after="0" w:line="360" w:lineRule="auto"/>
        <w:ind w:left="0" w:right="0" w:firstLine="480" w:firstLineChars="200"/>
        <w:jc w:val="both"/>
        <w:textAlignment w:val="auto"/>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w:t>
      </w:r>
      <w:r>
        <w:rPr>
          <w:rFonts w:hint="eastAsia" w:ascii="Times New Roman" w:hAnsi="Times New Roman" w:eastAsia="Times New Roman" w:cs="Times New Roman"/>
          <w:color w:val="000000" w:themeColor="text1"/>
          <w:spacing w:val="0"/>
          <w:w w:val="100"/>
          <w:position w:val="0"/>
          <w:sz w:val="24"/>
          <w:szCs w:val="24"/>
          <w:u w:val="none"/>
          <w:lang w:val="en-US" w:eastAsia="zh-CN" w:bidi="zh-CN"/>
          <w14:textFill>
            <w14:solidFill>
              <w14:schemeClr w14:val="tx1"/>
            </w14:solidFill>
          </w14:textFill>
        </w:rPr>
        <w:t>3</w:t>
      </w: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）评价工作等级确定</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根据本工程所述项目类别及工程所处位置的敏感程度，按照《环境影响评价技术导则一地下水环境》</w:t>
      </w:r>
      <w:r>
        <w:rPr>
          <w:rFonts w:hint="eastAsia"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t>(</w:t>
      </w: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HJ</w:t>
      </w:r>
      <w:r>
        <w:rPr>
          <w:rFonts w:hint="eastAsia" w:ascii="Times New Roman" w:hAnsi="Times New Roman" w:eastAsia="Times New Roman" w:cs="Times New Roman"/>
          <w:color w:val="000000" w:themeColor="text1"/>
          <w:spacing w:val="0"/>
          <w:w w:val="100"/>
          <w:position w:val="0"/>
          <w:sz w:val="24"/>
          <w:szCs w:val="24"/>
          <w:u w:val="none"/>
          <w:lang w:val="en-US" w:eastAsia="en-US" w:bidi="zh-CN"/>
          <w14:textFill>
            <w14:solidFill>
              <w14:schemeClr w14:val="tx1"/>
            </w14:solidFill>
          </w14:textFill>
        </w:rPr>
        <w:t>610-2016)</w:t>
      </w: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中评价工作等级分级表(见表1.</w:t>
      </w:r>
      <w:r>
        <w:rPr>
          <w:rFonts w:hint="eastAsia" w:ascii="Times New Roman" w:hAnsi="Times New Roman" w:eastAsia="Times New Roman" w:cs="Times New Roman"/>
          <w:color w:val="000000" w:themeColor="text1"/>
          <w:spacing w:val="0"/>
          <w:w w:val="100"/>
          <w:position w:val="0"/>
          <w:sz w:val="24"/>
          <w:szCs w:val="24"/>
          <w:u w:val="none"/>
          <w:lang w:val="en-US" w:eastAsia="zh-CN" w:bidi="zh-CN"/>
          <w14:textFill>
            <w14:solidFill>
              <w14:schemeClr w14:val="tx1"/>
            </w14:solidFill>
          </w14:textFill>
        </w:rPr>
        <w:t>6</w:t>
      </w: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w:t>
      </w:r>
      <w:r>
        <w:rPr>
          <w:rFonts w:hint="eastAsia" w:ascii="Times New Roman" w:hAnsi="Times New Roman" w:eastAsia="Times New Roman" w:cs="Times New Roman"/>
          <w:color w:val="000000" w:themeColor="text1"/>
          <w:spacing w:val="0"/>
          <w:w w:val="100"/>
          <w:position w:val="0"/>
          <w:sz w:val="24"/>
          <w:szCs w:val="24"/>
          <w:u w:val="none"/>
          <w:lang w:val="en-US" w:eastAsia="zh-CN" w:bidi="zh-CN"/>
          <w14:textFill>
            <w14:solidFill>
              <w14:schemeClr w14:val="tx1"/>
            </w14:solidFill>
          </w14:textFill>
        </w:rPr>
        <w:t>7</w:t>
      </w:r>
      <w:r>
        <w:rPr>
          <w:rFonts w:hint="eastAsia" w:ascii="Times New Roman" w:hAnsi="Times New Roman" w:eastAsia="Times New Roman" w:cs="Times New Roman"/>
          <w:color w:val="000000" w:themeColor="text1"/>
          <w:spacing w:val="0"/>
          <w:w w:val="100"/>
          <w:position w:val="0"/>
          <w:sz w:val="24"/>
          <w:szCs w:val="24"/>
          <w:u w:val="none"/>
          <w:lang w:val="zh-CN" w:eastAsia="zh-CN" w:bidi="zh-CN"/>
          <w14:textFill>
            <w14:solidFill>
              <w14:schemeClr w14:val="tx1"/>
            </w14:solidFill>
          </w14:textFill>
        </w:rPr>
        <w:t>)，最终确定本工程建设项目地下水评价工作等级为三级。</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表1</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w:t>
      </w:r>
      <w:r>
        <w:rPr>
          <w:rFonts w:hint="eastAsia" w:eastAsia="黑体" w:cs="Times New Roman"/>
          <w:color w:val="000000" w:themeColor="text1"/>
          <w:spacing w:val="0"/>
          <w:w w:val="100"/>
          <w:position w:val="0"/>
          <w:sz w:val="21"/>
          <w:szCs w:val="21"/>
          <w:lang w:val="en-US" w:eastAsia="en-US" w:bidi="zh-CN"/>
          <w14:textFill>
            <w14:solidFill>
              <w14:schemeClr w14:val="tx1"/>
            </w14:solidFill>
          </w14:textFill>
        </w:rPr>
        <w:t>6</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w:t>
      </w:r>
      <w:r>
        <w:rPr>
          <w:rFonts w:hint="eastAsia" w:eastAsia="黑体" w:cs="Times New Roman"/>
          <w:color w:val="000000" w:themeColor="text1"/>
          <w:spacing w:val="0"/>
          <w:w w:val="100"/>
          <w:position w:val="0"/>
          <w:sz w:val="21"/>
          <w:szCs w:val="21"/>
          <w:lang w:val="en-US" w:eastAsia="en-US" w:bidi="zh-CN"/>
          <w14:textFill>
            <w14:solidFill>
              <w14:schemeClr w14:val="tx1"/>
            </w14:solidFill>
          </w14:textFill>
        </w:rPr>
        <w:t>7</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ab/>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评价工作等级分级表</w:t>
      </w:r>
    </w:p>
    <w:tbl>
      <w:tblPr>
        <w:tblStyle w:val="21"/>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36"/>
        <w:gridCol w:w="1550"/>
        <w:gridCol w:w="1605"/>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3" w:hRule="atLeast"/>
        </w:trPr>
        <w:tc>
          <w:tcPr>
            <w:tcW w:w="3236"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58240" behindDoc="0" locked="0" layoutInCell="1" allowOverlap="1">
                      <wp:simplePos x="0" y="0"/>
                      <wp:positionH relativeFrom="column">
                        <wp:posOffset>-56515</wp:posOffset>
                      </wp:positionH>
                      <wp:positionV relativeFrom="paragraph">
                        <wp:posOffset>-8890</wp:posOffset>
                      </wp:positionV>
                      <wp:extent cx="2042795" cy="391795"/>
                      <wp:effectExtent l="635" t="4445" r="13970" b="22860"/>
                      <wp:wrapNone/>
                      <wp:docPr id="29" name="直接连接符 29"/>
                      <wp:cNvGraphicFramePr/>
                      <a:graphic xmlns:a="http://schemas.openxmlformats.org/drawingml/2006/main">
                        <a:graphicData uri="http://schemas.microsoft.com/office/word/2010/wordprocessingShape">
                          <wps:wsp>
                            <wps:cNvCnPr/>
                            <wps:spPr>
                              <a:xfrm>
                                <a:off x="1086485" y="2721610"/>
                                <a:ext cx="2042795" cy="391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45pt;margin-top:-0.7pt;height:30.85pt;width:160.85pt;z-index:251658240;mso-width-relative:page;mso-height-relative:page;" filled="f" stroked="t" coordsize="21600,21600" o:gfxdata="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HMsW2AAAAAgBAAAPAAAAAAAA&#10;AAEAIAAAACIAAABkcnMvZG93bnJldi54bWxQSwECFAAUAAAACACHTuJAgFTaRdkBAAB2AwAADgAA&#10;AAAAAAABACAAAAAnAQAAZHJzL2Uyb0RvYy54bWxQSwUGAAAAAAYABgBZAQAAcgUAAAAA&#10;">
                      <v:fill on="f" focussize="0,0"/>
                      <v:stroke weight="0.5pt" color="#000000 [3200]" miterlimit="8" joinstyle="miter"/>
                      <v:imagedata o:title=""/>
                      <o:lock v:ext="edit" aspectratio="f"/>
                    </v:line>
                  </w:pict>
                </mc:Fallback>
              </mc:AlternateContent>
            </w:r>
            <w:r>
              <w:rPr>
                <w:color w:val="000000" w:themeColor="text1"/>
                <w:sz w:val="21"/>
                <w:szCs w:val="21"/>
                <w14:textFill>
                  <w14:solidFill>
                    <w14:schemeClr w14:val="tx1"/>
                  </w14:solidFill>
                </w14:textFill>
              </w:rPr>
              <w:t xml:space="preserve">          </w:t>
            </w:r>
            <w:r>
              <w:rPr>
                <w:rFonts w:hint="eastAsia" w:eastAsia="宋体"/>
                <w:color w:val="000000" w:themeColor="text1"/>
                <w:sz w:val="21"/>
                <w:szCs w:val="21"/>
                <w:lang w:val="en-US" w:eastAsia="zh-CN"/>
                <w14:textFill>
                  <w14:solidFill>
                    <w14:schemeClr w14:val="tx1"/>
                  </w14:solidFill>
                </w14:textFill>
              </w:rPr>
              <w:t xml:space="preserve">         </w:t>
            </w:r>
            <w:r>
              <w:rPr>
                <w:color w:val="000000" w:themeColor="text1"/>
                <w:sz w:val="21"/>
                <w:szCs w:val="21"/>
                <w14:textFill>
                  <w14:solidFill>
                    <w14:schemeClr w14:val="tx1"/>
                  </w14:solidFill>
                </w14:textFill>
              </w:rPr>
              <w:t>项目类别</w:t>
            </w:r>
          </w:p>
          <w:p>
            <w:pPr>
              <w:keepNext w:val="0"/>
              <w:keepLines w:val="0"/>
              <w:pageBreakBefore w:val="0"/>
              <w:widowControl w:val="0"/>
              <w:kinsoku/>
              <w:wordWrap/>
              <w:overflowPunct w:val="0"/>
              <w:topLinePunct w:val="0"/>
              <w:autoSpaceDE/>
              <w:autoSpaceDN/>
              <w:bidi w:val="0"/>
              <w:adjustRightInd/>
              <w:snapToGrid/>
              <w:spacing w:line="240" w:lineRule="auto"/>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环境敏感程度</w:t>
            </w:r>
          </w:p>
        </w:tc>
        <w:tc>
          <w:tcPr>
            <w:tcW w:w="1550"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rFonts w:ascii="宋体"/>
                <w:color w:val="000000" w:themeColor="text1"/>
                <w:sz w:val="21"/>
                <w:szCs w:val="21"/>
                <w14:textFill>
                  <w14:solidFill>
                    <w14:schemeClr w14:val="tx1"/>
                  </w14:solidFill>
                </w14:textFill>
              </w:rPr>
              <w:t>Ⅰ</w:t>
            </w:r>
            <w:r>
              <w:rPr>
                <w:color w:val="000000" w:themeColor="text1"/>
                <w:sz w:val="21"/>
                <w:szCs w:val="21"/>
                <w14:textFill>
                  <w14:solidFill>
                    <w14:schemeClr w14:val="tx1"/>
                  </w14:solidFill>
                </w14:textFill>
              </w:rPr>
              <w:t>类项目</w:t>
            </w:r>
          </w:p>
        </w:tc>
        <w:tc>
          <w:tcPr>
            <w:tcW w:w="1605"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rFonts w:ascii="宋体"/>
                <w:color w:val="000000" w:themeColor="text1"/>
                <w:sz w:val="21"/>
                <w:szCs w:val="21"/>
                <w14:textFill>
                  <w14:solidFill>
                    <w14:schemeClr w14:val="tx1"/>
                  </w14:solidFill>
                </w14:textFill>
              </w:rPr>
              <w:t>Ⅱ</w:t>
            </w:r>
            <w:r>
              <w:rPr>
                <w:color w:val="000000" w:themeColor="text1"/>
                <w:sz w:val="21"/>
                <w:szCs w:val="21"/>
                <w14:textFill>
                  <w14:solidFill>
                    <w14:schemeClr w14:val="tx1"/>
                  </w14:solidFill>
                </w14:textFill>
              </w:rPr>
              <w:t>类项目</w:t>
            </w:r>
          </w:p>
        </w:tc>
        <w:tc>
          <w:tcPr>
            <w:tcW w:w="2131"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rFonts w:ascii="宋体"/>
                <w:color w:val="000000" w:themeColor="text1"/>
                <w:sz w:val="21"/>
                <w:szCs w:val="21"/>
                <w14:textFill>
                  <w14:solidFill>
                    <w14:schemeClr w14:val="tx1"/>
                  </w14:solidFill>
                </w14:textFill>
              </w:rPr>
              <w:t>Ⅲ</w:t>
            </w:r>
            <w:r>
              <w:rPr>
                <w:color w:val="000000" w:themeColor="text1"/>
                <w:sz w:val="21"/>
                <w:szCs w:val="21"/>
                <w14:textFill>
                  <w14:solidFill>
                    <w14:schemeClr w14:val="tx1"/>
                  </w14:solidFill>
                </w14:textFill>
              </w:rPr>
              <w:t>类项目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236"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敏感</w:t>
            </w:r>
          </w:p>
        </w:tc>
        <w:tc>
          <w:tcPr>
            <w:tcW w:w="1550"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w:t>
            </w:r>
          </w:p>
        </w:tc>
        <w:tc>
          <w:tcPr>
            <w:tcW w:w="1605"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w:t>
            </w:r>
          </w:p>
        </w:tc>
        <w:tc>
          <w:tcPr>
            <w:tcW w:w="2131"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236"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较敏感</w:t>
            </w:r>
          </w:p>
        </w:tc>
        <w:tc>
          <w:tcPr>
            <w:tcW w:w="1550"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w:t>
            </w:r>
          </w:p>
        </w:tc>
        <w:tc>
          <w:tcPr>
            <w:tcW w:w="1605"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w:t>
            </w:r>
          </w:p>
        </w:tc>
        <w:tc>
          <w:tcPr>
            <w:tcW w:w="2131"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236"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不敏感</w:t>
            </w:r>
          </w:p>
        </w:tc>
        <w:tc>
          <w:tcPr>
            <w:tcW w:w="1550"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w:t>
            </w:r>
          </w:p>
        </w:tc>
        <w:tc>
          <w:tcPr>
            <w:tcW w:w="1605"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w:t>
            </w:r>
          </w:p>
        </w:tc>
        <w:tc>
          <w:tcPr>
            <w:tcW w:w="2131"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w:t>
            </w:r>
          </w:p>
        </w:tc>
      </w:tr>
    </w:tbl>
    <w:p>
      <w:pPr>
        <w:pStyle w:val="6"/>
        <w:keepNext w:val="0"/>
        <w:keepLines w:val="0"/>
        <w:pageBreakBefore w:val="0"/>
        <w:widowControl w:val="0"/>
        <w:shd w:val="clear" w:color="auto" w:fill="auto"/>
        <w:kinsoku/>
        <w:wordWrap/>
        <w:overflowPunct w:val="0"/>
        <w:topLinePunct w:val="0"/>
        <w:autoSpaceDE/>
        <w:autoSpaceDN/>
        <w:bidi w:val="0"/>
        <w:adjustRightInd/>
        <w:snapToGrid/>
        <w:spacing w:before="0" w:after="0" w:line="360" w:lineRule="auto"/>
        <w:textAlignment w:val="auto"/>
        <w:outlineLvl w:val="3"/>
        <w:rPr>
          <w:rFonts w:hint="default" w:ascii="Times New Roman" w:hAnsi="Times New Roman" w:eastAsia="宋体" w:cs="Times New Roman"/>
          <w:color w:val="000000" w:themeColor="text1"/>
          <w:sz w:val="24"/>
          <w:szCs w:val="24"/>
          <w:lang w:val="zh-CN"/>
          <w14:textFill>
            <w14:solidFill>
              <w14:schemeClr w14:val="tx1"/>
            </w14:solidFill>
          </w14:textFill>
        </w:rPr>
      </w:pPr>
      <w:bookmarkStart w:id="41" w:name="_Toc18690"/>
      <w:bookmarkStart w:id="42" w:name="_Toc25919"/>
      <w:bookmarkStart w:id="43" w:name="_Toc11869"/>
      <w:bookmarkStart w:id="44" w:name="_Toc27698"/>
      <w:r>
        <w:rPr>
          <w:rFonts w:hint="default" w:ascii="Times New Roman" w:hAnsi="Times New Roman" w:eastAsia="宋体" w:cs="Times New Roman"/>
          <w:color w:val="000000" w:themeColor="text1"/>
          <w:sz w:val="24"/>
          <w:szCs w:val="24"/>
          <w:lang w:val="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w:t>
      </w:r>
      <w:r>
        <w:rPr>
          <w:rFonts w:hint="default" w:ascii="Times New Roman" w:hAnsi="Times New Roman" w:eastAsia="宋体" w:cs="Times New Roman"/>
          <w:color w:val="000000" w:themeColor="text1"/>
          <w:sz w:val="24"/>
          <w:szCs w:val="24"/>
          <w:lang w:val="zh-CN"/>
          <w14:textFill>
            <w14:solidFill>
              <w14:schemeClr w14:val="tx1"/>
            </w14:solidFill>
          </w14:textFill>
        </w:rPr>
        <w:t>声环境影响评价等级</w:t>
      </w:r>
      <w:bookmarkEnd w:id="41"/>
      <w:bookmarkEnd w:id="42"/>
      <w:bookmarkEnd w:id="43"/>
      <w:bookmarkEnd w:id="44"/>
    </w:p>
    <w:p>
      <w:pPr>
        <w:overflowPunct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声环境评价等级由以下因素确定：建设项目规模、噪声源种类及数量、项目建设前后噪声级的变化程度和噪声影响范围内的环境保护目标、环境噪声标准和人口分布。</w:t>
      </w:r>
    </w:p>
    <w:p>
      <w:pPr>
        <w:overflowPunct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根据《环境影响评价技术导则-声环境》(HJ2.4-2009)的规定，本建设项目所处的声环境功能区为GB3096规定的3类地区，建设项目建设前后评价范围内敏感目标噪声级增高量在3dB(A)以下(不含3dB(A))，本项目按三级评价。</w:t>
      </w:r>
    </w:p>
    <w:p>
      <w:pPr>
        <w:pStyle w:val="6"/>
        <w:keepNext w:val="0"/>
        <w:keepLines w:val="0"/>
        <w:pageBreakBefore w:val="0"/>
        <w:widowControl w:val="0"/>
        <w:shd w:val="clear" w:color="auto" w:fill="auto"/>
        <w:kinsoku/>
        <w:wordWrap/>
        <w:overflowPunct w:val="0"/>
        <w:topLinePunct w:val="0"/>
        <w:autoSpaceDE/>
        <w:autoSpaceDN/>
        <w:bidi w:val="0"/>
        <w:adjustRightInd/>
        <w:snapToGrid/>
        <w:spacing w:before="0" w:after="0" w:line="360" w:lineRule="auto"/>
        <w:textAlignment w:val="auto"/>
        <w:outlineLvl w:val="3"/>
        <w:rPr>
          <w:rFonts w:hint="default" w:ascii="Times New Roman" w:hAnsi="Times New Roman" w:eastAsia="宋体" w:cs="Times New Roman"/>
          <w:color w:val="000000" w:themeColor="text1"/>
          <w:sz w:val="24"/>
          <w:szCs w:val="24"/>
          <w:lang w:val="zh-CN"/>
          <w14:textFill>
            <w14:solidFill>
              <w14:schemeClr w14:val="tx1"/>
            </w14:solidFill>
          </w14:textFill>
        </w:rPr>
      </w:pPr>
      <w:bookmarkStart w:id="45" w:name="_Toc30170"/>
      <w:bookmarkStart w:id="46" w:name="_Toc20948"/>
      <w:bookmarkStart w:id="47" w:name="_Toc7404"/>
      <w:bookmarkStart w:id="48" w:name="_Toc28373"/>
      <w:bookmarkStart w:id="49" w:name="_Toc14186"/>
      <w:r>
        <w:rPr>
          <w:rFonts w:hint="default" w:ascii="Times New Roman" w:hAnsi="Times New Roman" w:eastAsia="宋体" w:cs="Times New Roman"/>
          <w:color w:val="000000" w:themeColor="text1"/>
          <w:sz w:val="24"/>
          <w:szCs w:val="24"/>
          <w:lang w:val="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lang w:val="zh-CN"/>
          <w14:textFill>
            <w14:solidFill>
              <w14:schemeClr w14:val="tx1"/>
            </w14:solidFill>
          </w14:textFill>
        </w:rPr>
        <w:t>生态环境影响评价等级</w:t>
      </w:r>
      <w:bookmarkEnd w:id="45"/>
      <w:bookmarkEnd w:id="46"/>
      <w:bookmarkEnd w:id="47"/>
      <w:bookmarkEnd w:id="48"/>
      <w:bookmarkEnd w:id="49"/>
    </w:p>
    <w:p>
      <w:pPr>
        <w:overflowPunct w:val="0"/>
        <w:spacing w:line="360" w:lineRule="auto"/>
        <w:ind w:firstLine="480"/>
        <w:rPr>
          <w:color w:val="000000" w:themeColor="text1"/>
          <w14:textFill>
            <w14:solidFill>
              <w14:schemeClr w14:val="tx1"/>
            </w14:solidFill>
          </w14:textFill>
        </w:rPr>
      </w:pPr>
      <w:bookmarkStart w:id="50" w:name="_Toc21125"/>
      <w:bookmarkStart w:id="51" w:name="_Toc1205"/>
      <w:bookmarkStart w:id="52" w:name="_Toc21849"/>
      <w:bookmarkStart w:id="53" w:name="_Toc28811"/>
      <w:bookmarkStart w:id="54" w:name="_Toc7252"/>
      <w:r>
        <w:rPr>
          <w:color w:val="000000" w:themeColor="text1"/>
          <w14:textFill>
            <w14:solidFill>
              <w14:schemeClr w14:val="tx1"/>
            </w14:solidFill>
          </w14:textFill>
        </w:rPr>
        <w:t>项目为新建项目，位于克拉玛依高新技术产业开发区内，不属于特殊或重要生态敏感区。根据《环境影响评价技术导则 生态影响》(HJ19-2011)，本环评将对生态影响进行简要评价。</w:t>
      </w:r>
    </w:p>
    <w:p>
      <w:pPr>
        <w:pStyle w:val="6"/>
        <w:keepNext w:val="0"/>
        <w:keepLines w:val="0"/>
        <w:pageBreakBefore w:val="0"/>
        <w:widowControl w:val="0"/>
        <w:shd w:val="clear" w:color="auto" w:fill="auto"/>
        <w:kinsoku/>
        <w:wordWrap/>
        <w:overflowPunct w:val="0"/>
        <w:topLinePunct w:val="0"/>
        <w:autoSpaceDE/>
        <w:autoSpaceDN/>
        <w:bidi w:val="0"/>
        <w:adjustRightInd/>
        <w:snapToGrid/>
        <w:spacing w:before="0" w:after="0" w:line="360" w:lineRule="auto"/>
        <w:textAlignment w:val="auto"/>
        <w:outlineLvl w:val="3"/>
        <w:rPr>
          <w:rFonts w:hint="default" w:ascii="Times New Roman" w:hAnsi="Times New Roman" w:eastAsia="宋体" w:cs="Times New Roman"/>
          <w:color w:val="000000" w:themeColor="text1"/>
          <w:sz w:val="24"/>
          <w:szCs w:val="24"/>
          <w:lang w:val="zh-CN"/>
          <w14:textFill>
            <w14:solidFill>
              <w14:schemeClr w14:val="tx1"/>
            </w14:solidFill>
          </w14:textFill>
        </w:rPr>
      </w:pPr>
      <w:r>
        <w:rPr>
          <w:rFonts w:hint="default" w:ascii="Times New Roman" w:hAnsi="Times New Roman" w:eastAsia="宋体" w:cs="Times New Roman"/>
          <w:color w:val="000000" w:themeColor="text1"/>
          <w:sz w:val="24"/>
          <w:szCs w:val="24"/>
          <w:lang w:val="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lang w:val="zh-CN"/>
          <w14:textFill>
            <w14:solidFill>
              <w14:schemeClr w14:val="tx1"/>
            </w14:solidFill>
          </w14:textFill>
        </w:rPr>
        <w:t>风险评价等级</w:t>
      </w:r>
      <w:bookmarkEnd w:id="50"/>
      <w:bookmarkEnd w:id="51"/>
      <w:bookmarkEnd w:id="52"/>
      <w:bookmarkEnd w:id="53"/>
      <w:bookmarkEnd w:id="54"/>
    </w:p>
    <w:p>
      <w:pPr>
        <w:pStyle w:val="49"/>
        <w:overflowPunct w:val="0"/>
        <w:spacing w:line="360" w:lineRule="auto"/>
        <w:ind w:firstLine="48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根据国家环保局颁发的《建设项目环境风险评价技术导则》(HJ/T169-2018)风险评价等级划分原则，环境风险评价工作等级划分为一级、二级、三级。具体划分原则为：根据建设项目涉及的物质及工艺系统危险性和所在地的环境敏感性确定环境风险潜势确定评价工作等级。风险潜势为</w:t>
      </w:r>
      <w:r>
        <w:rPr>
          <w:rFonts w:ascii="宋体" w:hAnsi="Times New Roman" w:eastAsia="宋体"/>
          <w:color w:val="000000" w:themeColor="text1"/>
          <w14:textFill>
            <w14:solidFill>
              <w14:schemeClr w14:val="tx1"/>
            </w14:solidFill>
          </w14:textFill>
        </w:rPr>
        <w:t>Ⅳ</w:t>
      </w:r>
      <w:r>
        <w:rPr>
          <w:rFonts w:ascii="Times New Roman" w:hAnsi="Times New Roman" w:eastAsia="宋体"/>
          <w:color w:val="000000" w:themeColor="text1"/>
          <w14:textFill>
            <w14:solidFill>
              <w14:schemeClr w14:val="tx1"/>
            </w14:solidFill>
          </w14:textFill>
        </w:rPr>
        <w:t>及以上，进行一级评价；风险潜势为</w:t>
      </w:r>
      <w:r>
        <w:rPr>
          <w:rFonts w:ascii="宋体" w:hAnsi="Times New Roman" w:eastAsia="宋体"/>
          <w:color w:val="000000" w:themeColor="text1"/>
          <w:sz w:val="21"/>
          <w:szCs w:val="21"/>
          <w14:textFill>
            <w14:solidFill>
              <w14:schemeClr w14:val="tx1"/>
            </w14:solidFill>
          </w14:textFill>
        </w:rPr>
        <w:t>Ⅲ</w:t>
      </w:r>
      <w:r>
        <w:rPr>
          <w:rFonts w:ascii="Times New Roman" w:hAnsi="Times New Roman" w:eastAsia="宋体"/>
          <w:color w:val="000000" w:themeColor="text1"/>
          <w14:textFill>
            <w14:solidFill>
              <w14:schemeClr w14:val="tx1"/>
            </w14:solidFill>
          </w14:textFill>
        </w:rPr>
        <w:t>，进行二级评价；风险潜势为</w:t>
      </w:r>
      <w:r>
        <w:rPr>
          <w:rFonts w:ascii="宋体" w:hAnsi="Times New Roman" w:eastAsia="宋体"/>
          <w:color w:val="000000" w:themeColor="text1"/>
          <w14:textFill>
            <w14:solidFill>
              <w14:schemeClr w14:val="tx1"/>
            </w14:solidFill>
          </w14:textFill>
        </w:rPr>
        <w:t>Ⅱ</w:t>
      </w:r>
      <w:r>
        <w:rPr>
          <w:rFonts w:ascii="Times New Roman" w:hAnsi="Times New Roman" w:eastAsia="宋体"/>
          <w:color w:val="000000" w:themeColor="text1"/>
          <w14:textFill>
            <w14:solidFill>
              <w14:schemeClr w14:val="tx1"/>
            </w14:solidFill>
          </w14:textFill>
        </w:rPr>
        <w:t>，进行三级评价；风险潜势为</w:t>
      </w:r>
      <w:r>
        <w:rPr>
          <w:rFonts w:ascii="宋体" w:hAnsi="Times New Roman" w:eastAsia="宋体"/>
          <w:color w:val="000000" w:themeColor="text1"/>
          <w14:textFill>
            <w14:solidFill>
              <w14:schemeClr w14:val="tx1"/>
            </w14:solidFill>
          </w14:textFill>
        </w:rPr>
        <w:t>Ⅰ</w:t>
      </w:r>
      <w:r>
        <w:rPr>
          <w:rFonts w:ascii="Times New Roman" w:hAnsi="Times New Roman" w:eastAsia="宋体"/>
          <w:color w:val="000000" w:themeColor="text1"/>
          <w14:textFill>
            <w14:solidFill>
              <w14:schemeClr w14:val="tx1"/>
            </w14:solidFill>
          </w14:textFill>
        </w:rPr>
        <w:t>，可开展简单分析。评价工作等级划分，见表1.</w:t>
      </w:r>
      <w:r>
        <w:rPr>
          <w:rFonts w:hint="eastAsia" w:ascii="Times New Roman" w:hAnsi="Times New Roman" w:eastAsia="宋体"/>
          <w:color w:val="000000" w:themeColor="text1"/>
          <w:lang w:val="en-US" w:eastAsia="zh-CN"/>
          <w14:textFill>
            <w14:solidFill>
              <w14:schemeClr w14:val="tx1"/>
            </w14:solidFill>
          </w14:textFill>
        </w:rPr>
        <w:t>6-8</w:t>
      </w:r>
      <w:r>
        <w:rPr>
          <w:rFonts w:ascii="Times New Roman" w:hAnsi="Times New Roman" w:eastAsia="宋体"/>
          <w:color w:val="000000" w:themeColor="text1"/>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表1.</w:t>
      </w:r>
      <w:r>
        <w:rPr>
          <w:rFonts w:hint="eastAsia" w:eastAsia="黑体" w:cs="Times New Roman"/>
          <w:color w:val="000000" w:themeColor="text1"/>
          <w:spacing w:val="0"/>
          <w:w w:val="100"/>
          <w:position w:val="0"/>
          <w:sz w:val="21"/>
          <w:szCs w:val="21"/>
          <w:lang w:val="en-US" w:eastAsia="zh-CN" w:bidi="zh-CN"/>
          <w14:textFill>
            <w14:solidFill>
              <w14:schemeClr w14:val="tx1"/>
            </w14:solidFill>
          </w14:textFill>
        </w:rPr>
        <w:t>6-8</w:t>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 xml:space="preserve">   评价工作级别划分</w:t>
      </w:r>
    </w:p>
    <w:tbl>
      <w:tblPr>
        <w:tblStyle w:val="21"/>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4"/>
        <w:gridCol w:w="1620"/>
        <w:gridCol w:w="1753"/>
        <w:gridCol w:w="2006"/>
        <w:gridCol w:w="16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7" w:hRule="atLeast"/>
          <w:jc w:val="center"/>
        </w:trPr>
        <w:tc>
          <w:tcPr>
            <w:tcW w:w="1524" w:type="dxa"/>
            <w:noWrap w:val="0"/>
            <w:vAlign w:val="center"/>
          </w:tcPr>
          <w:p>
            <w:pPr>
              <w:pStyle w:val="55"/>
              <w:keepNext w:val="0"/>
              <w:keepLines w:val="0"/>
              <w:pageBreakBefore w:val="0"/>
              <w:widowControl w:val="0"/>
              <w:kinsoku/>
              <w:wordWrap/>
              <w:overflowPunct w:val="0"/>
              <w:topLinePunct w:val="0"/>
              <w:autoSpaceDE/>
              <w:autoSpaceDN/>
              <w:bidi w:val="0"/>
              <w:adjustRightInd/>
              <w:snapToGrid/>
              <w:spacing w:line="240" w:lineRule="auto"/>
              <w:contextualSpacing/>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环境风险潜势</w:t>
            </w:r>
          </w:p>
        </w:tc>
        <w:tc>
          <w:tcPr>
            <w:tcW w:w="1620" w:type="dxa"/>
            <w:noWrap w:val="0"/>
            <w:vAlign w:val="center"/>
          </w:tcPr>
          <w:p>
            <w:pPr>
              <w:pStyle w:val="55"/>
              <w:keepNext w:val="0"/>
              <w:keepLines w:val="0"/>
              <w:pageBreakBefore w:val="0"/>
              <w:widowControl w:val="0"/>
              <w:kinsoku/>
              <w:wordWrap/>
              <w:overflowPunct w:val="0"/>
              <w:topLinePunct w:val="0"/>
              <w:autoSpaceDE/>
              <w:autoSpaceDN/>
              <w:bidi w:val="0"/>
              <w:adjustRightInd/>
              <w:snapToGrid/>
              <w:spacing w:line="240" w:lineRule="auto"/>
              <w:contextualSpacing/>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4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IV</w:t>
            </w:r>
            <w:r>
              <w:rPr>
                <w:rFonts w:hint="default" w:ascii="Times New Roman" w:hAnsi="Times New Roman" w:cs="Times New Roman"/>
                <w:color w:val="000000" w:themeColor="text1"/>
                <w:sz w:val="21"/>
                <w:szCs w:val="21"/>
                <w14:textFill>
                  <w14:solidFill>
                    <w14:schemeClr w14:val="tx1"/>
                  </w14:solidFill>
                </w14:textFill>
              </w:rPr>
              <w:fldChar w:fldCharType="end"/>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4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IV</w:t>
            </w:r>
            <w:r>
              <w:rPr>
                <w:rFonts w:hint="default" w:ascii="Times New Roman" w:hAnsi="Times New Roman" w:cs="Times New Roman"/>
                <w:color w:val="000000" w:themeColor="text1"/>
                <w:sz w:val="21"/>
                <w:szCs w:val="21"/>
                <w14:textFill>
                  <w14:solidFill>
                    <w14:schemeClr w14:val="tx1"/>
                  </w14:solidFill>
                </w14:textFill>
              </w:rPr>
              <w:fldChar w:fldCharType="end"/>
            </w:r>
            <w:r>
              <w:rPr>
                <w:rFonts w:hint="default" w:ascii="Times New Roman" w:hAnsi="Times New Roman" w:cs="Times New Roman"/>
                <w:color w:val="000000" w:themeColor="text1"/>
                <w:sz w:val="21"/>
                <w:szCs w:val="21"/>
                <w:vertAlign w:val="superscript"/>
                <w14:textFill>
                  <w14:solidFill>
                    <w14:schemeClr w14:val="tx1"/>
                  </w14:solidFill>
                </w14:textFill>
              </w:rPr>
              <w:t>+</w:t>
            </w:r>
          </w:p>
        </w:tc>
        <w:tc>
          <w:tcPr>
            <w:tcW w:w="1753" w:type="dxa"/>
            <w:noWrap w:val="0"/>
            <w:vAlign w:val="center"/>
          </w:tcPr>
          <w:p>
            <w:pPr>
              <w:pStyle w:val="55"/>
              <w:keepNext w:val="0"/>
              <w:keepLines w:val="0"/>
              <w:pageBreakBefore w:val="0"/>
              <w:widowControl w:val="0"/>
              <w:kinsoku/>
              <w:wordWrap/>
              <w:overflowPunct w:val="0"/>
              <w:topLinePunct w:val="0"/>
              <w:autoSpaceDE/>
              <w:autoSpaceDN/>
              <w:bidi w:val="0"/>
              <w:adjustRightInd/>
              <w:snapToGrid/>
              <w:spacing w:line="240" w:lineRule="auto"/>
              <w:contextualSpacing/>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3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III</w:t>
            </w:r>
            <w:r>
              <w:rPr>
                <w:rFonts w:hint="default" w:ascii="Times New Roman" w:hAnsi="Times New Roman" w:cs="Times New Roman"/>
                <w:color w:val="000000" w:themeColor="text1"/>
                <w:sz w:val="21"/>
                <w:szCs w:val="21"/>
                <w14:textFill>
                  <w14:solidFill>
                    <w14:schemeClr w14:val="tx1"/>
                  </w14:solidFill>
                </w14:textFill>
              </w:rPr>
              <w:fldChar w:fldCharType="end"/>
            </w:r>
          </w:p>
        </w:tc>
        <w:tc>
          <w:tcPr>
            <w:tcW w:w="2006" w:type="dxa"/>
            <w:noWrap w:val="0"/>
            <w:vAlign w:val="center"/>
          </w:tcPr>
          <w:p>
            <w:pPr>
              <w:pStyle w:val="55"/>
              <w:keepNext w:val="0"/>
              <w:keepLines w:val="0"/>
              <w:pageBreakBefore w:val="0"/>
              <w:widowControl w:val="0"/>
              <w:kinsoku/>
              <w:wordWrap/>
              <w:overflowPunct w:val="0"/>
              <w:topLinePunct w:val="0"/>
              <w:autoSpaceDE/>
              <w:autoSpaceDN/>
              <w:bidi w:val="0"/>
              <w:adjustRightInd/>
              <w:snapToGrid/>
              <w:spacing w:line="240" w:lineRule="auto"/>
              <w:contextualSpacing/>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2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II</w:t>
            </w:r>
            <w:r>
              <w:rPr>
                <w:rFonts w:hint="default" w:ascii="Times New Roman" w:hAnsi="Times New Roman" w:cs="Times New Roman"/>
                <w:color w:val="000000" w:themeColor="text1"/>
                <w:sz w:val="21"/>
                <w:szCs w:val="21"/>
                <w14:textFill>
                  <w14:solidFill>
                    <w14:schemeClr w14:val="tx1"/>
                  </w14:solidFill>
                </w14:textFill>
              </w:rPr>
              <w:fldChar w:fldCharType="end"/>
            </w:r>
          </w:p>
        </w:tc>
        <w:tc>
          <w:tcPr>
            <w:tcW w:w="1619" w:type="dxa"/>
            <w:noWrap w:val="0"/>
            <w:vAlign w:val="center"/>
          </w:tcPr>
          <w:p>
            <w:pPr>
              <w:pStyle w:val="55"/>
              <w:keepNext w:val="0"/>
              <w:keepLines w:val="0"/>
              <w:pageBreakBefore w:val="0"/>
              <w:widowControl w:val="0"/>
              <w:kinsoku/>
              <w:wordWrap/>
              <w:overflowPunct w:val="0"/>
              <w:topLinePunct w:val="0"/>
              <w:autoSpaceDE/>
              <w:autoSpaceDN/>
              <w:bidi w:val="0"/>
              <w:adjustRightInd/>
              <w:snapToGrid/>
              <w:spacing w:line="240" w:lineRule="auto"/>
              <w:contextualSpacing/>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1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w:t>
            </w:r>
            <w:r>
              <w:rPr>
                <w:rFonts w:hint="default" w:ascii="Times New Roman" w:hAnsi="Times New Roman" w:cs="Times New Roman"/>
                <w:color w:val="000000" w:themeColor="text1"/>
                <w:sz w:val="21"/>
                <w:szCs w:val="21"/>
                <w14:textFill>
                  <w14:solidFill>
                    <w14:schemeClr w14:val="tx1"/>
                  </w14:solidFill>
                </w14:textFill>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6" w:hRule="atLeast"/>
          <w:jc w:val="center"/>
        </w:trPr>
        <w:tc>
          <w:tcPr>
            <w:tcW w:w="1524" w:type="dxa"/>
            <w:noWrap w:val="0"/>
            <w:vAlign w:val="center"/>
          </w:tcPr>
          <w:p>
            <w:pPr>
              <w:pStyle w:val="55"/>
              <w:keepNext w:val="0"/>
              <w:keepLines w:val="0"/>
              <w:pageBreakBefore w:val="0"/>
              <w:widowControl w:val="0"/>
              <w:kinsoku/>
              <w:wordWrap/>
              <w:overflowPunct w:val="0"/>
              <w:topLinePunct w:val="0"/>
              <w:autoSpaceDE/>
              <w:autoSpaceDN/>
              <w:bidi w:val="0"/>
              <w:adjustRightInd/>
              <w:snapToGrid/>
              <w:spacing w:line="240" w:lineRule="auto"/>
              <w:contextualSpacing/>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评价工作级</w:t>
            </w:r>
          </w:p>
        </w:tc>
        <w:tc>
          <w:tcPr>
            <w:tcW w:w="1620" w:type="dxa"/>
            <w:noWrap w:val="0"/>
            <w:vAlign w:val="center"/>
          </w:tcPr>
          <w:p>
            <w:pPr>
              <w:pStyle w:val="55"/>
              <w:keepNext w:val="0"/>
              <w:keepLines w:val="0"/>
              <w:pageBreakBefore w:val="0"/>
              <w:widowControl w:val="0"/>
              <w:kinsoku/>
              <w:wordWrap/>
              <w:overflowPunct w:val="0"/>
              <w:topLinePunct w:val="0"/>
              <w:autoSpaceDE/>
              <w:autoSpaceDN/>
              <w:bidi w:val="0"/>
              <w:adjustRightInd/>
              <w:snapToGrid/>
              <w:spacing w:line="240" w:lineRule="auto"/>
              <w:contextualSpacing/>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w:t>
            </w:r>
          </w:p>
        </w:tc>
        <w:tc>
          <w:tcPr>
            <w:tcW w:w="1753" w:type="dxa"/>
            <w:noWrap w:val="0"/>
            <w:vAlign w:val="center"/>
          </w:tcPr>
          <w:p>
            <w:pPr>
              <w:pStyle w:val="55"/>
              <w:keepNext w:val="0"/>
              <w:keepLines w:val="0"/>
              <w:pageBreakBefore w:val="0"/>
              <w:widowControl w:val="0"/>
              <w:kinsoku/>
              <w:wordWrap/>
              <w:overflowPunct w:val="0"/>
              <w:topLinePunct w:val="0"/>
              <w:autoSpaceDE/>
              <w:autoSpaceDN/>
              <w:bidi w:val="0"/>
              <w:adjustRightInd/>
              <w:snapToGrid/>
              <w:spacing w:line="240" w:lineRule="auto"/>
              <w:contextualSpacing/>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w:t>
            </w:r>
          </w:p>
        </w:tc>
        <w:tc>
          <w:tcPr>
            <w:tcW w:w="2006" w:type="dxa"/>
            <w:noWrap w:val="0"/>
            <w:vAlign w:val="center"/>
          </w:tcPr>
          <w:p>
            <w:pPr>
              <w:pStyle w:val="55"/>
              <w:keepNext w:val="0"/>
              <w:keepLines w:val="0"/>
              <w:pageBreakBefore w:val="0"/>
              <w:widowControl w:val="0"/>
              <w:kinsoku/>
              <w:wordWrap/>
              <w:overflowPunct w:val="0"/>
              <w:topLinePunct w:val="0"/>
              <w:autoSpaceDE/>
              <w:autoSpaceDN/>
              <w:bidi w:val="0"/>
              <w:adjustRightInd/>
              <w:snapToGrid/>
              <w:spacing w:line="240" w:lineRule="auto"/>
              <w:contextualSpacing/>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w:t>
            </w:r>
          </w:p>
        </w:tc>
        <w:tc>
          <w:tcPr>
            <w:tcW w:w="1619" w:type="dxa"/>
            <w:noWrap w:val="0"/>
            <w:vAlign w:val="center"/>
          </w:tcPr>
          <w:p>
            <w:pPr>
              <w:pStyle w:val="55"/>
              <w:keepNext w:val="0"/>
              <w:keepLines w:val="0"/>
              <w:pageBreakBefore w:val="0"/>
              <w:widowControl w:val="0"/>
              <w:kinsoku/>
              <w:wordWrap/>
              <w:overflowPunct w:val="0"/>
              <w:topLinePunct w:val="0"/>
              <w:autoSpaceDE/>
              <w:autoSpaceDN/>
              <w:bidi w:val="0"/>
              <w:adjustRightInd/>
              <w:snapToGrid/>
              <w:spacing w:line="240" w:lineRule="auto"/>
              <w:contextualSpacing/>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简单分析</w:t>
            </w:r>
            <w:r>
              <w:rPr>
                <w:rFonts w:hint="default" w:ascii="Times New Roman" w:hAnsi="Times New Roman" w:cs="Times New Roman"/>
                <w:color w:val="000000" w:themeColor="text1"/>
                <w:sz w:val="21"/>
                <w:szCs w:val="21"/>
                <w:vertAlign w:val="superscript"/>
                <w14:textFill>
                  <w14:solidFill>
                    <w14:schemeClr w14:val="tx1"/>
                  </w14:solidFill>
                </w14:textFill>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5" w:hRule="atLeast"/>
          <w:jc w:val="center"/>
        </w:trPr>
        <w:tc>
          <w:tcPr>
            <w:tcW w:w="8522" w:type="dxa"/>
            <w:gridSpan w:val="5"/>
            <w:noWrap w:val="0"/>
            <w:vAlign w:val="center"/>
          </w:tcPr>
          <w:p>
            <w:pPr>
              <w:pStyle w:val="55"/>
              <w:keepNext w:val="0"/>
              <w:keepLines w:val="0"/>
              <w:pageBreakBefore w:val="0"/>
              <w:widowControl w:val="0"/>
              <w:kinsoku/>
              <w:wordWrap/>
              <w:overflowPunct w:val="0"/>
              <w:topLinePunct w:val="0"/>
              <w:autoSpaceDE/>
              <w:autoSpaceDN/>
              <w:bidi w:val="0"/>
              <w:adjustRightInd/>
              <w:snapToGrid/>
              <w:spacing w:line="240" w:lineRule="auto"/>
              <w:contextualSpacing/>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vertAlign w:val="super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 xml:space="preserve"> 是相对于详细评价工作内容而言，在描述危险物质、环境影响途径、环境危害后果、风险防范措施等方面给出定性的说明。见附录A。</w:t>
            </w:r>
          </w:p>
        </w:tc>
      </w:tr>
    </w:tbl>
    <w:p>
      <w:pPr>
        <w:pStyle w:val="49"/>
        <w:overflowPunct w:val="0"/>
        <w:spacing w:before="312" w:beforeLines="100" w:line="360" w:lineRule="auto"/>
        <w:ind w:firstLine="48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建设项目环境风险潜势划分，见表1.</w:t>
      </w:r>
      <w:r>
        <w:rPr>
          <w:rFonts w:hint="eastAsia" w:ascii="Times New Roman" w:hAnsi="Times New Roman" w:eastAsia="宋体"/>
          <w:color w:val="000000" w:themeColor="text1"/>
          <w:lang w:val="en-US" w:eastAsia="zh-CN"/>
          <w14:textFill>
            <w14:solidFill>
              <w14:schemeClr w14:val="tx1"/>
            </w14:solidFill>
          </w14:textFill>
        </w:rPr>
        <w:t>6-9</w:t>
      </w:r>
      <w:r>
        <w:rPr>
          <w:rFonts w:ascii="Times New Roman" w:hAnsi="Times New Roman" w:eastAsia="宋体"/>
          <w:color w:val="000000" w:themeColor="text1"/>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表1.</w:t>
      </w:r>
      <w:r>
        <w:rPr>
          <w:rFonts w:hint="eastAsia" w:eastAsia="黑体" w:cs="Times New Roman"/>
          <w:color w:val="000000" w:themeColor="text1"/>
          <w:spacing w:val="0"/>
          <w:w w:val="100"/>
          <w:position w:val="0"/>
          <w:sz w:val="21"/>
          <w:szCs w:val="21"/>
          <w:lang w:val="en-US" w:eastAsia="zh-CN" w:bidi="zh-CN"/>
          <w14:textFill>
            <w14:solidFill>
              <w14:schemeClr w14:val="tx1"/>
            </w14:solidFill>
          </w14:textFill>
        </w:rPr>
        <w:t>6-9</w:t>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 xml:space="preserve">    建设项目环境风险潜势划分</w:t>
      </w:r>
    </w:p>
    <w:tbl>
      <w:tblPr>
        <w:tblStyle w:val="21"/>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62"/>
        <w:gridCol w:w="1500"/>
        <w:gridCol w:w="1535"/>
        <w:gridCol w:w="2006"/>
        <w:gridCol w:w="16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7" w:hRule="atLeast"/>
          <w:jc w:val="center"/>
        </w:trPr>
        <w:tc>
          <w:tcPr>
            <w:tcW w:w="1862" w:type="dxa"/>
            <w:vMerge w:val="restart"/>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环境敏感程度(E)</w:t>
            </w:r>
          </w:p>
        </w:tc>
        <w:tc>
          <w:tcPr>
            <w:tcW w:w="6660" w:type="dxa"/>
            <w:gridSpan w:val="4"/>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危险物质及工艺系统危险性(P)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6" w:hRule="atLeast"/>
          <w:jc w:val="center"/>
        </w:trPr>
        <w:tc>
          <w:tcPr>
            <w:tcW w:w="1862" w:type="dxa"/>
            <w:vMerge w:val="continue"/>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p>
        </w:tc>
        <w:tc>
          <w:tcPr>
            <w:tcW w:w="1500"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极高危害(P1)</w:t>
            </w:r>
          </w:p>
        </w:tc>
        <w:tc>
          <w:tcPr>
            <w:tcW w:w="1535"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高度危害(P2)</w:t>
            </w:r>
          </w:p>
        </w:tc>
        <w:tc>
          <w:tcPr>
            <w:tcW w:w="2006"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中度危害(P3)</w:t>
            </w:r>
          </w:p>
        </w:tc>
        <w:tc>
          <w:tcPr>
            <w:tcW w:w="1619"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轻度危害(P4)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6" w:hRule="atLeast"/>
          <w:jc w:val="center"/>
        </w:trPr>
        <w:tc>
          <w:tcPr>
            <w:tcW w:w="1862"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环境敏感程度(E1)</w:t>
            </w:r>
          </w:p>
        </w:tc>
        <w:tc>
          <w:tcPr>
            <w:tcW w:w="1500"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4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IV</w:t>
            </w:r>
            <w:r>
              <w:rPr>
                <w:rFonts w:hint="default" w:ascii="Times New Roman" w:hAnsi="Times New Roman" w:cs="Times New Roman"/>
                <w:color w:val="000000" w:themeColor="text1"/>
                <w:sz w:val="21"/>
                <w:szCs w:val="21"/>
                <w14:textFill>
                  <w14:solidFill>
                    <w14:schemeClr w14:val="tx1"/>
                  </w14:solidFill>
                </w14:textFill>
              </w:rPr>
              <w:fldChar w:fldCharType="end"/>
            </w:r>
            <w:r>
              <w:rPr>
                <w:rFonts w:hint="default" w:ascii="Times New Roman" w:hAnsi="Times New Roman" w:cs="Times New Roman"/>
                <w:color w:val="000000" w:themeColor="text1"/>
                <w:sz w:val="21"/>
                <w:szCs w:val="21"/>
                <w:vertAlign w:val="superscript"/>
                <w14:textFill>
                  <w14:solidFill>
                    <w14:schemeClr w14:val="tx1"/>
                  </w14:solidFill>
                </w14:textFill>
              </w:rPr>
              <w:t>+</w:t>
            </w:r>
          </w:p>
        </w:tc>
        <w:tc>
          <w:tcPr>
            <w:tcW w:w="1535"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4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IV</w:t>
            </w:r>
            <w:r>
              <w:rPr>
                <w:rFonts w:hint="default" w:ascii="Times New Roman" w:hAnsi="Times New Roman" w:cs="Times New Roman"/>
                <w:color w:val="000000" w:themeColor="text1"/>
                <w:sz w:val="21"/>
                <w:szCs w:val="21"/>
                <w14:textFill>
                  <w14:solidFill>
                    <w14:schemeClr w14:val="tx1"/>
                  </w14:solidFill>
                </w14:textFill>
              </w:rPr>
              <w:fldChar w:fldCharType="end"/>
            </w:r>
          </w:p>
        </w:tc>
        <w:tc>
          <w:tcPr>
            <w:tcW w:w="2006"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3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III</w:t>
            </w:r>
            <w:r>
              <w:rPr>
                <w:rFonts w:hint="default" w:ascii="Times New Roman" w:hAnsi="Times New Roman" w:cs="Times New Roman"/>
                <w:color w:val="000000" w:themeColor="text1"/>
                <w:sz w:val="21"/>
                <w:szCs w:val="21"/>
                <w14:textFill>
                  <w14:solidFill>
                    <w14:schemeClr w14:val="tx1"/>
                  </w14:solidFill>
                </w14:textFill>
              </w:rPr>
              <w:fldChar w:fldCharType="end"/>
            </w:r>
          </w:p>
        </w:tc>
        <w:tc>
          <w:tcPr>
            <w:tcW w:w="1619"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3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III</w:t>
            </w:r>
            <w:r>
              <w:rPr>
                <w:rFonts w:hint="default" w:ascii="Times New Roman" w:hAnsi="Times New Roman" w:cs="Times New Roman"/>
                <w:color w:val="000000" w:themeColor="text1"/>
                <w:sz w:val="21"/>
                <w:szCs w:val="21"/>
                <w14:textFill>
                  <w14:solidFill>
                    <w14:schemeClr w14:val="tx1"/>
                  </w14:solidFill>
                </w14:textFill>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6" w:hRule="atLeast"/>
          <w:jc w:val="center"/>
        </w:trPr>
        <w:tc>
          <w:tcPr>
            <w:tcW w:w="1862"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环境敏感程度(E2)</w:t>
            </w:r>
          </w:p>
        </w:tc>
        <w:tc>
          <w:tcPr>
            <w:tcW w:w="1500"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4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IV</w:t>
            </w:r>
            <w:r>
              <w:rPr>
                <w:rFonts w:hint="default" w:ascii="Times New Roman" w:hAnsi="Times New Roman" w:cs="Times New Roman"/>
                <w:color w:val="000000" w:themeColor="text1"/>
                <w:sz w:val="21"/>
                <w:szCs w:val="21"/>
                <w14:textFill>
                  <w14:solidFill>
                    <w14:schemeClr w14:val="tx1"/>
                  </w14:solidFill>
                </w14:textFill>
              </w:rPr>
              <w:fldChar w:fldCharType="end"/>
            </w:r>
          </w:p>
        </w:tc>
        <w:tc>
          <w:tcPr>
            <w:tcW w:w="1535"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3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III</w:t>
            </w:r>
            <w:r>
              <w:rPr>
                <w:rFonts w:hint="default" w:ascii="Times New Roman" w:hAnsi="Times New Roman" w:cs="Times New Roman"/>
                <w:color w:val="000000" w:themeColor="text1"/>
                <w:sz w:val="21"/>
                <w:szCs w:val="21"/>
                <w14:textFill>
                  <w14:solidFill>
                    <w14:schemeClr w14:val="tx1"/>
                  </w14:solidFill>
                </w14:textFill>
              </w:rPr>
              <w:fldChar w:fldCharType="end"/>
            </w:r>
          </w:p>
        </w:tc>
        <w:tc>
          <w:tcPr>
            <w:tcW w:w="2006"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3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III</w:t>
            </w:r>
            <w:r>
              <w:rPr>
                <w:rFonts w:hint="default" w:ascii="Times New Roman" w:hAnsi="Times New Roman" w:cs="Times New Roman"/>
                <w:color w:val="000000" w:themeColor="text1"/>
                <w:sz w:val="21"/>
                <w:szCs w:val="21"/>
                <w14:textFill>
                  <w14:solidFill>
                    <w14:schemeClr w14:val="tx1"/>
                  </w14:solidFill>
                </w14:textFill>
              </w:rPr>
              <w:fldChar w:fldCharType="end"/>
            </w:r>
          </w:p>
        </w:tc>
        <w:tc>
          <w:tcPr>
            <w:tcW w:w="1619"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2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II</w:t>
            </w:r>
            <w:r>
              <w:rPr>
                <w:rFonts w:hint="default" w:ascii="Times New Roman" w:hAnsi="Times New Roman" w:cs="Times New Roman"/>
                <w:color w:val="000000" w:themeColor="text1"/>
                <w:sz w:val="21"/>
                <w:szCs w:val="21"/>
                <w14:textFill>
                  <w14:solidFill>
                    <w14:schemeClr w14:val="tx1"/>
                  </w14:solidFill>
                </w14:textFill>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6" w:hRule="atLeast"/>
          <w:jc w:val="center"/>
        </w:trPr>
        <w:tc>
          <w:tcPr>
            <w:tcW w:w="1862"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环境敏感程度(E3)</w:t>
            </w:r>
          </w:p>
        </w:tc>
        <w:tc>
          <w:tcPr>
            <w:tcW w:w="1500"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3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III</w:t>
            </w:r>
            <w:r>
              <w:rPr>
                <w:rFonts w:hint="default" w:ascii="Times New Roman" w:hAnsi="Times New Roman" w:cs="Times New Roman"/>
                <w:color w:val="000000" w:themeColor="text1"/>
                <w:sz w:val="21"/>
                <w:szCs w:val="21"/>
                <w14:textFill>
                  <w14:solidFill>
                    <w14:schemeClr w14:val="tx1"/>
                  </w14:solidFill>
                </w14:textFill>
              </w:rPr>
              <w:fldChar w:fldCharType="end"/>
            </w:r>
          </w:p>
        </w:tc>
        <w:tc>
          <w:tcPr>
            <w:tcW w:w="1535"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3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III</w:t>
            </w:r>
            <w:r>
              <w:rPr>
                <w:rFonts w:hint="default" w:ascii="Times New Roman" w:hAnsi="Times New Roman" w:cs="Times New Roman"/>
                <w:color w:val="000000" w:themeColor="text1"/>
                <w:sz w:val="21"/>
                <w:szCs w:val="21"/>
                <w14:textFill>
                  <w14:solidFill>
                    <w14:schemeClr w14:val="tx1"/>
                  </w14:solidFill>
                </w14:textFill>
              </w:rPr>
              <w:fldChar w:fldCharType="end"/>
            </w:r>
          </w:p>
        </w:tc>
        <w:tc>
          <w:tcPr>
            <w:tcW w:w="2006"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2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II</w:t>
            </w:r>
            <w:r>
              <w:rPr>
                <w:rFonts w:hint="default" w:ascii="Times New Roman" w:hAnsi="Times New Roman" w:cs="Times New Roman"/>
                <w:color w:val="000000" w:themeColor="text1"/>
                <w:sz w:val="21"/>
                <w:szCs w:val="21"/>
                <w14:textFill>
                  <w14:solidFill>
                    <w14:schemeClr w14:val="tx1"/>
                  </w14:solidFill>
                </w14:textFill>
              </w:rPr>
              <w:fldChar w:fldCharType="end"/>
            </w:r>
          </w:p>
        </w:tc>
        <w:tc>
          <w:tcPr>
            <w:tcW w:w="1619" w:type="dxa"/>
            <w:noWrap w:val="0"/>
            <w:vAlign w:val="center"/>
          </w:tcPr>
          <w:p>
            <w:pPr>
              <w:pStyle w:val="55"/>
              <w:overflowPunct w:val="0"/>
              <w:autoSpaceDE/>
              <w:autoSpaceDN/>
              <w:adjustRightInd/>
              <w:spacing w:line="360" w:lineRule="exact"/>
              <w:contextualSpacing/>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1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w:t>
            </w:r>
            <w:r>
              <w:rPr>
                <w:rFonts w:hint="default" w:ascii="Times New Roman" w:hAnsi="Times New Roman" w:cs="Times New Roman"/>
                <w:color w:val="000000" w:themeColor="text1"/>
                <w:sz w:val="21"/>
                <w:szCs w:val="21"/>
                <w14:textFill>
                  <w14:solidFill>
                    <w14:schemeClr w14:val="tx1"/>
                  </w14:solidFill>
                </w14:textFill>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0" w:hRule="atLeast"/>
          <w:jc w:val="center"/>
        </w:trPr>
        <w:tc>
          <w:tcPr>
            <w:tcW w:w="8522" w:type="dxa"/>
            <w:gridSpan w:val="5"/>
            <w:noWrap w:val="0"/>
            <w:vAlign w:val="center"/>
          </w:tcPr>
          <w:p>
            <w:pPr>
              <w:pStyle w:val="55"/>
              <w:overflowPunct w:val="0"/>
              <w:autoSpaceDE/>
              <w:autoSpaceDN/>
              <w:adjustRightInd/>
              <w:spacing w:line="360" w:lineRule="exact"/>
              <w:contextualSpacing/>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注：</w:t>
            </w: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4 \* ROMAN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IV</w:t>
            </w:r>
            <w:r>
              <w:rPr>
                <w:rFonts w:hint="default" w:ascii="Times New Roman" w:hAnsi="Times New Roman" w:cs="Times New Roman"/>
                <w:color w:val="000000" w:themeColor="text1"/>
                <w:sz w:val="21"/>
                <w:szCs w:val="21"/>
                <w14:textFill>
                  <w14:solidFill>
                    <w14:schemeClr w14:val="tx1"/>
                  </w14:solidFill>
                </w14:textFill>
              </w:rPr>
              <w:fldChar w:fldCharType="end"/>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为极高环境风险。</w:t>
            </w:r>
          </w:p>
        </w:tc>
      </w:tr>
    </w:tbl>
    <w:p>
      <w:pPr>
        <w:pStyle w:val="49"/>
        <w:keepNext w:val="0"/>
        <w:keepLines w:val="0"/>
        <w:pageBreakBefore w:val="0"/>
        <w:widowControl w:val="0"/>
        <w:kinsoku/>
        <w:wordWrap/>
        <w:overflowPunct w:val="0"/>
        <w:topLinePunct w:val="0"/>
        <w:autoSpaceDE/>
        <w:autoSpaceDN/>
        <w:bidi w:val="0"/>
        <w:adjustRightInd/>
        <w:snapToGrid/>
        <w:spacing w:before="361" w:beforeLines="100" w:line="360" w:lineRule="auto"/>
        <w:ind w:firstLine="480"/>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lang w:val="zh-CN"/>
          <w14:textFill>
            <w14:solidFill>
              <w14:schemeClr w14:val="tx1"/>
            </w14:solidFill>
          </w14:textFill>
        </w:rPr>
        <w:t>危险物质及工艺系统危险性</w:t>
      </w:r>
      <w:r>
        <w:rPr>
          <w:rFonts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lang w:val="zh-CN"/>
          <w14:textFill>
            <w14:solidFill>
              <w14:schemeClr w14:val="tx1"/>
            </w14:solidFill>
          </w14:textFill>
        </w:rPr>
        <w:t>P</w:t>
      </w:r>
      <w:r>
        <w:rPr>
          <w:rFonts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lang w:val="zh-CN"/>
          <w14:textFill>
            <w14:solidFill>
              <w14:schemeClr w14:val="tx1"/>
            </w14:solidFill>
          </w14:textFill>
        </w:rPr>
        <w:t>分级中，需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当只涉及一种危险物质时，计算该物质的总量与其临界量比值，即为Q；当存在多种危险物质时，则按式</w:t>
      </w:r>
      <w:r>
        <w:rPr>
          <w:rFonts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lang w:val="zh-CN"/>
          <w14:textFill>
            <w14:solidFill>
              <w14:schemeClr w14:val="tx1"/>
            </w14:solidFill>
          </w14:textFill>
        </w:rPr>
        <w:t>C</w:t>
      </w:r>
      <w:r>
        <w:rPr>
          <w:rFonts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lang w:val="zh-CN"/>
          <w14:textFill>
            <w14:solidFill>
              <w14:schemeClr w14:val="tx1"/>
            </w14:solidFill>
          </w14:textFill>
        </w:rPr>
        <w:t>1</w:t>
      </w:r>
      <w:r>
        <w:rPr>
          <w:rFonts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lang w:val="zh-CN"/>
          <w14:textFill>
            <w14:solidFill>
              <w14:schemeClr w14:val="tx1"/>
            </w14:solidFill>
          </w14:textFill>
        </w:rPr>
        <w:t>计算物质总量与其临界量比值</w:t>
      </w:r>
      <w:r>
        <w:rPr>
          <w:rFonts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lang w:val="zh-CN"/>
          <w14:textFill>
            <w14:solidFill>
              <w14:schemeClr w14:val="tx1"/>
            </w14:solidFill>
          </w14:textFill>
        </w:rPr>
        <w:t>Q</w:t>
      </w:r>
      <w:r>
        <w:rPr>
          <w:rFonts w:ascii="Times New Roman" w:hAnsi="Times New Roman" w:eastAsia="宋体"/>
          <w:color w:val="000000" w:themeColor="text1"/>
          <w14:textFill>
            <w14:solidFill>
              <w14:schemeClr w14:val="tx1"/>
            </w14:solidFill>
          </w14:textFill>
        </w:rPr>
        <w:t>)。</w:t>
      </w:r>
    </w:p>
    <w:p>
      <w:pPr>
        <w:overflowPunct w:val="0"/>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drawing>
          <wp:inline distT="0" distB="0" distL="114300" distR="114300">
            <wp:extent cx="4714875" cy="561975"/>
            <wp:effectExtent l="0" t="0" r="9525" b="9525"/>
            <wp:docPr id="30" name="图片 3" descr="微信图片_2019022220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微信图片_20190222200558"/>
                    <pic:cNvPicPr>
                      <a:picLocks noChangeAspect="1"/>
                    </pic:cNvPicPr>
                  </pic:nvPicPr>
                  <pic:blipFill>
                    <a:blip r:embed="rId13"/>
                    <a:stretch>
                      <a:fillRect/>
                    </a:stretch>
                  </pic:blipFill>
                  <pic:spPr>
                    <a:xfrm>
                      <a:off x="0" y="0"/>
                      <a:ext cx="4714875" cy="561975"/>
                    </a:xfrm>
                    <a:prstGeom prst="rect">
                      <a:avLst/>
                    </a:prstGeom>
                    <a:noFill/>
                    <a:ln>
                      <a:noFill/>
                    </a:ln>
                  </pic:spPr>
                </pic:pic>
              </a:graphicData>
            </a:graphic>
          </wp:inline>
        </w:drawing>
      </w:r>
    </w:p>
    <w:p>
      <w:pPr>
        <w:overflowPunct w:val="0"/>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式中：q</w:t>
      </w:r>
      <w:r>
        <w:rPr>
          <w:color w:val="000000" w:themeColor="text1"/>
          <w:kern w:val="0"/>
          <w:sz w:val="24"/>
          <w:szCs w:val="24"/>
          <w:vertAlign w:val="subscript"/>
          <w14:textFill>
            <w14:solidFill>
              <w14:schemeClr w14:val="tx1"/>
            </w14:solidFill>
          </w14:textFill>
        </w:rPr>
        <w:t>1</w:t>
      </w:r>
      <w:r>
        <w:rPr>
          <w:color w:val="000000" w:themeColor="text1"/>
          <w:kern w:val="0"/>
          <w:sz w:val="24"/>
          <w:szCs w:val="24"/>
          <w14:textFill>
            <w14:solidFill>
              <w14:schemeClr w14:val="tx1"/>
            </w14:solidFill>
          </w14:textFill>
        </w:rPr>
        <w:t>，q</w:t>
      </w:r>
      <w:r>
        <w:rPr>
          <w:color w:val="000000" w:themeColor="text1"/>
          <w:kern w:val="0"/>
          <w:sz w:val="24"/>
          <w:szCs w:val="24"/>
          <w:vertAlign w:val="subscript"/>
          <w14:textFill>
            <w14:solidFill>
              <w14:schemeClr w14:val="tx1"/>
            </w14:solidFill>
          </w14:textFill>
        </w:rPr>
        <w:t>2</w:t>
      </w:r>
      <w:r>
        <w:rPr>
          <w:color w:val="000000" w:themeColor="text1"/>
          <w:kern w:val="0"/>
          <w:sz w:val="24"/>
          <w:szCs w:val="24"/>
          <w14:textFill>
            <w14:solidFill>
              <w14:schemeClr w14:val="tx1"/>
            </w14:solidFill>
          </w14:textFill>
        </w:rPr>
        <w:t>……q</w:t>
      </w:r>
      <w:r>
        <w:rPr>
          <w:color w:val="000000" w:themeColor="text1"/>
          <w:kern w:val="0"/>
          <w:sz w:val="24"/>
          <w:szCs w:val="24"/>
          <w:vertAlign w:val="subscript"/>
          <w14:textFill>
            <w14:solidFill>
              <w14:schemeClr w14:val="tx1"/>
            </w14:solidFill>
          </w14:textFill>
        </w:rPr>
        <w:t>n</w:t>
      </w:r>
      <w:r>
        <w:rPr>
          <w:color w:val="000000" w:themeColor="text1"/>
          <w:kern w:val="0"/>
          <w:sz w:val="24"/>
          <w:szCs w:val="24"/>
          <w14:textFill>
            <w14:solidFill>
              <w14:schemeClr w14:val="tx1"/>
            </w14:solidFill>
          </w14:textFill>
        </w:rPr>
        <w:t>—每种危险物质实际存在量</w:t>
      </w:r>
      <w:r>
        <w:rPr>
          <w:color w:val="000000" w:themeColor="text1"/>
          <w:sz w:val="24"/>
          <w14:textFill>
            <w14:solidFill>
              <w14:schemeClr w14:val="tx1"/>
            </w14:solidFill>
          </w14:textFill>
        </w:rPr>
        <w:t>(</w:t>
      </w:r>
      <w:r>
        <w:rPr>
          <w:color w:val="000000" w:themeColor="text1"/>
          <w:kern w:val="0"/>
          <w:sz w:val="24"/>
          <w:szCs w:val="24"/>
          <w14:textFill>
            <w14:solidFill>
              <w14:schemeClr w14:val="tx1"/>
            </w14:solidFill>
          </w14:textFill>
        </w:rPr>
        <w:t>t</w:t>
      </w:r>
      <w:r>
        <w:rPr>
          <w:color w:val="000000" w:themeColor="text1"/>
          <w:sz w:val="24"/>
          <w14:textFill>
            <w14:solidFill>
              <w14:schemeClr w14:val="tx1"/>
            </w14:solidFill>
          </w14:textFill>
        </w:rPr>
        <w:t>)</w:t>
      </w:r>
      <w:r>
        <w:rPr>
          <w:color w:val="000000" w:themeColor="text1"/>
          <w:kern w:val="0"/>
          <w:sz w:val="24"/>
          <w:szCs w:val="24"/>
          <w14:textFill>
            <w14:solidFill>
              <w14:schemeClr w14:val="tx1"/>
            </w14:solidFill>
          </w14:textFill>
        </w:rPr>
        <w:t>；</w:t>
      </w:r>
    </w:p>
    <w:p>
      <w:pPr>
        <w:overflowPunct w:val="0"/>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Q</w:t>
      </w:r>
      <w:r>
        <w:rPr>
          <w:color w:val="000000" w:themeColor="text1"/>
          <w:kern w:val="0"/>
          <w:sz w:val="24"/>
          <w:szCs w:val="24"/>
          <w:vertAlign w:val="subscript"/>
          <w14:textFill>
            <w14:solidFill>
              <w14:schemeClr w14:val="tx1"/>
            </w14:solidFill>
          </w14:textFill>
        </w:rPr>
        <w:t>1</w:t>
      </w:r>
      <w:r>
        <w:rPr>
          <w:color w:val="000000" w:themeColor="text1"/>
          <w:kern w:val="0"/>
          <w:sz w:val="24"/>
          <w:szCs w:val="24"/>
          <w14:textFill>
            <w14:solidFill>
              <w14:schemeClr w14:val="tx1"/>
            </w14:solidFill>
          </w14:textFill>
        </w:rPr>
        <w:t>，Q</w:t>
      </w:r>
      <w:r>
        <w:rPr>
          <w:color w:val="000000" w:themeColor="text1"/>
          <w:kern w:val="0"/>
          <w:sz w:val="24"/>
          <w:szCs w:val="24"/>
          <w:vertAlign w:val="subscript"/>
          <w14:textFill>
            <w14:solidFill>
              <w14:schemeClr w14:val="tx1"/>
            </w14:solidFill>
          </w14:textFill>
        </w:rPr>
        <w:t>2</w:t>
      </w:r>
      <w:r>
        <w:rPr>
          <w:color w:val="000000" w:themeColor="text1"/>
          <w:kern w:val="0"/>
          <w:sz w:val="24"/>
          <w:szCs w:val="24"/>
          <w14:textFill>
            <w14:solidFill>
              <w14:schemeClr w14:val="tx1"/>
            </w14:solidFill>
          </w14:textFill>
        </w:rPr>
        <w:t>……Q</w:t>
      </w:r>
      <w:r>
        <w:rPr>
          <w:color w:val="000000" w:themeColor="text1"/>
          <w:kern w:val="0"/>
          <w:sz w:val="24"/>
          <w:szCs w:val="24"/>
          <w:vertAlign w:val="subscript"/>
          <w14:textFill>
            <w14:solidFill>
              <w14:schemeClr w14:val="tx1"/>
            </w14:solidFill>
          </w14:textFill>
        </w:rPr>
        <w:t>n</w:t>
      </w:r>
      <w:r>
        <w:rPr>
          <w:color w:val="000000" w:themeColor="text1"/>
          <w:kern w:val="0"/>
          <w:sz w:val="24"/>
          <w:szCs w:val="24"/>
          <w14:textFill>
            <w14:solidFill>
              <w14:schemeClr w14:val="tx1"/>
            </w14:solidFill>
          </w14:textFill>
        </w:rPr>
        <w:t>—每种危险物质临界量</w:t>
      </w:r>
      <w:r>
        <w:rPr>
          <w:color w:val="000000" w:themeColor="text1"/>
          <w:sz w:val="24"/>
          <w14:textFill>
            <w14:solidFill>
              <w14:schemeClr w14:val="tx1"/>
            </w14:solidFill>
          </w14:textFill>
        </w:rPr>
        <w:t>(</w:t>
      </w:r>
      <w:r>
        <w:rPr>
          <w:color w:val="000000" w:themeColor="text1"/>
          <w:kern w:val="0"/>
          <w:sz w:val="24"/>
          <w:szCs w:val="24"/>
          <w14:textFill>
            <w14:solidFill>
              <w14:schemeClr w14:val="tx1"/>
            </w14:solidFill>
          </w14:textFill>
        </w:rPr>
        <w:t>t</w:t>
      </w:r>
      <w:r>
        <w:rPr>
          <w:color w:val="000000" w:themeColor="text1"/>
          <w:sz w:val="24"/>
          <w14:textFill>
            <w14:solidFill>
              <w14:schemeClr w14:val="tx1"/>
            </w14:solidFill>
          </w14:textFill>
        </w:rPr>
        <w:t>)</w:t>
      </w:r>
      <w:r>
        <w:rPr>
          <w:color w:val="000000" w:themeColor="text1"/>
          <w:kern w:val="0"/>
          <w:sz w:val="24"/>
          <w:szCs w:val="24"/>
          <w14:textFill>
            <w14:solidFill>
              <w14:schemeClr w14:val="tx1"/>
            </w14:solidFill>
          </w14:textFill>
        </w:rPr>
        <w:t>。</w:t>
      </w:r>
    </w:p>
    <w:p>
      <w:pPr>
        <w:pStyle w:val="49"/>
        <w:overflowPunct w:val="0"/>
        <w:spacing w:line="360" w:lineRule="auto"/>
        <w:ind w:firstLine="48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当Q＜1时，该项目风险潜势为</w:t>
      </w:r>
      <w:r>
        <w:rPr>
          <w:rFonts w:ascii="Times New Roman" w:hAnsi="Times New Roman" w:eastAsia="宋体"/>
          <w:color w:val="000000" w:themeColor="text1"/>
          <w14:textFill>
            <w14:solidFill>
              <w14:schemeClr w14:val="tx1"/>
            </w14:solidFill>
          </w14:textFill>
        </w:rPr>
        <w:fldChar w:fldCharType="begin"/>
      </w:r>
      <w:r>
        <w:rPr>
          <w:rFonts w:ascii="Times New Roman" w:hAnsi="Times New Roman" w:eastAsia="宋体"/>
          <w:color w:val="000000" w:themeColor="text1"/>
          <w14:textFill>
            <w14:solidFill>
              <w14:schemeClr w14:val="tx1"/>
            </w14:solidFill>
          </w14:textFill>
        </w:rPr>
        <w:instrText xml:space="preserve"> = 1 \* ROMAN \* MERGEFORMAT </w:instrText>
      </w:r>
      <w:r>
        <w:rPr>
          <w:rFonts w:ascii="Times New Roman" w:hAnsi="Times New Roman" w:eastAsia="宋体"/>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I</w:t>
      </w:r>
      <w:r>
        <w:rPr>
          <w:rFonts w:ascii="Times New Roman" w:hAnsi="Times New Roman" w:eastAsia="宋体"/>
          <w:color w:val="000000" w:themeColor="text1"/>
          <w14:textFill>
            <w14:solidFill>
              <w14:schemeClr w14:val="tx1"/>
            </w14:solidFill>
          </w14:textFill>
        </w:rPr>
        <w:fldChar w:fldCharType="end"/>
      </w:r>
      <w:r>
        <w:rPr>
          <w:rFonts w:ascii="Times New Roman" w:hAnsi="Times New Roman" w:eastAsia="宋体"/>
          <w:color w:val="000000" w:themeColor="text1"/>
          <w14:textFill>
            <w14:solidFill>
              <w14:schemeClr w14:val="tx1"/>
            </w14:solidFill>
          </w14:textFill>
        </w:rPr>
        <w:t>；</w:t>
      </w:r>
    </w:p>
    <w:p>
      <w:pPr>
        <w:pStyle w:val="49"/>
        <w:overflowPunct w:val="0"/>
        <w:spacing w:line="360" w:lineRule="auto"/>
        <w:ind w:firstLine="48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当Q≥1时，将Q值划分为：(1)1≤Q＜10；(2)10≤Q＜100；(3)Q≥100</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黑体"/>
          <w:b/>
          <w:bCs/>
          <w:color w:val="000000" w:themeColor="text1"/>
          <w:kern w:val="18"/>
          <w14:textFill>
            <w14:solidFill>
              <w14:schemeClr w14:val="tx1"/>
            </w14:solidFill>
          </w14:textFill>
        </w:rPr>
      </w:pPr>
      <w:r>
        <w:rPr>
          <w:color w:val="000000" w:themeColor="text1"/>
          <w:sz w:val="24"/>
          <w:szCs w:val="24"/>
          <w14:textFill>
            <w14:solidFill>
              <w14:schemeClr w14:val="tx1"/>
            </w14:solidFill>
          </w14:textFill>
        </w:rPr>
        <w:t>本项目危险物质临界量，见表1.</w:t>
      </w:r>
      <w:r>
        <w:rPr>
          <w:rFonts w:hint="eastAsia" w:eastAsia="宋体"/>
          <w:color w:val="000000" w:themeColor="text1"/>
          <w:sz w:val="24"/>
          <w:szCs w:val="24"/>
          <w:lang w:val="en-US" w:eastAsia="zh-CN"/>
          <w14:textFill>
            <w14:solidFill>
              <w14:schemeClr w14:val="tx1"/>
            </w14:solidFill>
          </w14:textFill>
        </w:rPr>
        <w:t>6</w:t>
      </w:r>
      <w:r>
        <w:rPr>
          <w:color w:val="000000" w:themeColor="text1"/>
          <w:sz w:val="24"/>
          <w:szCs w:val="24"/>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10</w:t>
      </w:r>
      <w:r>
        <w:rPr>
          <w:color w:val="000000" w:themeColor="text1"/>
          <w:sz w:val="24"/>
          <w:szCs w:val="24"/>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表1.</w:t>
      </w:r>
      <w:r>
        <w:rPr>
          <w:rFonts w:hint="eastAsia" w:eastAsia="黑体" w:cs="Times New Roman"/>
          <w:color w:val="000000" w:themeColor="text1"/>
          <w:spacing w:val="0"/>
          <w:w w:val="100"/>
          <w:position w:val="0"/>
          <w:sz w:val="21"/>
          <w:szCs w:val="21"/>
          <w:lang w:val="en-US" w:eastAsia="zh-CN" w:bidi="zh-CN"/>
          <w14:textFill>
            <w14:solidFill>
              <w14:schemeClr w14:val="tx1"/>
            </w14:solidFill>
          </w14:textFill>
        </w:rPr>
        <w:t>6</w:t>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w:t>
      </w:r>
      <w:r>
        <w:rPr>
          <w:rFonts w:hint="eastAsia" w:eastAsia="黑体" w:cs="Times New Roman"/>
          <w:color w:val="000000" w:themeColor="text1"/>
          <w:spacing w:val="0"/>
          <w:w w:val="100"/>
          <w:position w:val="0"/>
          <w:sz w:val="21"/>
          <w:szCs w:val="21"/>
          <w:lang w:val="en-US" w:eastAsia="zh-CN" w:bidi="zh-CN"/>
          <w14:textFill>
            <w14:solidFill>
              <w14:schemeClr w14:val="tx1"/>
            </w14:solidFill>
          </w14:textFill>
        </w:rPr>
        <w:t>10</w:t>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 xml:space="preserve">    本项目危险物质临界量一览表</w:t>
      </w:r>
    </w:p>
    <w:tbl>
      <w:tblPr>
        <w:tblStyle w:val="21"/>
        <w:tblW w:w="8533" w:type="dxa"/>
        <w:jc w:val="center"/>
        <w:tblInd w:w="-5"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032"/>
        <w:gridCol w:w="1450"/>
        <w:gridCol w:w="1637"/>
        <w:gridCol w:w="2363"/>
        <w:gridCol w:w="2051"/>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307" w:hRule="atLeast"/>
          <w:jc w:val="center"/>
        </w:trPr>
        <w:tc>
          <w:tcPr>
            <w:tcW w:w="1032" w:type="dxa"/>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kern w:val="18"/>
                <w:sz w:val="21"/>
                <w:szCs w:val="21"/>
                <w14:textFill>
                  <w14:solidFill>
                    <w14:schemeClr w14:val="tx1"/>
                  </w14:solidFill>
                </w14:textFill>
              </w:rPr>
            </w:pPr>
            <w:r>
              <w:rPr>
                <w:color w:val="000000" w:themeColor="text1"/>
                <w:kern w:val="18"/>
                <w:sz w:val="21"/>
                <w:szCs w:val="21"/>
                <w14:textFill>
                  <w14:solidFill>
                    <w14:schemeClr w14:val="tx1"/>
                  </w14:solidFill>
                </w14:textFill>
              </w:rPr>
              <w:t>序号</w:t>
            </w:r>
          </w:p>
        </w:tc>
        <w:tc>
          <w:tcPr>
            <w:tcW w:w="1450" w:type="dxa"/>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kern w:val="18"/>
                <w:sz w:val="21"/>
                <w:szCs w:val="21"/>
                <w14:textFill>
                  <w14:solidFill>
                    <w14:schemeClr w14:val="tx1"/>
                  </w14:solidFill>
                </w14:textFill>
              </w:rPr>
            </w:pPr>
            <w:r>
              <w:rPr>
                <w:color w:val="000000" w:themeColor="text1"/>
                <w:kern w:val="18"/>
                <w:sz w:val="21"/>
                <w:szCs w:val="21"/>
                <w14:textFill>
                  <w14:solidFill>
                    <w14:schemeClr w14:val="tx1"/>
                  </w14:solidFill>
                </w14:textFill>
              </w:rPr>
              <w:t>物质名称</w:t>
            </w:r>
          </w:p>
        </w:tc>
        <w:tc>
          <w:tcPr>
            <w:tcW w:w="1637" w:type="dxa"/>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kern w:val="18"/>
                <w:sz w:val="21"/>
                <w:szCs w:val="21"/>
                <w14:textFill>
                  <w14:solidFill>
                    <w14:schemeClr w14:val="tx1"/>
                  </w14:solidFill>
                </w14:textFill>
              </w:rPr>
            </w:pPr>
            <w:r>
              <w:rPr>
                <w:color w:val="000000" w:themeColor="text1"/>
                <w:kern w:val="18"/>
                <w:sz w:val="21"/>
                <w:szCs w:val="21"/>
                <w14:textFill>
                  <w14:solidFill>
                    <w14:schemeClr w14:val="tx1"/>
                  </w14:solidFill>
                </w14:textFill>
              </w:rPr>
              <w:t>临界量，t</w:t>
            </w:r>
          </w:p>
        </w:tc>
        <w:tc>
          <w:tcPr>
            <w:tcW w:w="2363" w:type="dxa"/>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kern w:val="18"/>
                <w:sz w:val="21"/>
                <w:szCs w:val="21"/>
                <w14:textFill>
                  <w14:solidFill>
                    <w14:schemeClr w14:val="tx1"/>
                  </w14:solidFill>
                </w14:textFill>
              </w:rPr>
            </w:pPr>
            <w:r>
              <w:rPr>
                <w:color w:val="000000" w:themeColor="text1"/>
                <w:kern w:val="18"/>
                <w:sz w:val="21"/>
                <w:szCs w:val="21"/>
                <w14:textFill>
                  <w14:solidFill>
                    <w14:schemeClr w14:val="tx1"/>
                  </w14:solidFill>
                </w14:textFill>
              </w:rPr>
              <w:t>本项目，t</w:t>
            </w:r>
          </w:p>
        </w:tc>
        <w:tc>
          <w:tcPr>
            <w:tcW w:w="2051" w:type="dxa"/>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kern w:val="18"/>
                <w:sz w:val="21"/>
                <w:szCs w:val="21"/>
                <w14:textFill>
                  <w14:solidFill>
                    <w14:schemeClr w14:val="tx1"/>
                  </w14:solidFill>
                </w14:textFill>
              </w:rPr>
            </w:pPr>
            <w:r>
              <w:rPr>
                <w:color w:val="000000" w:themeColor="text1"/>
                <w:sz w:val="21"/>
                <w:szCs w:val="21"/>
                <w:lang w:val="zh-CN"/>
                <w14:textFill>
                  <w14:solidFill>
                    <w14:schemeClr w14:val="tx1"/>
                  </w14:solidFill>
                </w14:textFill>
              </w:rPr>
              <w:t>Q值</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1032" w:type="dxa"/>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kern w:val="18"/>
                <w:sz w:val="21"/>
                <w:szCs w:val="21"/>
                <w14:textFill>
                  <w14:solidFill>
                    <w14:schemeClr w14:val="tx1"/>
                  </w14:solidFill>
                </w14:textFill>
              </w:rPr>
            </w:pPr>
            <w:r>
              <w:rPr>
                <w:color w:val="000000" w:themeColor="text1"/>
                <w:kern w:val="18"/>
                <w:sz w:val="21"/>
                <w:szCs w:val="21"/>
                <w14:textFill>
                  <w14:solidFill>
                    <w14:schemeClr w14:val="tx1"/>
                  </w14:solidFill>
                </w14:textFill>
              </w:rPr>
              <w:t>1</w:t>
            </w:r>
          </w:p>
        </w:tc>
        <w:tc>
          <w:tcPr>
            <w:tcW w:w="1450" w:type="dxa"/>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color w:val="000000" w:themeColor="text1"/>
                <w:kern w:val="18"/>
                <w:sz w:val="21"/>
                <w:szCs w:val="21"/>
                <w14:textFill>
                  <w14:solidFill>
                    <w14:schemeClr w14:val="tx1"/>
                  </w14:solidFill>
                </w14:textFill>
              </w:rPr>
            </w:pPr>
            <w:r>
              <w:rPr>
                <w:rFonts w:hint="eastAsia" w:eastAsia="宋体"/>
                <w:color w:val="000000" w:themeColor="text1"/>
                <w:kern w:val="18"/>
                <w:sz w:val="21"/>
                <w:szCs w:val="21"/>
                <w:lang w:eastAsia="zh-CN"/>
                <w14:textFill>
                  <w14:solidFill>
                    <w14:schemeClr w14:val="tx1"/>
                  </w14:solidFill>
                </w14:textFill>
              </w:rPr>
              <w:t>液</w:t>
            </w:r>
            <w:r>
              <w:rPr>
                <w:color w:val="000000" w:themeColor="text1"/>
                <w:kern w:val="18"/>
                <w:sz w:val="21"/>
                <w:szCs w:val="21"/>
                <w14:textFill>
                  <w14:solidFill>
                    <w14:schemeClr w14:val="tx1"/>
                  </w14:solidFill>
                </w14:textFill>
              </w:rPr>
              <w:t>氨</w:t>
            </w:r>
          </w:p>
        </w:tc>
        <w:tc>
          <w:tcPr>
            <w:tcW w:w="1637" w:type="dxa"/>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eastAsia="宋体"/>
                <w:color w:val="000000" w:themeColor="text1"/>
                <w:kern w:val="18"/>
                <w:sz w:val="21"/>
                <w:szCs w:val="21"/>
                <w:lang w:val="en-US" w:eastAsia="zh-CN"/>
                <w14:textFill>
                  <w14:solidFill>
                    <w14:schemeClr w14:val="tx1"/>
                  </w14:solidFill>
                </w14:textFill>
              </w:rPr>
            </w:pPr>
            <w:r>
              <w:rPr>
                <w:rFonts w:hint="eastAsia" w:eastAsia="宋体"/>
                <w:color w:val="000000" w:themeColor="text1"/>
                <w:kern w:val="18"/>
                <w:sz w:val="21"/>
                <w:szCs w:val="21"/>
                <w:lang w:val="en-US" w:eastAsia="zh-CN"/>
                <w14:textFill>
                  <w14:solidFill>
                    <w14:schemeClr w14:val="tx1"/>
                  </w14:solidFill>
                </w14:textFill>
              </w:rPr>
              <w:t>10</w:t>
            </w:r>
          </w:p>
        </w:tc>
        <w:tc>
          <w:tcPr>
            <w:tcW w:w="2363" w:type="dxa"/>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eastAsia="宋体"/>
                <w:color w:val="000000" w:themeColor="text1"/>
                <w:kern w:val="18"/>
                <w:sz w:val="21"/>
                <w:szCs w:val="21"/>
                <w:lang w:val="en-US" w:eastAsia="zh-CN"/>
                <w14:textFill>
                  <w14:solidFill>
                    <w14:schemeClr w14:val="tx1"/>
                  </w14:solidFill>
                </w14:textFill>
              </w:rPr>
            </w:pPr>
            <w:r>
              <w:rPr>
                <w:rFonts w:hint="eastAsia" w:eastAsia="宋体"/>
                <w:color w:val="000000" w:themeColor="text1"/>
                <w:kern w:val="18"/>
                <w:sz w:val="21"/>
                <w:szCs w:val="21"/>
                <w:lang w:val="en-US" w:eastAsia="zh-CN"/>
                <w14:textFill>
                  <w14:solidFill>
                    <w14:schemeClr w14:val="tx1"/>
                  </w14:solidFill>
                </w14:textFill>
              </w:rPr>
              <w:t>9.872</w:t>
            </w:r>
          </w:p>
        </w:tc>
        <w:tc>
          <w:tcPr>
            <w:tcW w:w="2051" w:type="dxa"/>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eastAsia="宋体"/>
                <w:color w:val="000000" w:themeColor="text1"/>
                <w:kern w:val="18"/>
                <w:sz w:val="21"/>
                <w:szCs w:val="21"/>
                <w:lang w:val="en-US" w:eastAsia="zh-CN"/>
                <w14:textFill>
                  <w14:solidFill>
                    <w14:schemeClr w14:val="tx1"/>
                  </w14:solidFill>
                </w14:textFill>
              </w:rPr>
            </w:pPr>
            <w:r>
              <w:rPr>
                <w:rFonts w:hint="eastAsia" w:eastAsia="宋体"/>
                <w:color w:val="000000" w:themeColor="text1"/>
                <w:kern w:val="18"/>
                <w:sz w:val="21"/>
                <w:szCs w:val="21"/>
                <w:lang w:val="en-US" w:eastAsia="zh-CN"/>
                <w14:textFill>
                  <w14:solidFill>
                    <w14:schemeClr w14:val="tx1"/>
                  </w14:solidFill>
                </w14:textFill>
              </w:rPr>
              <w:t>0.9872</w:t>
            </w:r>
          </w:p>
        </w:tc>
      </w:tr>
    </w:tbl>
    <w:p>
      <w:pPr>
        <w:pStyle w:val="49"/>
        <w:overflowPunct w:val="0"/>
        <w:spacing w:line="360" w:lineRule="auto"/>
        <w:ind w:firstLine="0" w:firstLineChars="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kern w:val="18"/>
          <w:sz w:val="21"/>
          <w:szCs w:val="21"/>
          <w14:textFill>
            <w14:solidFill>
              <w14:schemeClr w14:val="tx1"/>
            </w14:solidFill>
          </w14:textFill>
        </w:rPr>
        <w:t>注：本表中临界量引自《建设项目环境风险评价技术导则》(HJ/T169-2018)。</w:t>
      </w:r>
      <w:r>
        <w:rPr>
          <w:rFonts w:ascii="Times New Roman" w:hAnsi="Times New Roman" w:eastAsia="宋体"/>
          <w:color w:val="000000" w:themeColor="text1"/>
          <w14:textFill>
            <w14:solidFill>
              <w14:schemeClr w14:val="tx1"/>
            </w14:solidFill>
          </w14:textFill>
        </w:rPr>
        <w:t xml:space="preserve">    </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szCs w:val="24"/>
          <w:lang w:val="zh-CN"/>
          <w14:textFill>
            <w14:solidFill>
              <w14:schemeClr w14:val="tx1"/>
            </w14:solidFill>
          </w14:textFill>
        </w:rPr>
      </w:pPr>
      <w:r>
        <w:rPr>
          <w:color w:val="000000" w:themeColor="text1"/>
          <w:sz w:val="24"/>
          <w:szCs w:val="24"/>
          <w14:textFill>
            <w14:solidFill>
              <w14:schemeClr w14:val="tx1"/>
            </w14:solidFill>
          </w14:textFill>
        </w:rPr>
        <w:t>经分析得知，本项目不考虑风险事故泄露危险物质对地表水体的影响，项目的所在区域大气环境敏感程度为环境</w:t>
      </w:r>
      <w:r>
        <w:rPr>
          <w:rFonts w:hint="eastAsia"/>
          <w:color w:val="000000" w:themeColor="text1"/>
          <w:sz w:val="24"/>
          <w:szCs w:val="24"/>
          <w:lang w:eastAsia="zh-CN"/>
          <w14:textFill>
            <w14:solidFill>
              <w14:schemeClr w14:val="tx1"/>
            </w14:solidFill>
          </w14:textFill>
        </w:rPr>
        <w:t>低</w:t>
      </w:r>
      <w:r>
        <w:rPr>
          <w:color w:val="000000" w:themeColor="text1"/>
          <w:sz w:val="24"/>
          <w:szCs w:val="24"/>
          <w14:textFill>
            <w14:solidFill>
              <w14:schemeClr w14:val="tx1"/>
            </w14:solidFill>
          </w14:textFill>
        </w:rPr>
        <w:t>度敏感区E</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，项目所在区域的地下水环境敏感程度分级为“E</w:t>
      </w:r>
      <w:r>
        <w:rPr>
          <w:rFonts w:hint="eastAsia"/>
          <w:color w:val="000000" w:themeColor="text1"/>
          <w:sz w:val="24"/>
          <w:szCs w:val="24"/>
          <w:lang w:val="en-US" w:eastAsia="zh-CN"/>
          <w14:textFill>
            <w14:solidFill>
              <w14:schemeClr w14:val="tx1"/>
            </w14:solidFill>
          </w14:textFill>
        </w:rPr>
        <w:t>2</w:t>
      </w:r>
      <w:r>
        <w:rPr>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其环境风险潜势判定结果具体见表</w:t>
      </w:r>
      <w:r>
        <w:rPr>
          <w:rFonts w:hint="eastAsia"/>
          <w:color w:val="000000" w:themeColor="text1"/>
          <w:sz w:val="24"/>
          <w:szCs w:val="24"/>
          <w:lang w:eastAsia="zh-CN"/>
          <w14:textFill>
            <w14:solidFill>
              <w14:schemeClr w14:val="tx1"/>
            </w14:solidFill>
          </w14:textFill>
        </w:rPr>
        <w:t>4.7-14，</w:t>
      </w:r>
      <w:r>
        <w:rPr>
          <w:color w:val="000000" w:themeColor="text1"/>
          <w:sz w:val="24"/>
          <w:szCs w:val="24"/>
          <w14:textFill>
            <w14:solidFill>
              <w14:schemeClr w14:val="tx1"/>
            </w14:solidFill>
          </w14:textFill>
        </w:rPr>
        <w:t>由式C.1</w:t>
      </w:r>
      <w:r>
        <w:rPr>
          <w:rFonts w:hint="eastAsia"/>
          <w:color w:val="000000" w:themeColor="text1"/>
          <w:sz w:val="24"/>
          <w:szCs w:val="24"/>
          <w:lang w:eastAsia="zh-CN"/>
          <w14:textFill>
            <w14:solidFill>
              <w14:schemeClr w14:val="tx1"/>
            </w14:solidFill>
          </w14:textFill>
        </w:rPr>
        <w:t>、大气环境敏感程度、地下水环境敏感程度</w:t>
      </w:r>
      <w:r>
        <w:rPr>
          <w:color w:val="000000" w:themeColor="text1"/>
          <w:sz w:val="24"/>
          <w:szCs w:val="24"/>
          <w14:textFill>
            <w14:solidFill>
              <w14:schemeClr w14:val="tx1"/>
            </w14:solidFill>
          </w14:textFill>
        </w:rPr>
        <w:t>及表1.</w:t>
      </w:r>
      <w:r>
        <w:rPr>
          <w:rFonts w:hint="eastAsia" w:eastAsia="宋体"/>
          <w:color w:val="000000" w:themeColor="text1"/>
          <w:sz w:val="24"/>
          <w:szCs w:val="24"/>
          <w:lang w:val="en-US" w:eastAsia="zh-CN"/>
          <w14:textFill>
            <w14:solidFill>
              <w14:schemeClr w14:val="tx1"/>
            </w14:solidFill>
          </w14:textFill>
        </w:rPr>
        <w:t>6</w:t>
      </w:r>
      <w:r>
        <w:rPr>
          <w:color w:val="000000" w:themeColor="text1"/>
          <w:sz w:val="24"/>
          <w:szCs w:val="24"/>
          <w14:textFill>
            <w14:solidFill>
              <w14:schemeClr w14:val="tx1"/>
            </w14:solidFill>
          </w14:textFill>
        </w:rPr>
        <w:t>-7可知，本项目</w:t>
      </w:r>
      <w:r>
        <w:rPr>
          <w:color w:val="000000" w:themeColor="text1"/>
          <w:sz w:val="24"/>
          <w:szCs w:val="24"/>
          <w:lang w:val="zh-CN"/>
          <w14:textFill>
            <w14:solidFill>
              <w14:schemeClr w14:val="tx1"/>
            </w14:solidFill>
          </w14:textFill>
        </w:rPr>
        <w:t>临界量的比值Q</w:t>
      </w:r>
      <w:r>
        <w:rPr>
          <w:rFonts w:hint="eastAsia" w:eastAsia="宋体"/>
          <w:color w:val="000000" w:themeColor="text1"/>
          <w:sz w:val="24"/>
          <w:szCs w:val="24"/>
          <w:lang w:val="en-US" w:eastAsia="zh-CN"/>
          <w14:textFill>
            <w14:solidFill>
              <w14:schemeClr w14:val="tx1"/>
            </w14:solidFill>
          </w14:textFill>
        </w:rPr>
        <w:t>&lt;</w:t>
      </w:r>
      <w:r>
        <w:rPr>
          <w:color w:val="000000" w:themeColor="text1"/>
          <w:sz w:val="24"/>
          <w:szCs w:val="24"/>
          <w14:textFill>
            <w14:solidFill>
              <w14:schemeClr w14:val="tx1"/>
            </w14:solidFill>
          </w14:textFill>
        </w:rPr>
        <w:t>1，</w:t>
      </w:r>
      <w:r>
        <w:rPr>
          <w:rFonts w:hint="eastAsia"/>
          <w:color w:val="000000" w:themeColor="text1"/>
          <w:sz w:val="24"/>
          <w:szCs w:val="24"/>
          <w:lang w:eastAsia="zh-CN"/>
          <w14:textFill>
            <w14:solidFill>
              <w14:schemeClr w14:val="tx1"/>
            </w14:solidFill>
          </w14:textFill>
        </w:rPr>
        <w:t>无对应的P值，根据表1.</w:t>
      </w:r>
      <w:r>
        <w:rPr>
          <w:rFonts w:hint="eastAsia"/>
          <w:color w:val="000000" w:themeColor="text1"/>
          <w:sz w:val="24"/>
          <w:szCs w:val="24"/>
          <w:lang w:val="en-US" w:eastAsia="zh-CN"/>
          <w14:textFill>
            <w14:solidFill>
              <w14:schemeClr w14:val="tx1"/>
            </w14:solidFill>
          </w14:textFill>
        </w:rPr>
        <w:t>6</w:t>
      </w:r>
      <w:r>
        <w:rPr>
          <w:rFonts w:hint="eastAsia"/>
          <w:color w:val="000000" w:themeColor="text1"/>
          <w:sz w:val="24"/>
          <w:szCs w:val="24"/>
          <w:lang w:eastAsia="zh-CN"/>
          <w14:textFill>
            <w14:solidFill>
              <w14:schemeClr w14:val="tx1"/>
            </w14:solidFill>
          </w14:textFill>
        </w:rPr>
        <w:t>-6，</w:t>
      </w:r>
      <w:r>
        <w:rPr>
          <w:color w:val="000000" w:themeColor="text1"/>
          <w:sz w:val="24"/>
          <w:szCs w:val="24"/>
          <w14:textFill>
            <w14:solidFill>
              <w14:schemeClr w14:val="tx1"/>
            </w14:solidFill>
          </w14:textFill>
        </w:rPr>
        <w:t>风险潜势</w:t>
      </w:r>
      <w:r>
        <w:rPr>
          <w:rFonts w:hint="eastAsia"/>
          <w:color w:val="000000" w:themeColor="text1"/>
          <w:sz w:val="24"/>
          <w:szCs w:val="24"/>
          <w:lang w:eastAsia="zh-CN"/>
          <w14:textFill>
            <w14:solidFill>
              <w14:schemeClr w14:val="tx1"/>
            </w14:solidFill>
          </w14:textFill>
        </w:rPr>
        <w:t>判别无等级</w:t>
      </w:r>
      <w:r>
        <w:rPr>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因此</w:t>
      </w:r>
      <w:r>
        <w:rPr>
          <w:color w:val="000000" w:themeColor="text1"/>
          <w:sz w:val="24"/>
          <w:szCs w:val="24"/>
          <w:lang w:val="zh-CN"/>
          <w14:textFill>
            <w14:solidFill>
              <w14:schemeClr w14:val="tx1"/>
            </w14:solidFill>
          </w14:textFill>
        </w:rPr>
        <w:t>本项目</w:t>
      </w:r>
      <w:r>
        <w:rPr>
          <w:rFonts w:hint="eastAsia"/>
          <w:color w:val="000000" w:themeColor="text1"/>
          <w:sz w:val="24"/>
          <w:szCs w:val="24"/>
          <w:lang w:val="zh-CN" w:eastAsia="zh-CN"/>
          <w14:textFill>
            <w14:solidFill>
              <w14:schemeClr w14:val="tx1"/>
            </w14:solidFill>
          </w14:textFill>
        </w:rPr>
        <w:t>只对</w:t>
      </w:r>
      <w:r>
        <w:rPr>
          <w:color w:val="000000" w:themeColor="text1"/>
          <w:sz w:val="24"/>
          <w:szCs w:val="24"/>
          <w:lang w:val="zh-CN"/>
          <w14:textFill>
            <w14:solidFill>
              <w14:schemeClr w14:val="tx1"/>
            </w14:solidFill>
          </w14:textFill>
        </w:rPr>
        <w:t>环境风险</w:t>
      </w:r>
      <w:r>
        <w:rPr>
          <w:color w:val="000000" w:themeColor="text1"/>
          <w:sz w:val="24"/>
          <w:szCs w:val="24"/>
          <w14:textFill>
            <w14:solidFill>
              <w14:schemeClr w14:val="tx1"/>
            </w14:solidFill>
          </w14:textFill>
        </w:rPr>
        <w:t>简单分析</w:t>
      </w:r>
      <w:r>
        <w:rPr>
          <w:color w:val="000000" w:themeColor="text1"/>
          <w:sz w:val="24"/>
          <w:szCs w:val="24"/>
          <w:lang w:val="zh-CN"/>
          <w14:textFill>
            <w14:solidFill>
              <w14:schemeClr w14:val="tx1"/>
            </w14:solidFill>
          </w14:textFill>
        </w:rPr>
        <w:t>。</w:t>
      </w:r>
    </w:p>
    <w:p>
      <w:pPr>
        <w:pStyle w:val="6"/>
        <w:keepNext w:val="0"/>
        <w:keepLines w:val="0"/>
        <w:pageBreakBefore w:val="0"/>
        <w:widowControl w:val="0"/>
        <w:shd w:val="clear" w:color="auto" w:fill="auto"/>
        <w:kinsoku/>
        <w:wordWrap/>
        <w:overflowPunct w:val="0"/>
        <w:topLinePunct w:val="0"/>
        <w:autoSpaceDE/>
        <w:autoSpaceDN/>
        <w:bidi w:val="0"/>
        <w:adjustRightInd/>
        <w:snapToGrid/>
        <w:spacing w:before="0" w:after="0" w:line="360" w:lineRule="auto"/>
        <w:textAlignment w:val="auto"/>
        <w:outlineLvl w:val="3"/>
        <w:rPr>
          <w:rFonts w:hint="eastAsia" w:ascii="Times New Roman" w:hAnsi="Times New Roman" w:eastAsia="宋体" w:cs="Times New Roman"/>
          <w:color w:val="000000" w:themeColor="text1"/>
          <w:sz w:val="24"/>
          <w:szCs w:val="24"/>
          <w:lang w:val="en-US" w:eastAsia="zh-CN"/>
          <w14:textFill>
            <w14:solidFill>
              <w14:schemeClr w14:val="tx1"/>
            </w14:solidFill>
          </w14:textFill>
        </w:rPr>
      </w:pPr>
      <w:bookmarkStart w:id="55" w:name="_Toc12913_WPSOffice_Level2"/>
      <w:bookmarkStart w:id="56" w:name="_Toc18350"/>
      <w:bookmarkStart w:id="57" w:name="_Toc23760"/>
      <w:bookmarkStart w:id="58" w:name="_Toc491857650"/>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1.6.1.7土壤环境影响评价等级</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eastAsia" w:ascii="Times New Roman" w:hAnsi="Times New Roman"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kern w:val="0"/>
          <w:sz w:val="24"/>
          <w:szCs w:val="24"/>
          <w:lang w:val="en-US" w:eastAsia="zh-CN"/>
          <w14:textFill>
            <w14:solidFill>
              <w14:schemeClr w14:val="tx1"/>
            </w14:solidFill>
          </w14:textFill>
        </w:rPr>
        <w:t>根据《环境影响评价技术导则-土壤环境（试行）》（</w:t>
      </w:r>
      <w:r>
        <w:rPr>
          <w:rFonts w:hint="default" w:ascii="Times New Roman" w:hAnsi="Times New Roman" w:cs="Times New Roman"/>
          <w:color w:val="000000" w:themeColor="text1"/>
          <w:kern w:val="0"/>
          <w:sz w:val="24"/>
          <w:szCs w:val="24"/>
          <w14:textFill>
            <w14:solidFill>
              <w14:schemeClr w14:val="tx1"/>
            </w14:solidFill>
          </w14:textFill>
        </w:rPr>
        <w:t>HJ</w:t>
      </w:r>
      <w:r>
        <w:rPr>
          <w:rFonts w:hint="default" w:ascii="Times New Roman" w:hAnsi="Times New Roman" w:cs="Times New Roman"/>
          <w:color w:val="000000" w:themeColor="text1"/>
          <w:kern w:val="0"/>
          <w:sz w:val="24"/>
          <w:szCs w:val="24"/>
          <w:lang w:val="en-US" w:eastAsia="zh-CN"/>
          <w14:textFill>
            <w14:solidFill>
              <w14:schemeClr w14:val="tx1"/>
            </w14:solidFill>
          </w14:textFill>
        </w:rPr>
        <w:t>964</w:t>
      </w:r>
      <w:r>
        <w:rPr>
          <w:rFonts w:hint="default" w:ascii="Times New Roman" w:hAnsi="Times New Roman" w:cs="Times New Roman"/>
          <w:color w:val="000000" w:themeColor="text1"/>
          <w:kern w:val="0"/>
          <w:sz w:val="24"/>
          <w:szCs w:val="24"/>
          <w14:textFill>
            <w14:solidFill>
              <w14:schemeClr w14:val="tx1"/>
            </w14:solidFill>
          </w14:textFill>
        </w:rPr>
        <w:t>-2018</w:t>
      </w:r>
      <w:r>
        <w:rPr>
          <w:rFonts w:hint="default" w:ascii="Times New Roman" w:hAnsi="Times New Roman" w:cs="Times New Roman"/>
          <w:color w:val="000000" w:themeColor="text1"/>
          <w:kern w:val="0"/>
          <w:sz w:val="24"/>
          <w:szCs w:val="24"/>
          <w:lang w:val="en-US" w:eastAsia="zh-CN"/>
          <w14:textFill>
            <w14:solidFill>
              <w14:schemeClr w14:val="tx1"/>
            </w14:solidFill>
          </w14:textFill>
        </w:rPr>
        <w:t>）规定：“本项目为</w:t>
      </w:r>
      <w:r>
        <w:rPr>
          <w:rFonts w:hint="eastAsia" w:ascii="Times New Roman" w:hAnsi="Times New Roman" w:cs="Times New Roman"/>
          <w:color w:val="000000" w:themeColor="text1"/>
          <w:kern w:val="0"/>
          <w:sz w:val="24"/>
          <w:szCs w:val="24"/>
          <w:lang w:val="en-US" w:eastAsia="zh-CN"/>
          <w14:textFill>
            <w14:solidFill>
              <w14:schemeClr w14:val="tx1"/>
            </w14:solidFill>
          </w14:textFill>
        </w:rPr>
        <w:t>火力发电</w:t>
      </w:r>
      <w:r>
        <w:rPr>
          <w:rFonts w:hint="default" w:ascii="Times New Roman" w:hAnsi="Times New Roman" w:cs="Times New Roman"/>
          <w:color w:val="000000" w:themeColor="text1"/>
          <w:kern w:val="0"/>
          <w:sz w:val="24"/>
          <w:szCs w:val="24"/>
          <w:lang w:val="en-US" w:eastAsia="zh-CN"/>
          <w14:textFill>
            <w14:solidFill>
              <w14:schemeClr w14:val="tx1"/>
            </w14:solidFill>
          </w14:textFill>
        </w:rPr>
        <w:t>项目，为</w:t>
      </w:r>
      <w:r>
        <w:rPr>
          <w:rFonts w:hint="default" w:ascii="Times New Roman" w:hAnsi="Times New Roman" w:cs="Times New Roman"/>
          <w:color w:val="000000" w:themeColor="text1"/>
          <w:kern w:val="0"/>
          <w:sz w:val="24"/>
          <w:szCs w:val="24"/>
          <w:lang w:val="en-US" w:eastAsia="zh-CN"/>
          <w14:textFill>
            <w14:solidFill>
              <w14:schemeClr w14:val="tx1"/>
            </w14:solidFill>
          </w14:textFill>
        </w:rPr>
        <w:fldChar w:fldCharType="begin"/>
      </w:r>
      <w:r>
        <w:rPr>
          <w:rFonts w:hint="default" w:ascii="Times New Roman" w:hAnsi="Times New Roman" w:cs="Times New Roman"/>
          <w:color w:val="000000" w:themeColor="text1"/>
          <w:kern w:val="0"/>
          <w:sz w:val="24"/>
          <w:szCs w:val="24"/>
          <w:lang w:val="en-US" w:eastAsia="zh-CN"/>
          <w14:textFill>
            <w14:solidFill>
              <w14:schemeClr w14:val="tx1"/>
            </w14:solidFill>
          </w14:textFill>
        </w:rPr>
        <w:instrText xml:space="preserve"> = 2 \* ROMAN \* MERGEFORMAT </w:instrText>
      </w:r>
      <w:r>
        <w:rPr>
          <w:rFonts w:hint="default" w:ascii="Times New Roman" w:hAnsi="Times New Roman" w:cs="Times New Roman"/>
          <w:color w:val="000000" w:themeColor="text1"/>
          <w:kern w:val="0"/>
          <w:sz w:val="24"/>
          <w:szCs w:val="24"/>
          <w:lang w:val="en-US" w:eastAsia="zh-CN"/>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II</w:t>
      </w:r>
      <w:r>
        <w:rPr>
          <w:rFonts w:hint="default" w:ascii="Times New Roman" w:hAnsi="Times New Roman" w:cs="Times New Roman"/>
          <w:color w:val="000000" w:themeColor="text1"/>
          <w:kern w:val="0"/>
          <w:sz w:val="24"/>
          <w:szCs w:val="24"/>
          <w:lang w:val="en-US" w:eastAsia="zh-CN"/>
          <w14:textFill>
            <w14:solidFill>
              <w14:schemeClr w14:val="tx1"/>
            </w14:solidFill>
          </w14:textFill>
        </w:rPr>
        <w:fldChar w:fldCharType="end"/>
      </w:r>
      <w:r>
        <w:rPr>
          <w:rFonts w:hint="default" w:ascii="Times New Roman" w:hAnsi="Times New Roman" w:cs="Times New Roman"/>
          <w:color w:val="000000" w:themeColor="text1"/>
          <w:kern w:val="0"/>
          <w:sz w:val="24"/>
          <w:szCs w:val="24"/>
          <w:lang w:val="en-US" w:eastAsia="zh-CN"/>
          <w14:textFill>
            <w14:solidFill>
              <w14:schemeClr w14:val="tx1"/>
            </w14:solidFill>
          </w14:textFill>
        </w:rPr>
        <w:t>类项目”</w:t>
      </w:r>
      <w:r>
        <w:rPr>
          <w:rFonts w:hint="eastAsia" w:ascii="Times New Roman" w:hAnsi="Times New Roman" w:cs="Times New Roman"/>
          <w:color w:val="000000" w:themeColor="text1"/>
          <w:kern w:val="0"/>
          <w:sz w:val="24"/>
          <w:szCs w:val="24"/>
          <w:lang w:val="en-US" w:eastAsia="zh-CN"/>
          <w14:textFill>
            <w14:solidFill>
              <w14:schemeClr w14:val="tx1"/>
            </w14:solidFill>
          </w14:textFill>
        </w:rPr>
        <w:t>。敏感程度分级见表1.6-11，评价工作等级划分见表1.6-12。</w:t>
      </w:r>
    </w:p>
    <w:p>
      <w:pPr>
        <w:pStyle w:val="134"/>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表1.</w:t>
      </w:r>
      <w:r>
        <w:rPr>
          <w:rFonts w:hint="eastAsia" w:cs="Times New Roman"/>
          <w:color w:val="000000" w:themeColor="text1"/>
          <w:sz w:val="21"/>
          <w:szCs w:val="21"/>
          <w:lang w:val="en-US" w:eastAsia="zh-CN"/>
          <w14:textFill>
            <w14:solidFill>
              <w14:schemeClr w14:val="tx1"/>
            </w14:solidFill>
          </w14:textFill>
        </w:rPr>
        <w:t>6-11</w:t>
      </w:r>
      <w:r>
        <w:rPr>
          <w:rFonts w:hint="eastAsia" w:ascii="Times New Roman" w:hAnsi="Times New Roman" w:cs="Times New Roman"/>
          <w:color w:val="000000" w:themeColor="text1"/>
          <w:sz w:val="21"/>
          <w:szCs w:val="21"/>
          <w:lang w:val="en-US" w:eastAsia="zh-CN"/>
          <w14:textFill>
            <w14:solidFill>
              <w14:schemeClr w14:val="tx1"/>
            </w14:solidFill>
          </w14:textFill>
        </w:rPr>
        <w:t>敏感程度分级表</w:t>
      </w:r>
    </w:p>
    <w:tbl>
      <w:tblPr>
        <w:tblStyle w:val="22"/>
        <w:tblW w:w="8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7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敏感程度</w:t>
            </w:r>
          </w:p>
        </w:tc>
        <w:tc>
          <w:tcPr>
            <w:tcW w:w="7302"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判断依据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敏感</w:t>
            </w:r>
          </w:p>
        </w:tc>
        <w:tc>
          <w:tcPr>
            <w:tcW w:w="7302"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建设项目周边存在耕地、园地、牧草地、饮用水水源地或居住区、学校、医院、疗养院、养老院等土壤环境敏感目标的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较敏感</w:t>
            </w:r>
          </w:p>
        </w:tc>
        <w:tc>
          <w:tcPr>
            <w:tcW w:w="7302"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不敏感</w:t>
            </w:r>
          </w:p>
        </w:tc>
        <w:tc>
          <w:tcPr>
            <w:tcW w:w="7302"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其他情况</w:t>
            </w:r>
          </w:p>
        </w:tc>
      </w:tr>
    </w:tbl>
    <w:p>
      <w:pPr>
        <w:pStyle w:val="134"/>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表1.</w:t>
      </w:r>
      <w:r>
        <w:rPr>
          <w:rFonts w:hint="eastAsia" w:cs="Times New Roman"/>
          <w:color w:val="000000" w:themeColor="text1"/>
          <w:sz w:val="21"/>
          <w:szCs w:val="21"/>
          <w:lang w:val="en-US" w:eastAsia="zh-CN"/>
          <w14:textFill>
            <w14:solidFill>
              <w14:schemeClr w14:val="tx1"/>
            </w14:solidFill>
          </w14:textFill>
        </w:rPr>
        <w:t>6</w:t>
      </w: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评价工作等级划分</w:t>
      </w:r>
    </w:p>
    <w:tbl>
      <w:tblPr>
        <w:tblStyle w:val="22"/>
        <w:tblW w:w="8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8"/>
        <w:gridCol w:w="676"/>
        <w:gridCol w:w="676"/>
        <w:gridCol w:w="676"/>
        <w:gridCol w:w="676"/>
        <w:gridCol w:w="676"/>
        <w:gridCol w:w="676"/>
        <w:gridCol w:w="676"/>
        <w:gridCol w:w="676"/>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2428" w:type="dxa"/>
            <w:vMerge w:val="restart"/>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right"/>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051456" behindDoc="0" locked="0" layoutInCell="1" allowOverlap="1">
                      <wp:simplePos x="0" y="0"/>
                      <wp:positionH relativeFrom="column">
                        <wp:posOffset>567690</wp:posOffset>
                      </wp:positionH>
                      <wp:positionV relativeFrom="paragraph">
                        <wp:posOffset>12065</wp:posOffset>
                      </wp:positionV>
                      <wp:extent cx="905510" cy="780415"/>
                      <wp:effectExtent l="3175" t="3810" r="5715" b="15875"/>
                      <wp:wrapNone/>
                      <wp:docPr id="7" name="直接连接符 7"/>
                      <wp:cNvGraphicFramePr/>
                      <a:graphic xmlns:a="http://schemas.openxmlformats.org/drawingml/2006/main">
                        <a:graphicData uri="http://schemas.microsoft.com/office/word/2010/wordprocessingShape">
                          <wps:wsp>
                            <wps:cNvCnPr/>
                            <wps:spPr>
                              <a:xfrm>
                                <a:off x="0" y="0"/>
                                <a:ext cx="905510" cy="780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4.7pt;margin-top:0.95pt;height:61.45pt;width:71.3pt;z-index:252051456;mso-width-relative:page;mso-height-relative:page;" filled="f" stroked="t" coordsize="21600,21600" o:gfxdata="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mHxoONYAAAAIAQAADwAAAAAA&#10;AAABACAAAAAiAAAAZHJzL2Rvd25yZXYueG1sUEsBAhQAFAAAAAgAh07iQMrvNYbcAQAAmgMAAA4A&#10;AAAAAAAAAQAgAAAAJQEAAGRycy9lMm9Eb2MueG1sUEsFBgAAAAAGAAYAWQEAAHMFAAAAAA==&#10;">
                      <v:fill on="f" focussize="0,0"/>
                      <v:stroke color="#000000" joinstyle="round"/>
                      <v:imagedata o:title=""/>
                      <o:lock v:ext="edit" aspectratio="f"/>
                    </v:line>
                  </w:pict>
                </mc:Fallback>
              </mc:AlternateConten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占地规模</w:t>
            </w:r>
          </w:p>
          <w:p>
            <w:pPr>
              <w:pStyle w:val="13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评价工作</w:t>
            </w:r>
            <w:r>
              <w:rPr>
                <w:color w:val="000000" w:themeColor="text1"/>
                <w:sz w:val="21"/>
                <w14:textFill>
                  <w14:solidFill>
                    <w14:schemeClr w14:val="tx1"/>
                  </w14:solidFill>
                </w14:textFill>
              </w:rPr>
              <mc:AlternateContent>
                <mc:Choice Requires="wps">
                  <w:drawing>
                    <wp:anchor distT="0" distB="0" distL="114300" distR="114300" simplePos="0" relativeHeight="252052480" behindDoc="0" locked="0" layoutInCell="1" allowOverlap="1">
                      <wp:simplePos x="0" y="0"/>
                      <wp:positionH relativeFrom="column">
                        <wp:posOffset>-60325</wp:posOffset>
                      </wp:positionH>
                      <wp:positionV relativeFrom="paragraph">
                        <wp:posOffset>151765</wp:posOffset>
                      </wp:positionV>
                      <wp:extent cx="1543050" cy="447675"/>
                      <wp:effectExtent l="1270" t="4445" r="17780" b="5080"/>
                      <wp:wrapNone/>
                      <wp:docPr id="3" name="直接连接符 3"/>
                      <wp:cNvGraphicFramePr/>
                      <a:graphic xmlns:a="http://schemas.openxmlformats.org/drawingml/2006/main">
                        <a:graphicData uri="http://schemas.microsoft.com/office/word/2010/wordprocessingShape">
                          <wps:wsp>
                            <wps:cNvCnPr/>
                            <wps:spPr>
                              <a:xfrm>
                                <a:off x="0" y="0"/>
                                <a:ext cx="1543050" cy="4476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75pt;margin-top:11.95pt;height:35.25pt;width:121.5pt;z-index:252052480;mso-width-relative:page;mso-height-relative:page;" filled="f" stroked="t" coordsize="21600,21600" o:gfxdata="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NJQdcAAAAIAQAADwAA&#10;AAAAAAABACAAAAAiAAAAZHJzL2Rvd25yZXYueG1sUEsBAhQAFAAAAAgAh07iQHRTOJ3eAQAAmwMA&#10;AA4AAAAAAAAAAQAgAAAAJgEAAGRycy9lMm9Eb2MueG1sUEsFBgAAAAAGAAYAWQEAAHYFAAAAAA==&#10;">
                      <v:fill on="f" focussize="0,0"/>
                      <v:stroke color="#000000" joinstyle="round"/>
                      <v:imagedata o:title=""/>
                      <o:lock v:ext="edit" aspectratio="f"/>
                    </v:line>
                  </w:pict>
                </mc:Fallback>
              </mc:AlternateContent>
            </w:r>
            <w:r>
              <w:rPr>
                <w:rFonts w:hint="eastAsia" w:ascii="宋体" w:hAnsi="宋体" w:eastAsia="宋体" w:cs="宋体"/>
                <w:color w:val="000000" w:themeColor="text1"/>
                <w:sz w:val="21"/>
                <w:szCs w:val="21"/>
                <w:vertAlign w:val="baseline"/>
                <w:lang w:val="en-US" w:eastAsia="zh-CN"/>
                <w14:textFill>
                  <w14:solidFill>
                    <w14:schemeClr w14:val="tx1"/>
                  </w14:solidFill>
                </w14:textFill>
              </w:rPr>
              <w:t>等级</w:t>
            </w:r>
          </w:p>
          <w:p>
            <w:pPr>
              <w:pStyle w:val="13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p>
            <w:pPr>
              <w:pStyle w:val="13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敏感程度</w:t>
            </w:r>
          </w:p>
        </w:tc>
        <w:tc>
          <w:tcPr>
            <w:tcW w:w="2028" w:type="dxa"/>
            <w:gridSpan w:val="3"/>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instrText xml:space="preserve"> = 1 \* ROMAN \* MERGEFORMAT </w:instrTex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I</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类</w:t>
            </w:r>
          </w:p>
        </w:tc>
        <w:tc>
          <w:tcPr>
            <w:tcW w:w="2028" w:type="dxa"/>
            <w:gridSpan w:val="3"/>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instrText xml:space="preserve"> = 2 \* ROMAN \* MERGEFORMAT </w:instrTex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II</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类</w:t>
            </w:r>
          </w:p>
        </w:tc>
        <w:tc>
          <w:tcPr>
            <w:tcW w:w="2031" w:type="dxa"/>
            <w:gridSpan w:val="3"/>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instrText xml:space="preserve"> = 3 \* ROMAN \* MERGEFORMAT </w:instrTex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III</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2428" w:type="dxa"/>
            <w:vMerge w:val="continue"/>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676"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大</w:t>
            </w:r>
          </w:p>
        </w:tc>
        <w:tc>
          <w:tcPr>
            <w:tcW w:w="676"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中</w:t>
            </w:r>
          </w:p>
        </w:tc>
        <w:tc>
          <w:tcPr>
            <w:tcW w:w="676"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小</w:t>
            </w:r>
          </w:p>
        </w:tc>
        <w:tc>
          <w:tcPr>
            <w:tcW w:w="676"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大</w:t>
            </w:r>
          </w:p>
        </w:tc>
        <w:tc>
          <w:tcPr>
            <w:tcW w:w="676"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中</w:t>
            </w:r>
          </w:p>
        </w:tc>
        <w:tc>
          <w:tcPr>
            <w:tcW w:w="676"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小</w:t>
            </w:r>
          </w:p>
        </w:tc>
        <w:tc>
          <w:tcPr>
            <w:tcW w:w="676"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大</w:t>
            </w:r>
          </w:p>
        </w:tc>
        <w:tc>
          <w:tcPr>
            <w:tcW w:w="676"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中</w:t>
            </w:r>
          </w:p>
        </w:tc>
        <w:tc>
          <w:tcPr>
            <w:tcW w:w="679"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8"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敏感</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一级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一级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一级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二级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二级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二级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三级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三级</w:t>
            </w:r>
          </w:p>
        </w:tc>
        <w:tc>
          <w:tcPr>
            <w:tcW w:w="6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8"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较敏感</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一级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一级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二级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二级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二级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三级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三级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三级</w:t>
            </w:r>
          </w:p>
        </w:tc>
        <w:tc>
          <w:tcPr>
            <w:tcW w:w="6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8"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不敏感</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一级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二级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二级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二级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三级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三级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三级</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p>
        </w:tc>
        <w:tc>
          <w:tcPr>
            <w:tcW w:w="6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5" w:type="dxa"/>
            <w:gridSpan w:val="10"/>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r>
    </w:tbl>
    <w:p>
      <w:pPr>
        <w:pStyle w:val="10"/>
        <w:keepNext w:val="0"/>
        <w:keepLines w:val="0"/>
        <w:pageBreakBefore w:val="0"/>
        <w:widowControl w:val="0"/>
        <w:kinsoku w:val="0"/>
        <w:wordWrap/>
        <w:overflowPunct w:val="0"/>
        <w:topLinePunct w:val="0"/>
        <w:autoSpaceDE/>
        <w:autoSpaceDN/>
        <w:bidi w:val="0"/>
        <w:adjustRightInd/>
        <w:snapToGrid/>
        <w:spacing w:before="313" w:beforeLines="100" w:afterLines="0" w:line="360" w:lineRule="auto"/>
        <w:ind w:left="0" w:firstLine="480" w:firstLineChars="200"/>
        <w:jc w:val="both"/>
        <w:textAlignment w:val="auto"/>
        <w:outlineLvl w:val="9"/>
        <w:rPr>
          <w:rFonts w:hint="eastAsia" w:ascii="Times New Roman" w:hAnsi="Times New Roman"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kern w:val="0"/>
          <w:sz w:val="24"/>
          <w:szCs w:val="24"/>
          <w:lang w:val="en-US" w:eastAsia="zh-CN"/>
          <w14:textFill>
            <w14:solidFill>
              <w14:schemeClr w14:val="tx1"/>
            </w14:solidFill>
          </w14:textFill>
        </w:rPr>
        <w:t>本项目占地面积为6.2hm</w:t>
      </w:r>
      <w:r>
        <w:rPr>
          <w:rFonts w:hint="default" w:ascii="Times New Roman" w:hAnsi="Times New Roman" w:cs="Times New Roman"/>
          <w:color w:val="000000" w:themeColor="text1"/>
          <w:kern w:val="0"/>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cs="Times New Roman"/>
        </w:rPr>
        <w:t>土壤环境影响类型划分为生态影响型与污染影响型，本项目属于污染影响型。污染影响型建设项目占地规模分为大型（≥50hm</w:t>
      </w:r>
      <w:r>
        <w:rPr>
          <w:rFonts w:hint="default" w:ascii="Times New Roman" w:hAnsi="Times New Roman" w:cs="Times New Roman"/>
          <w:vertAlign w:val="superscript"/>
        </w:rPr>
        <w:t>2</w:t>
      </w:r>
      <w:r>
        <w:rPr>
          <w:rFonts w:hint="default" w:ascii="Times New Roman" w:hAnsi="Times New Roman" w:cs="Times New Roman"/>
        </w:rPr>
        <w:t>）、中型（5</w:t>
      </w:r>
      <w:r>
        <w:rPr>
          <w:rFonts w:hint="eastAsia" w:ascii="Times New Roman" w:hAnsi="Times New Roman" w:cs="Times New Roman"/>
          <w:lang w:val="en-US" w:eastAsia="zh-CN"/>
        </w:rPr>
        <w:t>~</w:t>
      </w:r>
      <w:r>
        <w:rPr>
          <w:rFonts w:hint="default" w:ascii="Times New Roman" w:hAnsi="Times New Roman" w:cs="Times New Roman"/>
        </w:rPr>
        <w:t>50hm</w:t>
      </w:r>
      <w:r>
        <w:rPr>
          <w:rFonts w:hint="default" w:ascii="Times New Roman" w:hAnsi="Times New Roman" w:cs="Times New Roman"/>
          <w:vertAlign w:val="superscript"/>
        </w:rPr>
        <w:t>2</w:t>
      </w:r>
      <w:r>
        <w:rPr>
          <w:rFonts w:hint="default" w:ascii="Times New Roman" w:hAnsi="Times New Roman" w:cs="Times New Roman"/>
        </w:rPr>
        <w:t>）、小型（≤5hm</w:t>
      </w:r>
      <w:r>
        <w:rPr>
          <w:rFonts w:hint="default" w:ascii="Times New Roman" w:hAnsi="Times New Roman" w:cs="Times New Roman"/>
          <w:vertAlign w:val="superscript"/>
        </w:rPr>
        <w:t>2</w:t>
      </w:r>
      <w:r>
        <w:rPr>
          <w:rFonts w:hint="default" w:ascii="Times New Roman" w:hAnsi="Times New Roman" w:cs="Times New Roman"/>
        </w:rPr>
        <w:t>），建设项目占地主要为永久占地。</w:t>
      </w:r>
      <w:r>
        <w:rPr>
          <w:rFonts w:hint="eastAsia" w:ascii="Times New Roman" w:hAnsi="Times New Roman" w:cs="Times New Roman"/>
          <w:color w:val="000000" w:themeColor="text1"/>
          <w:kern w:val="0"/>
          <w:sz w:val="24"/>
          <w:szCs w:val="24"/>
          <w:lang w:val="en-US" w:eastAsia="zh-CN"/>
          <w14:textFill>
            <w14:solidFill>
              <w14:schemeClr w14:val="tx1"/>
            </w14:solidFill>
          </w14:textFill>
        </w:rPr>
        <w:t>本项目为占地规模为中型。该项目位于克拉玛依高新技术产业开发区，周边无“耕地、园地、牧草地、饮用水水源地或居住区、学校、医院、疗养院、养老院等土壤环境敏感目标”，因此，敏感程度为不敏感。综上所述，本项目土壤环境评价等级为三级。</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jc w:val="both"/>
        <w:textAlignment w:val="auto"/>
        <w:outlineLvl w:val="2"/>
        <w:rPr>
          <w:rFonts w:hint="default" w:ascii="Times New Roman" w:hAnsi="Times New Roman" w:cs="Times New Roman"/>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1.6.2评价范围</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根据确定的评价等级和环境影响评价技术导则，结合当地气象、水文、地质条件和该工程“三废”排放情况及周围企事业单位、居民区分布等环境特点确定</w:t>
      </w:r>
      <w:r>
        <w:rPr>
          <w:rFonts w:hint="default" w:ascii="Times New Roman" w:hAnsi="Times New Roman" w:cs="Times New Roman"/>
          <w:color w:val="000000" w:themeColor="text1"/>
          <w:kern w:val="0"/>
          <w:sz w:val="24"/>
          <w:szCs w:val="24"/>
          <w:lang w:eastAsia="zh-CN"/>
          <w14:textFill>
            <w14:solidFill>
              <w14:schemeClr w14:val="tx1"/>
            </w14:solidFill>
          </w14:textFill>
        </w:rPr>
        <w:t>本项目</w:t>
      </w:r>
      <w:r>
        <w:rPr>
          <w:rFonts w:hint="default" w:ascii="Times New Roman" w:hAnsi="Times New Roman" w:cs="Times New Roman"/>
          <w:color w:val="000000" w:themeColor="text1"/>
          <w:kern w:val="0"/>
          <w:sz w:val="24"/>
          <w:szCs w:val="24"/>
          <w14:textFill>
            <w14:solidFill>
              <w14:schemeClr w14:val="tx1"/>
            </w14:solidFill>
          </w14:textFill>
        </w:rPr>
        <w:t>环境影响评价范围</w:t>
      </w:r>
      <w:r>
        <w:rPr>
          <w:rFonts w:hint="default" w:ascii="Times New Roman" w:hAnsi="Times New Roman" w:cs="Times New Roman"/>
          <w:color w:val="000000" w:themeColor="text1"/>
          <w14:textFill>
            <w14:solidFill>
              <w14:schemeClr w14:val="tx1"/>
            </w14:solidFill>
          </w14:textFill>
        </w:rPr>
        <w:t>为以厂界为起点，外扩5km的范围。</w:t>
      </w:r>
      <w:r>
        <w:rPr>
          <w:rFonts w:hint="default" w:ascii="Times New Roman" w:hAnsi="Times New Roman" w:cs="Times New Roman"/>
          <w:color w:val="000000" w:themeColor="text1"/>
          <w:kern w:val="0"/>
          <w:sz w:val="24"/>
          <w:szCs w:val="24"/>
          <w14:textFill>
            <w14:solidFill>
              <w14:schemeClr w14:val="tx1"/>
            </w14:solidFill>
          </w14:textFill>
        </w:rPr>
        <w:t>具体见图</w:t>
      </w:r>
      <w:r>
        <w:rPr>
          <w:rFonts w:hint="default" w:ascii="Times New Roman" w:hAnsi="Times New Roman" w:cs="Times New Roman"/>
          <w:color w:val="000000" w:themeColor="text1"/>
          <w:kern w:val="0"/>
          <w:sz w:val="24"/>
          <w:szCs w:val="24"/>
          <w:lang w:val="en-US" w:eastAsia="zh-CN"/>
          <w14:textFill>
            <w14:solidFill>
              <w14:schemeClr w14:val="tx1"/>
            </w14:solidFill>
          </w14:textFill>
        </w:rPr>
        <w:t>1.6</w:t>
      </w:r>
      <w:r>
        <w:rPr>
          <w:rFonts w:hint="default" w:ascii="Times New Roman" w:hAnsi="Times New Roman" w:cs="Times New Roman"/>
          <w:color w:val="000000" w:themeColor="text1"/>
          <w:kern w:val="0"/>
          <w:sz w:val="24"/>
          <w:szCs w:val="24"/>
          <w14:textFill>
            <w14:solidFill>
              <w14:schemeClr w14:val="tx1"/>
            </w14:solidFill>
          </w14:textFill>
        </w:rPr>
        <w:t>-1。</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right="0"/>
        <w:textAlignment w:val="auto"/>
        <w:outlineLvl w:val="3"/>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bookmarkStart w:id="59" w:name="_Toc532680701"/>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.2.1大气环境评价范围</w:t>
      </w:r>
      <w:bookmarkEnd w:id="59"/>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本项目大气环境影响评价范围：根据HJ2.2-2018规定，评价范围以</w:t>
      </w:r>
      <w:r>
        <w:rPr>
          <w:rFonts w:hint="eastAsia" w:ascii="Times New Roman" w:hAnsi="Times New Roman" w:cs="Times New Roman"/>
          <w:color w:val="000000" w:themeColor="text1"/>
          <w:kern w:val="0"/>
          <w:sz w:val="24"/>
          <w:szCs w:val="24"/>
          <w:lang w:eastAsia="zh-CN"/>
          <w14:textFill>
            <w14:solidFill>
              <w14:schemeClr w14:val="tx1"/>
            </w14:solidFill>
          </w14:textFill>
        </w:rPr>
        <w:t>热动力中心烟囱</w:t>
      </w:r>
      <w:r>
        <w:rPr>
          <w:rFonts w:hint="default" w:ascii="Times New Roman" w:hAnsi="Times New Roman" w:cs="Times New Roman"/>
          <w:color w:val="000000" w:themeColor="text1"/>
          <w:kern w:val="0"/>
          <w:sz w:val="24"/>
          <w:szCs w:val="24"/>
          <w14:textFill>
            <w14:solidFill>
              <w14:schemeClr w14:val="tx1"/>
            </w14:solidFill>
          </w14:textFill>
        </w:rPr>
        <w:t>为中心，项目边界外扩，边长为5km的矩形区域</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right="0"/>
        <w:textAlignment w:val="auto"/>
        <w:outlineLvl w:val="3"/>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bookmarkStart w:id="60" w:name="_Toc532680702"/>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.2.2地下水环境评价范围</w:t>
      </w:r>
      <w:bookmarkEnd w:id="60"/>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根根据《环境影响评价技术导则 地下水环境》（HJ610-2016）对于调查范围的规定，地下水环境现状调查的范围以能说明地下水环境的现状，反应调查评价区地下水基本流场特征，能满足环境影响预测和评价的要求。</w:t>
      </w:r>
      <w:r>
        <w:rPr>
          <w:rFonts w:hint="eastAsia" w:ascii="Times New Roman" w:hAnsi="Times New Roman" w:cs="Times New Roman"/>
          <w:color w:val="000000" w:themeColor="text1"/>
          <w:kern w:val="0"/>
          <w:sz w:val="24"/>
          <w:szCs w:val="24"/>
          <w:lang w:eastAsia="zh-CN"/>
          <w14:textFill>
            <w14:solidFill>
              <w14:schemeClr w14:val="tx1"/>
            </w14:solidFill>
          </w14:textFill>
        </w:rPr>
        <w:t>本项目地下水评价等级为三级，以厂区为评价范围</w:t>
      </w:r>
      <w:r>
        <w:rPr>
          <w:rFonts w:hint="default" w:ascii="Times New Roman" w:hAnsi="Times New Roman" w:cs="Times New Roman"/>
          <w:color w:val="000000" w:themeColor="text1"/>
          <w14:textFill>
            <w14:solidFill>
              <w14:schemeClr w14:val="tx1"/>
            </w14:solidFill>
          </w14:textFill>
        </w:rPr>
        <w:t>。</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right="0"/>
        <w:textAlignment w:val="auto"/>
        <w:outlineLvl w:val="3"/>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1.6.2.3</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声环境评价范围</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厂区及厂界外1m范围内</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right="0"/>
        <w:textAlignment w:val="auto"/>
        <w:outlineLvl w:val="3"/>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1.6.2.4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环境风险评价范围</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本项目的环境风险评价等级为</w:t>
      </w:r>
      <w:r>
        <w:rPr>
          <w:rFonts w:hint="eastAsia" w:ascii="Times New Roman" w:hAnsi="Times New Roman" w:cs="Times New Roman"/>
          <w:color w:val="000000" w:themeColor="text1"/>
          <w:lang w:eastAsia="zh-CN"/>
          <w14:textFill>
            <w14:solidFill>
              <w14:schemeClr w14:val="tx1"/>
            </w14:solidFill>
          </w14:textFill>
        </w:rPr>
        <w:t>三</w:t>
      </w:r>
      <w:r>
        <w:rPr>
          <w:rFonts w:hint="default" w:ascii="Times New Roman" w:hAnsi="Times New Roman" w:cs="Times New Roman"/>
          <w:color w:val="000000" w:themeColor="text1"/>
          <w14:textFill>
            <w14:solidFill>
              <w14:schemeClr w14:val="tx1"/>
            </w14:solidFill>
          </w14:textFill>
        </w:rPr>
        <w:t>级，项目的环境风险评价范围具体如下：</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大气环境风险评价范围</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以建设项目边界为起点，四周外扩</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km。</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地表水环境风险评价范围</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本项目周围无地地表水分布，本次评价不针对地表水</w:t>
      </w:r>
      <w:r>
        <w:rPr>
          <w:rFonts w:hint="default" w:ascii="Times New Roman" w:hAnsi="Times New Roman" w:cs="Times New Roman"/>
          <w:color w:val="000000" w:themeColor="text1"/>
          <w14:textFill>
            <w14:solidFill>
              <w14:schemeClr w14:val="tx1"/>
            </w14:solidFill>
          </w14:textFill>
        </w:rPr>
        <w:t>。</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地下水环境风险评价范围</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本项目储罐罐区设置防渗围堰，且</w:t>
      </w:r>
      <w:r>
        <w:rPr>
          <w:rFonts w:hint="eastAsia" w:ascii="Times New Roman" w:hAnsi="Times New Roman" w:cs="Times New Roman"/>
          <w:color w:val="000000" w:themeColor="text1"/>
          <w:lang w:eastAsia="zh-CN"/>
          <w14:textFill>
            <w14:solidFill>
              <w14:schemeClr w14:val="tx1"/>
            </w14:solidFill>
          </w14:textFill>
        </w:rPr>
        <w:t>液氨</w:t>
      </w:r>
      <w:r>
        <w:rPr>
          <w:rFonts w:hint="default" w:ascii="Times New Roman" w:hAnsi="Times New Roman" w:cs="Times New Roman"/>
          <w:color w:val="000000" w:themeColor="text1"/>
          <w14:textFill>
            <w14:solidFill>
              <w14:schemeClr w14:val="tx1"/>
            </w14:solidFill>
          </w14:textFill>
        </w:rPr>
        <w:t>在常温下极易挥发，</w:t>
      </w:r>
      <w:r>
        <w:rPr>
          <w:rFonts w:hint="eastAsia" w:ascii="Times New Roman" w:hAnsi="Times New Roman" w:cs="Times New Roman"/>
          <w:color w:val="000000" w:themeColor="text1"/>
          <w:lang w:eastAsia="zh-CN"/>
          <w14:textFill>
            <w14:solidFill>
              <w14:schemeClr w14:val="tx1"/>
            </w14:solidFill>
          </w14:textFill>
        </w:rPr>
        <w:t>液氨</w:t>
      </w:r>
      <w:r>
        <w:rPr>
          <w:rFonts w:hint="default" w:ascii="Times New Roman" w:hAnsi="Times New Roman" w:cs="Times New Roman"/>
          <w:color w:val="000000" w:themeColor="text1"/>
          <w14:textFill>
            <w14:solidFill>
              <w14:schemeClr w14:val="tx1"/>
            </w14:solidFill>
          </w14:textFill>
        </w:rPr>
        <w:t>泄露对地下水影响极小，因此，不考虑风险事故泄露危险物质对地下水的影响。</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right="0"/>
        <w:textAlignment w:val="auto"/>
        <w:outlineLvl w:val="3"/>
        <w:rPr>
          <w:rFonts w:hint="eastAsia"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1.6.2.5土壤评价范围</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以建设项目边界为起点，四周扩张50m。</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jc w:val="both"/>
        <w:textAlignment w:val="auto"/>
        <w:outlineLvl w:val="2"/>
        <w:rPr>
          <w:rFonts w:hint="default" w:ascii="Times New Roman" w:hAnsi="Times New Roman" w:cs="Times New Roman"/>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1.6.3小结</w:t>
      </w:r>
    </w:p>
    <w:p>
      <w:pPr>
        <w:pStyle w:val="10"/>
        <w:keepNext w:val="0"/>
        <w:keepLines w:val="0"/>
        <w:pageBreakBefore w:val="0"/>
        <w:widowControl w:val="0"/>
        <w:kinsoku w:val="0"/>
        <w:wordWrap/>
        <w:overflowPunct w:val="0"/>
        <w:topLinePunct w:val="0"/>
        <w:autoSpaceDE/>
        <w:autoSpaceDN/>
        <w:bidi w:val="0"/>
        <w:adjustRightInd/>
        <w:snapToGrid/>
        <w:spacing w:before="0" w:beforeLines="0" w:afterLines="0" w:line="360" w:lineRule="auto"/>
        <w:ind w:left="0" w:firstLine="480" w:firstLineChars="20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本项目环境影响评价范围见表</w:t>
      </w:r>
      <w:r>
        <w:rPr>
          <w:rFonts w:hint="default" w:ascii="Times New Roman" w:hAnsi="Times New Roman" w:cs="Times New Roman"/>
          <w:color w:val="000000" w:themeColor="text1"/>
          <w:lang w:val="en-US" w:eastAsia="zh-CN"/>
          <w14:textFill>
            <w14:solidFill>
              <w14:schemeClr w14:val="tx1"/>
            </w14:solidFill>
          </w14:textFill>
        </w:rPr>
        <w:t>1.6-10</w:t>
      </w:r>
      <w:r>
        <w:rPr>
          <w:rFonts w:hint="default" w:ascii="Times New Roman" w:hAnsi="Times New Roman" w:cs="Times New Roman"/>
          <w:color w:val="000000" w:themeColor="text1"/>
          <w14:textFill>
            <w14:solidFill>
              <w14:schemeClr w14:val="tx1"/>
            </w14:solidFill>
          </w14:textFill>
        </w:rPr>
        <w:t>、图</w:t>
      </w:r>
      <w:r>
        <w:rPr>
          <w:rFonts w:hint="default" w:ascii="Times New Roman" w:hAnsi="Times New Roman" w:cs="Times New Roman"/>
          <w:color w:val="000000" w:themeColor="text1"/>
          <w:lang w:val="en-US" w:eastAsia="zh-CN"/>
          <w14:textFill>
            <w14:solidFill>
              <w14:schemeClr w14:val="tx1"/>
            </w14:solidFill>
          </w14:textFill>
        </w:rPr>
        <w:t>1.6-1</w:t>
      </w:r>
      <w:r>
        <w:rPr>
          <w:rFonts w:hint="default" w:ascii="Times New Roman" w:hAnsi="Times New Roman" w:cs="Times New Roman"/>
          <w:color w:val="000000" w:themeColor="text1"/>
          <w14:textFill>
            <w14:solidFill>
              <w14:schemeClr w14:val="tx1"/>
            </w14:solidFill>
          </w14:textFill>
        </w:rPr>
        <w:t>。</w:t>
      </w:r>
    </w:p>
    <w:p>
      <w:pPr>
        <w:pStyle w:val="134"/>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w:t>
      </w:r>
      <w:r>
        <w:rPr>
          <w:rFonts w:hint="default" w:ascii="Times New Roman" w:hAnsi="Times New Roman" w:cs="Times New Roman"/>
          <w:color w:val="000000" w:themeColor="text1"/>
          <w:sz w:val="21"/>
          <w:szCs w:val="21"/>
          <w:lang w:val="en-US" w:eastAsia="zh-CN"/>
          <w14:textFill>
            <w14:solidFill>
              <w14:schemeClr w14:val="tx1"/>
            </w14:solidFill>
          </w14:textFill>
        </w:rPr>
        <w:t>1.6-10</w:t>
      </w:r>
      <w:r>
        <w:rPr>
          <w:rFonts w:hint="default" w:ascii="Times New Roman" w:hAnsi="Times New Roman" w:cs="Times New Roman"/>
          <w:color w:val="000000" w:themeColor="text1"/>
          <w:sz w:val="21"/>
          <w:szCs w:val="21"/>
          <w14:textFill>
            <w14:solidFill>
              <w14:schemeClr w14:val="tx1"/>
            </w14:solidFill>
          </w14:textFill>
        </w:rPr>
        <w:t xml:space="preserve">    项目评价范围一览表</w:t>
      </w:r>
    </w:p>
    <w:tbl>
      <w:tblPr>
        <w:tblStyle w:val="21"/>
        <w:tblW w:w="8309" w:type="dxa"/>
        <w:tblInd w:w="-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
      <w:tblGrid>
        <w:gridCol w:w="449"/>
        <w:gridCol w:w="1130"/>
        <w:gridCol w:w="1776"/>
        <w:gridCol w:w="959"/>
        <w:gridCol w:w="39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c>
          <w:tcPr>
            <w:tcW w:w="44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 目</w:t>
            </w:r>
          </w:p>
        </w:tc>
        <w:tc>
          <w:tcPr>
            <w:tcW w:w="177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主要影响因素</w:t>
            </w:r>
          </w:p>
        </w:tc>
        <w:tc>
          <w:tcPr>
            <w:tcW w:w="95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评价等级</w:t>
            </w:r>
          </w:p>
        </w:tc>
        <w:tc>
          <w:tcPr>
            <w:tcW w:w="3995"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rPr>
          <w:trHeight w:val="300" w:hRule="atLeast"/>
        </w:trPr>
        <w:tc>
          <w:tcPr>
            <w:tcW w:w="44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环境空气</w:t>
            </w:r>
          </w:p>
        </w:tc>
        <w:tc>
          <w:tcPr>
            <w:tcW w:w="177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废气排放影响</w:t>
            </w:r>
          </w:p>
        </w:tc>
        <w:tc>
          <w:tcPr>
            <w:tcW w:w="95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二级</w:t>
            </w:r>
          </w:p>
        </w:tc>
        <w:tc>
          <w:tcPr>
            <w:tcW w:w="3995"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热动力中心烟囱</w:t>
            </w:r>
            <w:r>
              <w:rPr>
                <w:rFonts w:hint="default" w:ascii="Times New Roman" w:hAnsi="Times New Roman" w:cs="Times New Roman"/>
                <w:color w:val="000000" w:themeColor="text1"/>
                <w:sz w:val="21"/>
                <w:szCs w:val="21"/>
                <w14:textFill>
                  <w14:solidFill>
                    <w14:schemeClr w14:val="tx1"/>
                  </w14:solidFill>
                </w14:textFill>
              </w:rPr>
              <w:t>为中心，项目边界外扩，边长为5km的矩形范围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rPr>
          <w:trHeight w:val="300" w:hRule="atLeast"/>
        </w:trPr>
        <w:tc>
          <w:tcPr>
            <w:tcW w:w="44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地下水环境</w:t>
            </w:r>
          </w:p>
        </w:tc>
        <w:tc>
          <w:tcPr>
            <w:tcW w:w="177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生产废水</w:t>
            </w:r>
          </w:p>
        </w:tc>
        <w:tc>
          <w:tcPr>
            <w:tcW w:w="95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三级</w:t>
            </w:r>
            <w:r>
              <w:rPr>
                <w:rFonts w:hint="default" w:ascii="Times New Roman" w:hAnsi="Times New Roman" w:cs="Times New Roman"/>
                <w:color w:val="000000" w:themeColor="text1"/>
                <w:sz w:val="21"/>
                <w:szCs w:val="21"/>
                <w14:textFill>
                  <w14:solidFill>
                    <w14:schemeClr w14:val="tx1"/>
                  </w14:solidFill>
                </w14:textFill>
              </w:rPr>
              <w:t>级</w:t>
            </w:r>
          </w:p>
        </w:tc>
        <w:tc>
          <w:tcPr>
            <w:tcW w:w="3995"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以厂区为评价范围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rPr>
          <w:trHeight w:val="300" w:hRule="atLeast"/>
        </w:trPr>
        <w:tc>
          <w:tcPr>
            <w:tcW w:w="44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w:t>
            </w:r>
          </w:p>
        </w:tc>
        <w:tc>
          <w:tcPr>
            <w:tcW w:w="177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生产废水</w:t>
            </w:r>
          </w:p>
        </w:tc>
        <w:tc>
          <w:tcPr>
            <w:tcW w:w="95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三级B</w:t>
            </w:r>
          </w:p>
        </w:tc>
        <w:tc>
          <w:tcPr>
            <w:tcW w:w="3995"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不设置评价范围，仅进行简单分析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rPr>
          <w:trHeight w:val="300" w:hRule="atLeast"/>
        </w:trPr>
        <w:tc>
          <w:tcPr>
            <w:tcW w:w="44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w:t>
            </w:r>
          </w:p>
        </w:tc>
        <w:tc>
          <w:tcPr>
            <w:tcW w:w="177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厂区生产设备</w:t>
            </w:r>
          </w:p>
        </w:tc>
        <w:tc>
          <w:tcPr>
            <w:tcW w:w="95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三级</w:t>
            </w:r>
          </w:p>
        </w:tc>
        <w:tc>
          <w:tcPr>
            <w:tcW w:w="3995"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厂界外1m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rPr>
          <w:trHeight w:val="300" w:hRule="atLeast"/>
        </w:trPr>
        <w:tc>
          <w:tcPr>
            <w:tcW w:w="44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生态环境</w:t>
            </w:r>
          </w:p>
        </w:tc>
        <w:tc>
          <w:tcPr>
            <w:tcW w:w="177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施工建设、运营期运营</w:t>
            </w:r>
          </w:p>
        </w:tc>
        <w:tc>
          <w:tcPr>
            <w:tcW w:w="95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995"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简要分析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rPr>
          <w:trHeight w:val="75" w:hRule="atLeast"/>
        </w:trPr>
        <w:tc>
          <w:tcPr>
            <w:tcW w:w="449" w:type="dxa"/>
            <w:vMerge w:val="restart"/>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1130" w:type="dxa"/>
            <w:vMerge w:val="restart"/>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环境风险</w:t>
            </w:r>
          </w:p>
        </w:tc>
        <w:tc>
          <w:tcPr>
            <w:tcW w:w="1776" w:type="dxa"/>
            <w:vMerge w:val="restart"/>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风险物质泄漏影响</w:t>
            </w:r>
          </w:p>
        </w:tc>
        <w:tc>
          <w:tcPr>
            <w:tcW w:w="959" w:type="dxa"/>
            <w:vMerge w:val="restart"/>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三</w:t>
            </w:r>
            <w:r>
              <w:rPr>
                <w:rFonts w:hint="default" w:ascii="Times New Roman" w:hAnsi="Times New Roman" w:cs="Times New Roman"/>
                <w:color w:val="000000" w:themeColor="text1"/>
                <w:sz w:val="21"/>
                <w:szCs w:val="21"/>
                <w14:textFill>
                  <w14:solidFill>
                    <w14:schemeClr w14:val="tx1"/>
                  </w14:solidFill>
                </w14:textFill>
              </w:rPr>
              <w:t>级</w:t>
            </w:r>
          </w:p>
        </w:tc>
        <w:tc>
          <w:tcPr>
            <w:tcW w:w="3995"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大气环境评价范围：以建设项目边界为起点，四周外扩</w:t>
            </w: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rPr>
          <w:trHeight w:val="74" w:hRule="atLeast"/>
        </w:trPr>
        <w:tc>
          <w:tcPr>
            <w:tcW w:w="449"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30"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59"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995"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地表水环境评价范围：-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rPr>
          <w:trHeight w:val="74" w:hRule="atLeast"/>
        </w:trPr>
        <w:tc>
          <w:tcPr>
            <w:tcW w:w="449"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30"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59"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995"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地下水环境评价范围：-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6" w:type="dxa"/>
            <w:left w:w="0" w:type="dxa"/>
            <w:bottom w:w="6" w:type="dxa"/>
            <w:right w:w="0" w:type="dxa"/>
          </w:tblCellMar>
        </w:tblPrEx>
        <w:trPr>
          <w:trHeight w:val="74" w:hRule="atLeast"/>
        </w:trPr>
        <w:tc>
          <w:tcPr>
            <w:tcW w:w="44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土壤环境</w:t>
            </w:r>
          </w:p>
        </w:tc>
        <w:tc>
          <w:tcPr>
            <w:tcW w:w="1776"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59"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二级</w:t>
            </w:r>
          </w:p>
        </w:tc>
        <w:tc>
          <w:tcPr>
            <w:tcW w:w="3995" w:type="dxa"/>
            <w:tcBorders>
              <w:top w:val="single" w:color="auto" w:sz="4" w:space="0"/>
              <w:left w:val="single" w:color="auto" w:sz="4" w:space="0"/>
              <w:bottom w:val="single" w:color="auto" w:sz="4" w:space="0"/>
              <w:right w:val="single" w:color="auto" w:sz="4"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场界外</w:t>
            </w:r>
            <w:r>
              <w:rPr>
                <w:rFonts w:hint="eastAsia" w:ascii="Times New Roman" w:hAnsi="Times New Roman" w:cs="Times New Roman"/>
                <w:color w:val="000000" w:themeColor="text1"/>
                <w:sz w:val="21"/>
                <w:szCs w:val="21"/>
                <w:lang w:val="en-US" w:eastAsia="zh-CN"/>
                <w14:textFill>
                  <w14:solidFill>
                    <w14:schemeClr w14:val="tx1"/>
                  </w14:solidFill>
                </w14:textFill>
              </w:rPr>
              <w:t>50m</w:t>
            </w:r>
          </w:p>
        </w:tc>
      </w:tr>
    </w:tbl>
    <w:p>
      <w:pPr>
        <w:pStyle w:val="4"/>
        <w:keepNext w:val="0"/>
        <w:keepLines w:val="0"/>
        <w:pageBreakBefore w:val="0"/>
        <w:widowControl w:val="0"/>
        <w:kinsoku/>
        <w:wordWrap/>
        <w:overflowPunct w:val="0"/>
        <w:topLinePunct w:val="0"/>
        <w:autoSpaceDE/>
        <w:autoSpaceDN/>
        <w:bidi w:val="0"/>
        <w:adjustRightInd/>
        <w:snapToGrid/>
        <w:spacing w:before="313" w:beforeLines="100"/>
        <w:textAlignment w:val="auto"/>
        <w:rPr>
          <w:color w:val="000000" w:themeColor="text1"/>
          <w:sz w:val="32"/>
          <w:szCs w:val="32"/>
          <w14:textFill>
            <w14:solidFill>
              <w14:schemeClr w14:val="tx1"/>
            </w14:solidFill>
          </w14:textFill>
        </w:rPr>
      </w:pPr>
      <w:bookmarkStart w:id="61" w:name="_Toc23384"/>
      <w:r>
        <w:rPr>
          <w:rFonts w:hint="eastAsia"/>
          <w:color w:val="000000" w:themeColor="text1"/>
          <w:sz w:val="32"/>
          <w:szCs w:val="32"/>
          <w:lang w:val="en-US" w:eastAsia="zh-CN"/>
          <w14:textFill>
            <w14:solidFill>
              <w14:schemeClr w14:val="tx1"/>
            </w14:solidFill>
          </w14:textFill>
        </w:rPr>
        <w:t>1.7</w:t>
      </w:r>
      <w:r>
        <w:rPr>
          <w:color w:val="000000" w:themeColor="text1"/>
          <w:sz w:val="32"/>
          <w:szCs w:val="32"/>
          <w14:textFill>
            <w14:solidFill>
              <w14:schemeClr w14:val="tx1"/>
            </w14:solidFill>
          </w14:textFill>
        </w:rPr>
        <w:t>环境</w:t>
      </w:r>
      <w:r>
        <w:rPr>
          <w:rFonts w:hint="eastAsia"/>
          <w:color w:val="000000" w:themeColor="text1"/>
          <w:sz w:val="32"/>
          <w:szCs w:val="32"/>
          <w:lang w:eastAsia="zh-CN"/>
          <w14:textFill>
            <w14:solidFill>
              <w14:schemeClr w14:val="tx1"/>
            </w14:solidFill>
          </w14:textFill>
        </w:rPr>
        <w:t>保护</w:t>
      </w:r>
      <w:r>
        <w:rPr>
          <w:color w:val="000000" w:themeColor="text1"/>
          <w:sz w:val="32"/>
          <w:szCs w:val="32"/>
          <w14:textFill>
            <w14:solidFill>
              <w14:schemeClr w14:val="tx1"/>
            </w14:solidFill>
          </w14:textFill>
        </w:rPr>
        <w:t>目标</w:t>
      </w:r>
      <w:bookmarkEnd w:id="55"/>
      <w:bookmarkEnd w:id="56"/>
      <w:bookmarkEnd w:id="57"/>
      <w:bookmarkEnd w:id="58"/>
      <w:bookmarkEnd w:id="61"/>
    </w:p>
    <w:p>
      <w:pPr>
        <w:pStyle w:val="5"/>
        <w:keepNext w:val="0"/>
        <w:keepLines w:val="0"/>
        <w:overflowPunct w:val="0"/>
        <w:rPr>
          <w:color w:val="000000" w:themeColor="text1"/>
          <w:sz w:val="28"/>
          <w:szCs w:val="28"/>
          <w:lang w:val="zh-CN"/>
          <w14:textFill>
            <w14:solidFill>
              <w14:schemeClr w14:val="tx1"/>
            </w14:solidFill>
          </w14:textFill>
        </w:rPr>
      </w:pPr>
      <w:bookmarkStart w:id="62" w:name="_Toc8945"/>
      <w:bookmarkStart w:id="63" w:name="_Toc30694"/>
      <w:bookmarkStart w:id="64" w:name="_Toc12217"/>
      <w:bookmarkStart w:id="65" w:name="_Toc31921"/>
      <w:bookmarkStart w:id="66" w:name="_Toc25502"/>
      <w:r>
        <w:rPr>
          <w:color w:val="000000" w:themeColor="text1"/>
          <w:lang w:val="zh-CN"/>
          <w14:textFill>
            <w14:solidFill>
              <w14:schemeClr w14:val="tx1"/>
            </w14:solidFill>
          </w14:textFill>
        </w:rPr>
        <w:t>1.</w:t>
      </w:r>
      <w:r>
        <w:rPr>
          <w:rFonts w:hint="eastAsia"/>
          <w:color w:val="000000" w:themeColor="text1"/>
          <w:lang w:val="en-US" w:eastAsia="zh-CN"/>
          <w14:textFill>
            <w14:solidFill>
              <w14:schemeClr w14:val="tx1"/>
            </w14:solidFill>
          </w14:textFill>
        </w:rPr>
        <w:t>7</w:t>
      </w:r>
      <w:r>
        <w:rPr>
          <w:color w:val="000000" w:themeColor="text1"/>
          <w:lang w:val="zh-CN"/>
          <w14:textFill>
            <w14:solidFill>
              <w14:schemeClr w14:val="tx1"/>
            </w14:solidFill>
          </w14:textFill>
        </w:rPr>
        <w:t>.1</w:t>
      </w:r>
      <w:bookmarkEnd w:id="62"/>
      <w:bookmarkEnd w:id="63"/>
      <w:bookmarkEnd w:id="64"/>
      <w:bookmarkEnd w:id="65"/>
      <w:bookmarkEnd w:id="66"/>
      <w:bookmarkStart w:id="67" w:name="_Toc161"/>
      <w:bookmarkStart w:id="68" w:name="_Toc17203"/>
      <w:bookmarkStart w:id="69" w:name="_Toc19313"/>
      <w:bookmarkStart w:id="70" w:name="_Toc7525"/>
      <w:bookmarkStart w:id="71" w:name="_Toc8194"/>
      <w:r>
        <w:rPr>
          <w:color w:val="000000" w:themeColor="text1"/>
          <w:sz w:val="28"/>
          <w:szCs w:val="28"/>
          <w14:textFill>
            <w14:solidFill>
              <w14:schemeClr w14:val="tx1"/>
            </w14:solidFill>
          </w14:textFill>
        </w:rPr>
        <w:t xml:space="preserve"> </w:t>
      </w:r>
      <w:r>
        <w:rPr>
          <w:color w:val="000000" w:themeColor="text1"/>
          <w:sz w:val="28"/>
          <w:szCs w:val="28"/>
          <w:lang w:val="zh-CN"/>
          <w14:textFill>
            <w14:solidFill>
              <w14:schemeClr w14:val="tx1"/>
            </w14:solidFill>
          </w14:textFill>
        </w:rPr>
        <w:t>环境敏感目标分布</w:t>
      </w:r>
      <w:bookmarkEnd w:id="67"/>
      <w:bookmarkEnd w:id="68"/>
      <w:bookmarkEnd w:id="69"/>
      <w:bookmarkEnd w:id="70"/>
      <w:bookmarkEnd w:id="71"/>
    </w:p>
    <w:p>
      <w:pPr>
        <w:overflowPunct w:val="0"/>
        <w:spacing w:line="360" w:lineRule="auto"/>
        <w:ind w:firstLine="480" w:firstLineChars="200"/>
        <w:rPr>
          <w:color w:val="000000" w:themeColor="text1"/>
          <w:sz w:val="24"/>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项目拟建厂址位新疆克拉玛依高新技术产业开发区，</w:t>
      </w:r>
      <w:r>
        <w:rPr>
          <w:rFonts w:hint="eastAsia" w:ascii="宋体" w:hAnsi="宋体" w:eastAsia="宋体" w:cs="宋体"/>
          <w:color w:val="000000" w:themeColor="text1"/>
          <w:w w:val="100"/>
          <w:position w:val="0"/>
          <w:lang w:val="zh-CN" w:eastAsia="zh-CN" w:bidi="zh-CN"/>
          <w14:textFill>
            <w14:solidFill>
              <w14:schemeClr w14:val="tx1"/>
            </w14:solidFill>
          </w14:textFill>
        </w:rPr>
        <w:t>根据现场调查，项目厂址周边均为工业用地，评价范围内其环境敏感点主要涉及园区周边村庄等。</w:t>
      </w:r>
      <w:r>
        <w:rPr>
          <w:color w:val="000000" w:themeColor="text1"/>
          <w:sz w:val="24"/>
          <w:szCs w:val="24"/>
          <w14:textFill>
            <w14:solidFill>
              <w14:schemeClr w14:val="tx1"/>
            </w14:solidFill>
          </w14:textFill>
        </w:rPr>
        <w:t>环境敏感目标，见表1</w:t>
      </w:r>
      <w:r>
        <w:rPr>
          <w:rFonts w:hint="eastAsia" w:eastAsia="宋体"/>
          <w:color w:val="000000" w:themeColor="text1"/>
          <w:sz w:val="24"/>
          <w:szCs w:val="24"/>
          <w:lang w:val="en-US" w:eastAsia="zh-CN"/>
          <w14:textFill>
            <w14:solidFill>
              <w14:schemeClr w14:val="tx1"/>
            </w14:solidFill>
          </w14:textFill>
        </w:rPr>
        <w:t>.7</w:t>
      </w:r>
      <w:r>
        <w:rPr>
          <w:color w:val="000000" w:themeColor="text1"/>
          <w:sz w:val="24"/>
          <w:szCs w:val="24"/>
          <w14:textFill>
            <w14:solidFill>
              <w14:schemeClr w14:val="tx1"/>
            </w14:solidFill>
          </w14:textFill>
        </w:rPr>
        <w:t>-1。周边关系图见1.</w:t>
      </w:r>
      <w:r>
        <w:rPr>
          <w:rFonts w:hint="eastAsia" w:eastAsia="宋体"/>
          <w:color w:val="000000" w:themeColor="text1"/>
          <w:sz w:val="24"/>
          <w:szCs w:val="24"/>
          <w:lang w:val="en-US" w:eastAsia="zh-CN"/>
          <w14:textFill>
            <w14:solidFill>
              <w14:schemeClr w14:val="tx1"/>
            </w14:solidFill>
          </w14:textFill>
        </w:rPr>
        <w:t>7</w:t>
      </w:r>
      <w:r>
        <w:rPr>
          <w:color w:val="000000" w:themeColor="text1"/>
          <w:sz w:val="24"/>
          <w:szCs w:val="24"/>
          <w14:textFill>
            <w14:solidFill>
              <w14:schemeClr w14:val="tx1"/>
            </w14:solidFill>
          </w14:textFill>
        </w:rPr>
        <w:t>-1。</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表1</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w:t>
      </w:r>
      <w:r>
        <w:rPr>
          <w:rFonts w:hint="eastAsia" w:eastAsia="黑体" w:cs="Times New Roman"/>
          <w:color w:val="000000" w:themeColor="text1"/>
          <w:spacing w:val="0"/>
          <w:w w:val="100"/>
          <w:position w:val="0"/>
          <w:sz w:val="21"/>
          <w:szCs w:val="21"/>
          <w:lang w:val="en-US" w:eastAsia="zh-CN" w:bidi="zh-CN"/>
          <w14:textFill>
            <w14:solidFill>
              <w14:schemeClr w14:val="tx1"/>
            </w14:solidFill>
          </w14:textFill>
        </w:rPr>
        <w:t>7</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-1</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ab/>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评价区附近主要环境保护目标</w:t>
      </w:r>
    </w:p>
    <w:tbl>
      <w:tblPr>
        <w:tblStyle w:val="21"/>
        <w:tblW w:w="8349"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14"/>
        <w:gridCol w:w="1559"/>
        <w:gridCol w:w="1305"/>
        <w:gridCol w:w="2040"/>
        <w:gridCol w:w="25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914" w:type="dxa"/>
            <w:tcBorders>
              <w:top w:val="single" w:color="auto" w:sz="4" w:space="0"/>
              <w:left w:val="single" w:color="auto" w:sz="4" w:space="0"/>
            </w:tcBorders>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bookmarkStart w:id="72" w:name="_Toc532680707"/>
            <w:r>
              <w:rPr>
                <w:rFonts w:hint="default" w:ascii="Times New Roman" w:hAnsi="Times New Roman" w:cs="Times New Roman"/>
                <w:color w:val="000000" w:themeColor="text1"/>
                <w:sz w:val="21"/>
                <w:szCs w:val="21"/>
                <w14:textFill>
                  <w14:solidFill>
                    <w14:schemeClr w14:val="tx1"/>
                  </w14:solidFill>
                </w14:textFill>
              </w:rPr>
              <w:t>环境要素</w:t>
            </w:r>
          </w:p>
        </w:tc>
        <w:tc>
          <w:tcPr>
            <w:tcW w:w="1559" w:type="dxa"/>
            <w:tcBorders>
              <w:top w:val="single" w:color="auto" w:sz="4" w:space="0"/>
            </w:tcBorders>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主要敏感点</w:t>
            </w:r>
          </w:p>
        </w:tc>
        <w:tc>
          <w:tcPr>
            <w:tcW w:w="1305" w:type="dxa"/>
            <w:tcBorders>
              <w:top w:val="single" w:color="auto" w:sz="4" w:space="0"/>
            </w:tcBorders>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方位、距离</w:t>
            </w:r>
          </w:p>
        </w:tc>
        <w:tc>
          <w:tcPr>
            <w:tcW w:w="2040" w:type="dxa"/>
            <w:tcBorders>
              <w:top w:val="single" w:color="auto" w:sz="4" w:space="0"/>
            </w:tcBorders>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保护对象及影响人数</w:t>
            </w:r>
          </w:p>
        </w:tc>
        <w:tc>
          <w:tcPr>
            <w:tcW w:w="2531" w:type="dxa"/>
            <w:tcBorders>
              <w:top w:val="single" w:color="auto" w:sz="4" w:space="0"/>
              <w:right w:val="single" w:color="auto" w:sz="4" w:space="0"/>
            </w:tcBorders>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914" w:type="dxa"/>
            <w:vMerge w:val="restart"/>
            <w:tcBorders>
              <w:left w:val="single" w:color="auto" w:sz="4" w:space="0"/>
            </w:tcBorders>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w:t>
            </w:r>
          </w:p>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w:t>
            </w:r>
          </w:p>
        </w:tc>
        <w:tc>
          <w:tcPr>
            <w:tcW w:w="1559" w:type="dxa"/>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站址区域地下水</w:t>
            </w:r>
          </w:p>
        </w:tc>
        <w:tc>
          <w:tcPr>
            <w:tcW w:w="1305" w:type="dxa"/>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040" w:type="dxa"/>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水质</w:t>
            </w:r>
          </w:p>
        </w:tc>
        <w:tc>
          <w:tcPr>
            <w:tcW w:w="2531" w:type="dxa"/>
            <w:tcBorders>
              <w:right w:val="single" w:color="auto" w:sz="4" w:space="0"/>
            </w:tcBorders>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《地下水质量标准》（GB/T14848-2017）V类标准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914" w:type="dxa"/>
            <w:vMerge w:val="continue"/>
            <w:tcBorders>
              <w:left w:val="single" w:color="auto" w:sz="4" w:space="0"/>
            </w:tcBorders>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59" w:type="dxa"/>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兴农湖</w:t>
            </w:r>
          </w:p>
        </w:tc>
        <w:tc>
          <w:tcPr>
            <w:tcW w:w="1305" w:type="dxa"/>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东南侧1.6km</w:t>
            </w:r>
          </w:p>
        </w:tc>
        <w:tc>
          <w:tcPr>
            <w:tcW w:w="2040" w:type="dxa"/>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水质</w:t>
            </w:r>
          </w:p>
        </w:tc>
        <w:tc>
          <w:tcPr>
            <w:tcW w:w="2531" w:type="dxa"/>
            <w:tcBorders>
              <w:right w:val="single" w:color="auto" w:sz="4" w:space="0"/>
            </w:tcBorders>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《地表水环境质量标准》（GB3838-2002）Ⅲ类标准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914" w:type="dxa"/>
            <w:tcBorders>
              <w:left w:val="single" w:color="auto" w:sz="4" w:space="0"/>
            </w:tcBorders>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环境</w:t>
            </w:r>
          </w:p>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风险</w:t>
            </w:r>
          </w:p>
        </w:tc>
        <w:tc>
          <w:tcPr>
            <w:tcW w:w="1559" w:type="dxa"/>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金龙镇</w:t>
            </w:r>
          </w:p>
        </w:tc>
        <w:tc>
          <w:tcPr>
            <w:tcW w:w="1305" w:type="dxa"/>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西北侧2.6km</w:t>
            </w:r>
          </w:p>
        </w:tc>
        <w:tc>
          <w:tcPr>
            <w:tcW w:w="2040" w:type="dxa"/>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居民1500人</w:t>
            </w:r>
          </w:p>
        </w:tc>
        <w:tc>
          <w:tcPr>
            <w:tcW w:w="2531" w:type="dxa"/>
            <w:tcBorders>
              <w:right w:val="single" w:color="auto" w:sz="4" w:space="0"/>
            </w:tcBorders>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保护居民、职工</w:t>
            </w:r>
          </w:p>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的人身健康和安全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914" w:type="dxa"/>
            <w:tcBorders>
              <w:left w:val="single" w:color="auto" w:sz="4" w:space="0"/>
              <w:bottom w:val="single" w:color="auto" w:sz="4" w:space="0"/>
            </w:tcBorders>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生态环境</w:t>
            </w:r>
          </w:p>
        </w:tc>
        <w:tc>
          <w:tcPr>
            <w:tcW w:w="1559" w:type="dxa"/>
            <w:tcBorders>
              <w:bottom w:val="single" w:color="auto" w:sz="4" w:space="0"/>
            </w:tcBorders>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兴农湖生态园</w:t>
            </w:r>
          </w:p>
        </w:tc>
        <w:tc>
          <w:tcPr>
            <w:tcW w:w="1305" w:type="dxa"/>
            <w:tcBorders>
              <w:bottom w:val="single" w:color="auto" w:sz="4" w:space="0"/>
            </w:tcBorders>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东南侧1.6km</w:t>
            </w:r>
          </w:p>
        </w:tc>
        <w:tc>
          <w:tcPr>
            <w:tcW w:w="2040" w:type="dxa"/>
            <w:tcBorders>
              <w:bottom w:val="single" w:color="auto" w:sz="4" w:space="0"/>
            </w:tcBorders>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土壤、植被</w:t>
            </w:r>
          </w:p>
        </w:tc>
        <w:tc>
          <w:tcPr>
            <w:tcW w:w="2531" w:type="dxa"/>
            <w:tcBorders>
              <w:bottom w:val="single" w:color="auto" w:sz="4" w:space="0"/>
              <w:right w:val="single" w:color="auto" w:sz="4" w:space="0"/>
            </w:tcBorders>
            <w:noWrap w:val="0"/>
            <w:vAlign w:val="center"/>
          </w:tcPr>
          <w:p>
            <w:pPr>
              <w:keepNext w:val="0"/>
              <w:keepLines w:val="0"/>
              <w:pageBreakBefore w:val="0"/>
              <w:widowControl w:val="0"/>
              <w:tabs>
                <w:tab w:val="left" w:pos="536"/>
              </w:tabs>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防止生态破坏</w:t>
            </w:r>
          </w:p>
        </w:tc>
      </w:tr>
    </w:tbl>
    <w:p>
      <w:pPr>
        <w:pStyle w:val="143"/>
        <w:keepNext w:val="0"/>
        <w:keepLines w:val="0"/>
        <w:pageBreakBefore w:val="0"/>
        <w:widowControl w:val="0"/>
        <w:kinsoku/>
        <w:wordWrap/>
        <w:overflowPunct/>
        <w:topLinePunct w:val="0"/>
        <w:autoSpaceDE/>
        <w:autoSpaceDN/>
        <w:bidi w:val="0"/>
        <w:adjustRightInd/>
        <w:snapToGrid/>
        <w:spacing w:before="313" w:beforeLines="100"/>
        <w:ind w:firstLine="0" w:firstLineChars="0"/>
        <w:textAlignment w:val="auto"/>
        <w:outlineLvl w:val="2"/>
        <w:rPr>
          <w:rFonts w:hint="default" w:ascii="Times New Roman" w:hAnsi="Times New Roman" w:cs="Times New Roman"/>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1.7.2污染控制目标</w:t>
      </w:r>
      <w:bookmarkEnd w:id="72"/>
    </w:p>
    <w:p>
      <w:pPr>
        <w:pStyle w:val="128"/>
        <w:numPr>
          <w:ilvl w:val="0"/>
          <w:numId w:val="0"/>
        </w:numPr>
        <w:ind w:leftChars="0"/>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1.7.2.1废气控制目标</w:t>
      </w:r>
    </w:p>
    <w:p>
      <w:pPr>
        <w:pStyle w:val="143"/>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保证拟建项目排放废气达标排放，保证主要污染物排放总量能够满足国家和地方总量控制要求。区域环境空气质量不因本项目的建设运行而产生明显影响。</w:t>
      </w:r>
    </w:p>
    <w:p>
      <w:pPr>
        <w:pStyle w:val="128"/>
        <w:keepNext w:val="0"/>
        <w:keepLines w:val="0"/>
        <w:pageBreakBefore w:val="0"/>
        <w:widowControl/>
        <w:numPr>
          <w:ilvl w:val="0"/>
          <w:numId w:val="0"/>
        </w:numPr>
        <w:kinsoku/>
        <w:wordWrap/>
        <w:overflowPunct/>
        <w:topLinePunct w:val="0"/>
        <w:autoSpaceDE/>
        <w:autoSpaceDN/>
        <w:bidi w:val="0"/>
        <w:adjustRightInd w:val="0"/>
        <w:snapToGrid w:val="0"/>
        <w:ind w:leftChars="0"/>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1.7.2.2废水控制目标</w:t>
      </w:r>
    </w:p>
    <w:p>
      <w:pPr>
        <w:pStyle w:val="143"/>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项目产生的生产废水经沉淀处理后，回用于生产，不排入外环境。</w:t>
      </w:r>
    </w:p>
    <w:p>
      <w:pPr>
        <w:pStyle w:val="128"/>
        <w:numPr>
          <w:ilvl w:val="0"/>
          <w:numId w:val="0"/>
        </w:numPr>
        <w:ind w:leftChars="0"/>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1.7.2.3噪声控制目标</w:t>
      </w:r>
    </w:p>
    <w:p>
      <w:pPr>
        <w:pStyle w:val="143"/>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厂界噪声达到《工业企业厂界环境噪声排放标准》（GB12348</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2008）3类标准。</w:t>
      </w:r>
    </w:p>
    <w:p>
      <w:pPr>
        <w:pStyle w:val="128"/>
        <w:numPr>
          <w:ilvl w:val="0"/>
          <w:numId w:val="0"/>
        </w:numPr>
        <w:ind w:leftChars="0"/>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1.7.2.4固废控制目标</w:t>
      </w:r>
    </w:p>
    <w:p>
      <w:pPr>
        <w:pStyle w:val="143"/>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固体废物实现分类处置，不对周围环境产生危害和二次污染；危险废物按照规范处置，暂存于满足《危险废物贮存污染控制标准》要求的临时贮存场所，并定期交由有资质单位进行处置。本项目污染控制项目见表</w:t>
      </w:r>
      <w:r>
        <w:rPr>
          <w:rFonts w:hint="default" w:ascii="Times New Roman" w:hAnsi="Times New Roman" w:cs="Times New Roman"/>
          <w:color w:val="000000" w:themeColor="text1"/>
          <w:lang w:val="en-US" w:eastAsia="zh-CN"/>
          <w14:textFill>
            <w14:solidFill>
              <w14:schemeClr w14:val="tx1"/>
            </w14:solidFill>
          </w14:textFill>
        </w:rPr>
        <w:t>1.7-2</w:t>
      </w:r>
      <w:r>
        <w:rPr>
          <w:rFonts w:hint="default" w:ascii="Times New Roman" w:hAnsi="Times New Roman" w:cs="Times New Roman"/>
          <w:color w:val="000000" w:themeColor="text1"/>
          <w14:textFill>
            <w14:solidFill>
              <w14:schemeClr w14:val="tx1"/>
            </w14:solidFill>
          </w14:textFill>
        </w:rPr>
        <w:t>。</w:t>
      </w:r>
    </w:p>
    <w:p>
      <w:pPr>
        <w:pStyle w:val="134"/>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w:t>
      </w:r>
      <w:r>
        <w:rPr>
          <w:rFonts w:hint="default" w:ascii="Times New Roman" w:hAnsi="Times New Roman" w:cs="Times New Roman"/>
          <w:color w:val="000000" w:themeColor="text1"/>
          <w:sz w:val="21"/>
          <w:szCs w:val="21"/>
          <w:lang w:val="en-US" w:eastAsia="zh-CN"/>
          <w14:textFill>
            <w14:solidFill>
              <w14:schemeClr w14:val="tx1"/>
            </w14:solidFill>
          </w14:textFill>
        </w:rPr>
        <w:t>1.7</w:t>
      </w:r>
      <w:r>
        <w:rPr>
          <w:rFonts w:hint="default" w:ascii="Times New Roman" w:hAnsi="Times New Roman" w:cs="Times New Roman"/>
          <w:color w:val="000000" w:themeColor="text1"/>
          <w:sz w:val="21"/>
          <w:szCs w:val="21"/>
          <w14:textFill>
            <w14:solidFill>
              <w14:schemeClr w14:val="tx1"/>
            </w14:solidFill>
          </w14:textFill>
        </w:rPr>
        <w:t>-2        污染控制目标一览表</w:t>
      </w:r>
    </w:p>
    <w:tbl>
      <w:tblPr>
        <w:tblStyle w:val="21"/>
        <w:tblW w:w="8329" w:type="dxa"/>
        <w:tblInd w:w="-1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603"/>
        <w:gridCol w:w="1236"/>
        <w:gridCol w:w="649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c>
          <w:tcPr>
            <w:tcW w:w="603" w:type="dxa"/>
            <w:tcBorders>
              <w:bottom w:val="single" w:color="auto" w:sz="6" w:space="0"/>
              <w:right w:val="single" w:color="auto" w:sz="6"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1236" w:type="dxa"/>
            <w:tcBorders>
              <w:left w:val="single" w:color="auto" w:sz="6" w:space="0"/>
              <w:bottom w:val="single" w:color="auto" w:sz="6" w:space="0"/>
              <w:right w:val="single" w:color="auto" w:sz="6"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污染源名称</w:t>
            </w:r>
          </w:p>
        </w:tc>
        <w:tc>
          <w:tcPr>
            <w:tcW w:w="6490" w:type="dxa"/>
            <w:tcBorders>
              <w:left w:val="single" w:color="auto" w:sz="6" w:space="0"/>
              <w:bottom w:val="single" w:color="auto" w:sz="6"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污染控制目标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c>
          <w:tcPr>
            <w:tcW w:w="603" w:type="dxa"/>
            <w:tcBorders>
              <w:top w:val="single" w:color="auto" w:sz="6" w:space="0"/>
              <w:bottom w:val="single" w:color="auto" w:sz="6" w:space="0"/>
              <w:right w:val="single" w:color="auto" w:sz="6"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236" w:type="dxa"/>
            <w:tcBorders>
              <w:top w:val="single" w:color="auto" w:sz="6" w:space="0"/>
              <w:left w:val="single" w:color="auto" w:sz="6" w:space="0"/>
              <w:bottom w:val="single" w:color="auto" w:sz="6" w:space="0"/>
              <w:right w:val="single" w:color="auto" w:sz="6"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废气污染源</w:t>
            </w:r>
          </w:p>
        </w:tc>
        <w:tc>
          <w:tcPr>
            <w:tcW w:w="6490" w:type="dxa"/>
            <w:tcBorders>
              <w:top w:val="single" w:color="auto" w:sz="6" w:space="0"/>
              <w:left w:val="single" w:color="auto" w:sz="6" w:space="0"/>
              <w:bottom w:val="single" w:color="auto" w:sz="6"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符合《大气污染物综合排放标准》（GB 16297-1996）、</w:t>
            </w:r>
            <w:r>
              <w:rPr>
                <w:rFonts w:hint="eastAsia" w:ascii="Times New Roman" w:hAnsi="Times New Roman" w:cs="Times New Roman"/>
                <w:color w:val="000000" w:themeColor="text1"/>
                <w:sz w:val="21"/>
                <w:szCs w:val="21"/>
                <w:lang w:val="zh-CN" w:eastAsia="zh-CN"/>
                <w14:textFill>
                  <w14:solidFill>
                    <w14:schemeClr w14:val="tx1"/>
                  </w14:solidFill>
                </w14:textFill>
              </w:rPr>
              <w:t>《火电厂大气污染物排放标准》</w:t>
            </w:r>
            <w:r>
              <w:rPr>
                <w:rFonts w:hint="eastAsia" w:ascii="Times New Roman" w:hAnsi="Times New Roman" w:cs="Times New Roman"/>
                <w:color w:val="000000" w:themeColor="text1"/>
                <w:sz w:val="21"/>
                <w:szCs w:val="21"/>
                <w:lang w:val="en-US" w:eastAsia="en-US"/>
                <w14:textFill>
                  <w14:solidFill>
                    <w14:schemeClr w14:val="tx1"/>
                  </w14:solidFill>
                </w14:textFill>
              </w:rPr>
              <w:t>(</w:t>
            </w:r>
            <w:r>
              <w:rPr>
                <w:rFonts w:hint="eastAsia" w:ascii="Times New Roman" w:hAnsi="Times New Roman" w:cs="Times New Roman"/>
                <w:color w:val="000000" w:themeColor="text1"/>
                <w:sz w:val="21"/>
                <w:szCs w:val="21"/>
                <w:lang w:val="zh-CN" w:eastAsia="zh-CN"/>
                <w14:textFill>
                  <w14:solidFill>
                    <w14:schemeClr w14:val="tx1"/>
                  </w14:solidFill>
                </w14:textFill>
              </w:rPr>
              <w:t>GB</w:t>
            </w:r>
            <w:r>
              <w:rPr>
                <w:rFonts w:hint="eastAsia" w:ascii="Times New Roman" w:hAnsi="Times New Roman" w:cs="Times New Roman"/>
                <w:color w:val="000000" w:themeColor="text1"/>
                <w:sz w:val="21"/>
                <w:szCs w:val="21"/>
                <w:lang w:val="en-US" w:eastAsia="en-US"/>
                <w14:textFill>
                  <w14:solidFill>
                    <w14:schemeClr w14:val="tx1"/>
                  </w14:solidFill>
                </w14:textFill>
              </w:rPr>
              <w:t>13223-20</w:t>
            </w:r>
            <w:r>
              <w:rPr>
                <w:rFonts w:hint="eastAsia" w:ascii="Times New Roman" w:hAnsi="Times New Roman" w:cs="Times New Roman"/>
                <w:color w:val="000000" w:themeColor="text1"/>
                <w:sz w:val="21"/>
                <w:szCs w:val="21"/>
                <w:lang w:val="en-US" w:eastAsia="zh-CN"/>
                <w14:textFill>
                  <w14:solidFill>
                    <w14:schemeClr w14:val="tx1"/>
                  </w14:solidFill>
                </w14:textFill>
              </w:rPr>
              <w:t>11</w:t>
            </w:r>
            <w:r>
              <w:rPr>
                <w:rFonts w:hint="eastAsia" w:ascii="Times New Roman" w:hAnsi="Times New Roman" w:cs="Times New Roman"/>
                <w:color w:val="000000" w:themeColor="text1"/>
                <w:sz w:val="21"/>
                <w:szCs w:val="21"/>
                <w:lang w:val="en-US" w:eastAsia="en-US"/>
                <w14:textFill>
                  <w14:solidFill>
                    <w14:schemeClr w14:val="tx1"/>
                  </w14:solidFill>
                </w14:textFill>
              </w:rPr>
              <w:t>)</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zh-CN" w:eastAsia="zh-CN"/>
                <w14:textFill>
                  <w14:solidFill>
                    <w14:schemeClr w14:val="tx1"/>
                  </w14:solidFill>
                </w14:textFill>
              </w:rPr>
              <w:t>《锅炉大气污染物排放标准》</w:t>
            </w:r>
            <w:r>
              <w:rPr>
                <w:rFonts w:hint="eastAsia" w:ascii="Times New Roman" w:hAnsi="Times New Roman" w:cs="Times New Roman"/>
                <w:color w:val="000000" w:themeColor="text1"/>
                <w:sz w:val="21"/>
                <w:szCs w:val="21"/>
                <w:lang w:val="en-US" w:eastAsia="en-US"/>
                <w14:textFill>
                  <w14:solidFill>
                    <w14:schemeClr w14:val="tx1"/>
                  </w14:solidFill>
                </w14:textFill>
              </w:rPr>
              <w:t>(</w:t>
            </w:r>
            <w:r>
              <w:rPr>
                <w:rFonts w:hint="eastAsia" w:ascii="Times New Roman" w:hAnsi="Times New Roman" w:cs="Times New Roman"/>
                <w:color w:val="000000" w:themeColor="text1"/>
                <w:sz w:val="21"/>
                <w:szCs w:val="21"/>
                <w:lang w:val="zh-CN" w:eastAsia="zh-CN"/>
                <w14:textFill>
                  <w14:solidFill>
                    <w14:schemeClr w14:val="tx1"/>
                  </w14:solidFill>
                </w14:textFill>
              </w:rPr>
              <w:t>GB</w:t>
            </w:r>
            <w:r>
              <w:rPr>
                <w:rFonts w:hint="eastAsia" w:ascii="Times New Roman" w:hAnsi="Times New Roman" w:cs="Times New Roman"/>
                <w:color w:val="000000" w:themeColor="text1"/>
                <w:sz w:val="21"/>
                <w:szCs w:val="21"/>
                <w:lang w:val="en-US" w:eastAsia="en-US"/>
                <w14:textFill>
                  <w14:solidFill>
                    <w14:schemeClr w14:val="tx1"/>
                  </w14:solidFill>
                </w14:textFill>
              </w:rPr>
              <w:t>13271-20</w:t>
            </w:r>
            <w:r>
              <w:rPr>
                <w:rFonts w:hint="eastAsia" w:ascii="Times New Roman" w:hAnsi="Times New Roman" w:cs="Times New Roman"/>
                <w:color w:val="000000" w:themeColor="text1"/>
                <w:sz w:val="21"/>
                <w:szCs w:val="21"/>
                <w:lang w:val="en-US" w:eastAsia="zh-CN"/>
                <w14:textFill>
                  <w14:solidFill>
                    <w14:schemeClr w14:val="tx1"/>
                  </w14:solidFill>
                </w14:textFill>
              </w:rPr>
              <w:t>14</w:t>
            </w:r>
            <w:r>
              <w:rPr>
                <w:rFonts w:hint="eastAsia" w:ascii="Times New Roman" w:hAnsi="Times New Roman" w:cs="Times New Roman"/>
                <w:color w:val="000000" w:themeColor="text1"/>
                <w:sz w:val="21"/>
                <w:szCs w:val="21"/>
                <w:lang w:val="en-US" w:eastAsia="en-US"/>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zh-CN" w:eastAsia="zh-CN"/>
                <w14:textFill>
                  <w14:solidFill>
                    <w14:schemeClr w14:val="tx1"/>
                  </w14:solidFill>
                </w14:textFill>
              </w:rPr>
              <w:t>《煤电节能减排升级与改造行动计划</w:t>
            </w:r>
            <w:r>
              <w:rPr>
                <w:rFonts w:hint="eastAsia" w:ascii="Times New Roman" w:hAnsi="Times New Roman" w:cs="Times New Roman"/>
                <w:color w:val="000000" w:themeColor="text1"/>
                <w:sz w:val="21"/>
                <w:szCs w:val="21"/>
                <w:lang w:val="en-US" w:eastAsia="en-US"/>
                <w14:textFill>
                  <w14:solidFill>
                    <w14:schemeClr w14:val="tx1"/>
                  </w14:solidFill>
                </w14:textFill>
              </w:rPr>
              <w:t>(2014-2020</w:t>
            </w:r>
            <w:r>
              <w:rPr>
                <w:rFonts w:hint="eastAsia" w:ascii="Times New Roman" w:hAnsi="Times New Roman" w:cs="Times New Roman"/>
                <w:color w:val="000000" w:themeColor="text1"/>
                <w:sz w:val="21"/>
                <w:szCs w:val="21"/>
                <w:lang w:val="zh-CN" w:eastAsia="zh-CN"/>
                <w14:textFill>
                  <w14:solidFill>
                    <w14:schemeClr w14:val="tx1"/>
                  </w14:solidFill>
                </w14:textFill>
              </w:rPr>
              <w:t>年)》(发改能源[20〗4]2093 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c>
          <w:tcPr>
            <w:tcW w:w="603" w:type="dxa"/>
            <w:tcBorders>
              <w:top w:val="single" w:color="auto" w:sz="6" w:space="0"/>
              <w:bottom w:val="single" w:color="auto" w:sz="6" w:space="0"/>
              <w:right w:val="single" w:color="auto" w:sz="6"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236" w:type="dxa"/>
            <w:tcBorders>
              <w:top w:val="single" w:color="auto" w:sz="6" w:space="0"/>
              <w:left w:val="single" w:color="auto" w:sz="6" w:space="0"/>
              <w:bottom w:val="single" w:color="auto" w:sz="6" w:space="0"/>
              <w:right w:val="single" w:color="auto" w:sz="6"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废水污染源</w:t>
            </w:r>
          </w:p>
        </w:tc>
        <w:tc>
          <w:tcPr>
            <w:tcW w:w="6490" w:type="dxa"/>
            <w:tcBorders>
              <w:top w:val="single" w:color="auto" w:sz="6" w:space="0"/>
              <w:left w:val="single" w:color="auto" w:sz="6" w:space="0"/>
              <w:bottom w:val="single" w:color="auto" w:sz="6"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生产废水全部回用，生活污水</w:t>
            </w:r>
            <w:r>
              <w:rPr>
                <w:rFonts w:hint="default" w:ascii="Times New Roman" w:hAnsi="Times New Roman" w:cs="Times New Roman"/>
                <w:color w:val="000000" w:themeColor="text1"/>
                <w:sz w:val="21"/>
                <w:szCs w:val="21"/>
                <w:lang w:eastAsia="zh-CN"/>
                <w14:textFill>
                  <w14:solidFill>
                    <w14:schemeClr w14:val="tx1"/>
                  </w14:solidFill>
                </w14:textFill>
              </w:rPr>
              <w:t>排入</w:t>
            </w:r>
            <w:r>
              <w:rPr>
                <w:rFonts w:hint="eastAsia" w:ascii="Times New Roman" w:hAnsi="Times New Roman" w:cs="Times New Roman"/>
                <w:color w:val="000000" w:themeColor="text1"/>
                <w:sz w:val="21"/>
                <w:szCs w:val="21"/>
                <w:lang w:eastAsia="zh-CN"/>
                <w14:textFill>
                  <w14:solidFill>
                    <w14:schemeClr w14:val="tx1"/>
                  </w14:solidFill>
                </w14:textFill>
              </w:rPr>
              <w:t>生活污水处理系统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c>
          <w:tcPr>
            <w:tcW w:w="603" w:type="dxa"/>
            <w:tcBorders>
              <w:top w:val="single" w:color="auto" w:sz="6" w:space="0"/>
              <w:bottom w:val="single" w:color="auto" w:sz="6" w:space="0"/>
              <w:right w:val="single" w:color="auto" w:sz="6"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236" w:type="dxa"/>
            <w:tcBorders>
              <w:top w:val="single" w:color="auto" w:sz="6" w:space="0"/>
              <w:left w:val="single" w:color="auto" w:sz="6" w:space="0"/>
              <w:bottom w:val="single" w:color="auto" w:sz="6" w:space="0"/>
              <w:right w:val="single" w:color="auto" w:sz="6"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主要噪声源</w:t>
            </w:r>
          </w:p>
        </w:tc>
        <w:tc>
          <w:tcPr>
            <w:tcW w:w="6490" w:type="dxa"/>
            <w:tcBorders>
              <w:top w:val="single" w:color="auto" w:sz="6" w:space="0"/>
              <w:left w:val="single" w:color="auto" w:sz="6" w:space="0"/>
              <w:bottom w:val="single" w:color="auto" w:sz="6"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厂界噪声达到（GB12348-2008）3类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c>
          <w:tcPr>
            <w:tcW w:w="603" w:type="dxa"/>
            <w:tcBorders>
              <w:top w:val="single" w:color="auto" w:sz="6" w:space="0"/>
              <w:right w:val="single" w:color="auto" w:sz="6"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236" w:type="dxa"/>
            <w:tcBorders>
              <w:top w:val="single" w:color="auto" w:sz="6" w:space="0"/>
              <w:left w:val="single" w:color="auto" w:sz="6" w:space="0"/>
              <w:right w:val="single" w:color="auto" w:sz="6"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固体废物</w:t>
            </w:r>
          </w:p>
        </w:tc>
        <w:tc>
          <w:tcPr>
            <w:tcW w:w="6490" w:type="dxa"/>
            <w:tcBorders>
              <w:top w:val="single" w:color="auto" w:sz="6" w:space="0"/>
              <w:left w:val="single" w:color="auto" w:sz="6" w:space="0"/>
            </w:tcBorders>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《危险废物贮存污染控制标准》（GB18597-2001），不产生二次污染</w:t>
            </w:r>
          </w:p>
        </w:tc>
      </w:tr>
    </w:tbl>
    <w:p>
      <w:pPr>
        <w:rPr>
          <w:rFonts w:hint="eastAsia"/>
          <w:color w:val="000000" w:themeColor="text1"/>
          <w:sz w:val="24"/>
          <w:szCs w:val="24"/>
          <w:lang w:val="zh-CN" w:eastAsia="zh-CN"/>
          <w14:textFill>
            <w14:solidFill>
              <w14:schemeClr w14:val="tx1"/>
            </w14:solidFill>
          </w14:textFill>
        </w:r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p>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0"/>
        <w:rPr>
          <w:rFonts w:hint="eastAsia" w:ascii="Times New Roman" w:hAnsi="Times New Roman" w:eastAsia="Times New Roman" w:cs="Times New Roman"/>
          <w:b/>
          <w:bCs/>
          <w:snapToGrid w:val="0"/>
          <w:color w:val="000000" w:themeColor="text1"/>
          <w:spacing w:val="0"/>
          <w:w w:val="100"/>
          <w:kern w:val="18"/>
          <w:position w:val="0"/>
          <w:sz w:val="44"/>
          <w:szCs w:val="44"/>
          <w:u w:val="none"/>
          <w:lang w:val="zh-CN" w:eastAsia="zh-CN" w:bidi="ar-SA"/>
          <w14:textFill>
            <w14:solidFill>
              <w14:schemeClr w14:val="tx1"/>
            </w14:solidFill>
          </w14:textFill>
        </w:rPr>
      </w:pPr>
      <w:bookmarkStart w:id="73" w:name="_Toc9049"/>
      <w:r>
        <w:rPr>
          <w:rFonts w:hint="eastAsia" w:ascii="Times New Roman" w:hAnsi="Times New Roman" w:eastAsia="Times New Roman" w:cs="Times New Roman"/>
          <w:b/>
          <w:bCs/>
          <w:snapToGrid w:val="0"/>
          <w:color w:val="000000" w:themeColor="text1"/>
          <w:spacing w:val="0"/>
          <w:w w:val="100"/>
          <w:kern w:val="18"/>
          <w:position w:val="0"/>
          <w:sz w:val="44"/>
          <w:szCs w:val="44"/>
          <w:u w:val="none"/>
          <w:lang w:val="en-US" w:eastAsia="zh-CN" w:bidi="ar-SA"/>
          <w14:textFill>
            <w14:solidFill>
              <w14:schemeClr w14:val="tx1"/>
            </w14:solidFill>
          </w14:textFill>
        </w:rPr>
        <w:t>2</w:t>
      </w:r>
      <w:r>
        <w:rPr>
          <w:rFonts w:hint="eastAsia" w:ascii="Times New Roman" w:hAnsi="Times New Roman" w:eastAsia="Times New Roman" w:cs="Times New Roman"/>
          <w:b/>
          <w:bCs/>
          <w:snapToGrid w:val="0"/>
          <w:color w:val="000000" w:themeColor="text1"/>
          <w:spacing w:val="0"/>
          <w:w w:val="100"/>
          <w:kern w:val="18"/>
          <w:position w:val="0"/>
          <w:sz w:val="44"/>
          <w:szCs w:val="44"/>
          <w:u w:val="none"/>
          <w:lang w:val="zh-CN" w:eastAsia="zh-CN" w:bidi="ar-SA"/>
          <w14:textFill>
            <w14:solidFill>
              <w14:schemeClr w14:val="tx1"/>
            </w14:solidFill>
          </w14:textFill>
        </w:rPr>
        <w:t>建设项目概况与工程分析</w:t>
      </w:r>
      <w:bookmarkEnd w:id="73"/>
    </w:p>
    <w:p>
      <w:pPr>
        <w:pStyle w:val="4"/>
        <w:keepNext w:val="0"/>
        <w:keepLines w:val="0"/>
        <w:pageBreakBefore w:val="0"/>
        <w:widowControl w:val="0"/>
        <w:shd w:val="clear" w:color="auto" w:fill="auto"/>
        <w:kinsoku/>
        <w:wordWrap/>
        <w:overflowPunct w:val="0"/>
        <w:topLinePunct w:val="0"/>
        <w:autoSpaceDE/>
        <w:autoSpaceDN/>
        <w:bidi w:val="0"/>
        <w:adjustRightInd/>
        <w:snapToGrid/>
        <w:textAlignment w:val="auto"/>
        <w:outlineLvl w:val="1"/>
        <w:rPr>
          <w:rFonts w:hint="eastAsia" w:ascii="Times New Roman" w:hAnsi="Times New Roman"/>
          <w:color w:val="000000" w:themeColor="text1"/>
          <w:sz w:val="32"/>
          <w:szCs w:val="32"/>
          <w:lang w:val="en-US" w:eastAsia="en-US"/>
          <w14:textFill>
            <w14:solidFill>
              <w14:schemeClr w14:val="tx1"/>
            </w14:solidFill>
          </w14:textFill>
        </w:rPr>
      </w:pPr>
      <w:bookmarkStart w:id="74" w:name="_Toc16646"/>
      <w:r>
        <w:rPr>
          <w:rFonts w:hint="eastAsia" w:ascii="Times New Roman" w:hAnsi="Times New Roman"/>
          <w:color w:val="000000" w:themeColor="text1"/>
          <w:sz w:val="32"/>
          <w:szCs w:val="32"/>
          <w:lang w:val="en-US" w:eastAsia="en-US"/>
          <w14:textFill>
            <w14:solidFill>
              <w14:schemeClr w14:val="tx1"/>
            </w14:solidFill>
          </w14:textFill>
        </w:rPr>
        <w:t>2.1</w:t>
      </w:r>
      <w:r>
        <w:rPr>
          <w:rFonts w:hint="eastAsia" w:ascii="Times New Roman" w:hAnsi="Times New Roman"/>
          <w:color w:val="000000" w:themeColor="text1"/>
          <w:sz w:val="32"/>
          <w:szCs w:val="32"/>
          <w:lang w:val="zh-CN" w:eastAsia="zh-CN"/>
          <w14:textFill>
            <w14:solidFill>
              <w14:schemeClr w14:val="tx1"/>
            </w14:solidFill>
          </w14:textFill>
        </w:rPr>
        <w:t>工程概况</w:t>
      </w:r>
      <w:bookmarkEnd w:id="74"/>
    </w:p>
    <w:p>
      <w:pPr>
        <w:pStyle w:val="5"/>
        <w:keepNext w:val="0"/>
        <w:keepLines w:val="0"/>
        <w:shd w:val="clear" w:color="auto" w:fill="auto"/>
        <w:overflowPunct w:val="0"/>
        <w:rPr>
          <w:rFonts w:hint="eastAsia" w:ascii="Times New Roman" w:hAnsi="Times New Roman"/>
          <w:color w:val="000000" w:themeColor="text1"/>
          <w:sz w:val="28"/>
          <w:szCs w:val="28"/>
          <w:lang w:val="zh-CN"/>
          <w14:textFill>
            <w14:solidFill>
              <w14:schemeClr w14:val="tx1"/>
            </w14:solidFill>
          </w14:textFill>
        </w:rPr>
      </w:pPr>
      <w:r>
        <w:rPr>
          <w:rFonts w:hint="eastAsia" w:ascii="Times New Roman" w:hAnsi="Times New Roman"/>
          <w:color w:val="000000" w:themeColor="text1"/>
          <w:sz w:val="28"/>
          <w:szCs w:val="28"/>
          <w:lang w:val="en-US" w:eastAsia="en-US"/>
          <w14:textFill>
            <w14:solidFill>
              <w14:schemeClr w14:val="tx1"/>
            </w14:solidFill>
          </w14:textFill>
        </w:rPr>
        <w:t>2.1.1</w:t>
      </w:r>
      <w:r>
        <w:rPr>
          <w:rFonts w:hint="eastAsia" w:ascii="Times New Roman" w:hAnsi="Times New Roman"/>
          <w:color w:val="000000" w:themeColor="text1"/>
          <w:sz w:val="28"/>
          <w:szCs w:val="28"/>
          <w:lang w:val="zh-CN" w:eastAsia="zh-CN"/>
          <w14:textFill>
            <w14:solidFill>
              <w14:schemeClr w14:val="tx1"/>
            </w14:solidFill>
          </w14:textFill>
        </w:rPr>
        <w:t>项目基本情况</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（1）项目名称：</w:t>
      </w:r>
      <w:r>
        <w:rPr>
          <w:rFonts w:hint="default" w:ascii="Times New Roman" w:hAnsi="Times New Roman" w:cs="Times New Roman"/>
          <w:sz w:val="24"/>
        </w:rPr>
        <w:t>克拉玛依高新技术产业开发区热动力中心2×2.5万千瓦背压机组发电项目</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（2）建设单位：</w:t>
      </w:r>
      <w:r>
        <w:rPr>
          <w:rFonts w:hint="default" w:ascii="Times New Roman" w:hAnsi="Times New Roman" w:cs="Times New Roman"/>
          <w:sz w:val="24"/>
        </w:rPr>
        <w:t>新疆正恒清洁能源有限公司</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（3）建设性质：新建</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bCs/>
          <w:sz w:val="24"/>
        </w:rPr>
        <w:t>（4）建设地点：</w:t>
      </w:r>
      <w:r>
        <w:rPr>
          <w:rFonts w:hint="default" w:ascii="Times New Roman" w:hAnsi="Times New Roman" w:cs="Times New Roman"/>
          <w:sz w:val="24"/>
        </w:rPr>
        <w:t>本工程位于新疆维吾尔自治区克拉玛依市高新技术产业开发区内（原名克拉玛依石油化工工业园区）。站址西距克拉玛依市中心约12km、金龙镇约3km，东北距三平镇约4km。北侧217国道距站址约3km，南侧奎北铁路距站址约4.5km。站址位于开发区路网内，西侧、南侧和北侧分别紧邻开发区道路金西三街、中央大道和北一路。项目区地理位置示意图详见图</w:t>
      </w:r>
      <w:r>
        <w:rPr>
          <w:rFonts w:hint="eastAsia" w:ascii="Times New Roman" w:hAnsi="Times New Roman" w:eastAsia="宋体" w:cs="Times New Roman"/>
          <w:sz w:val="24"/>
          <w:lang w:val="en-US" w:eastAsia="zh-CN"/>
        </w:rPr>
        <w:t>2</w:t>
      </w:r>
      <w:r>
        <w:rPr>
          <w:rFonts w:hint="default" w:ascii="Times New Roman" w:hAnsi="Times New Roman" w:cs="Times New Roman"/>
          <w:sz w:val="24"/>
        </w:rPr>
        <w:t>.1-1。</w:t>
      </w:r>
    </w:p>
    <w:p>
      <w:pPr>
        <w:spacing w:line="360" w:lineRule="auto"/>
        <w:ind w:firstLine="480" w:firstLineChars="200"/>
        <w:rPr>
          <w:rFonts w:hint="default" w:ascii="Times New Roman" w:hAnsi="Times New Roman" w:cs="Times New Roman"/>
          <w:b/>
          <w:bCs/>
          <w:sz w:val="24"/>
        </w:rPr>
      </w:pPr>
      <w:r>
        <w:rPr>
          <w:rFonts w:hint="default" w:ascii="Times New Roman" w:hAnsi="Times New Roman" w:cs="Times New Roman"/>
          <w:sz w:val="24"/>
        </w:rPr>
        <w:t>（5）占地面积：本项目建设用地</w:t>
      </w:r>
      <w:r>
        <w:rPr>
          <w:rFonts w:hint="eastAsia" w:ascii="Times New Roman" w:hAnsi="Times New Roman" w:eastAsia="宋体" w:cs="Times New Roman"/>
          <w:sz w:val="24"/>
          <w:lang w:val="en-US" w:eastAsia="zh-CN"/>
        </w:rPr>
        <w:t>6.27hm</w:t>
      </w:r>
      <w:r>
        <w:rPr>
          <w:rFonts w:hint="default" w:ascii="Times New Roman" w:hAnsi="Times New Roman" w:cs="Times New Roman"/>
          <w:sz w:val="24"/>
          <w:vertAlign w:val="superscript"/>
        </w:rPr>
        <w:t>2</w:t>
      </w:r>
      <w:r>
        <w:rPr>
          <w:rFonts w:hint="default" w:ascii="Times New Roman" w:hAnsi="Times New Roman" w:cs="Times New Roman"/>
          <w:sz w:val="24"/>
        </w:rPr>
        <w:t>。土地性质属开发区规划三类工业用地。</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bCs/>
          <w:sz w:val="24"/>
        </w:rPr>
        <w:t>（6）项目总投资及资金来源：</w:t>
      </w:r>
      <w:r>
        <w:rPr>
          <w:rFonts w:hint="default" w:ascii="Times New Roman" w:hAnsi="Times New Roman" w:cs="Times New Roman"/>
          <w:sz w:val="24"/>
        </w:rPr>
        <w:t>项目总投资55</w:t>
      </w:r>
      <w:r>
        <w:rPr>
          <w:rFonts w:hint="eastAsia" w:ascii="Times New Roman" w:hAnsi="Times New Roman" w:eastAsia="宋体" w:cs="Times New Roman"/>
          <w:sz w:val="24"/>
          <w:lang w:val="en-US" w:eastAsia="zh-CN"/>
        </w:rPr>
        <w:t>955</w:t>
      </w:r>
      <w:r>
        <w:rPr>
          <w:rFonts w:hint="default" w:ascii="Times New Roman" w:hAnsi="Times New Roman" w:cs="Times New Roman"/>
          <w:sz w:val="24"/>
        </w:rPr>
        <w:t>万元，项目资金60%由新疆正恒清洁能源有限公司自筹，剩余40%由银行贷款。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b w:val="0"/>
          <w:bCs/>
          <w:color w:val="auto"/>
        </w:rPr>
      </w:pPr>
      <w:r>
        <w:rPr>
          <w:rFonts w:hint="default" w:ascii="Times New Roman" w:hAnsi="Times New Roman" w:cs="Times New Roman"/>
          <w:sz w:val="24"/>
        </w:rPr>
        <w:t>（7）建设规模：</w:t>
      </w:r>
      <w:r>
        <w:rPr>
          <w:rFonts w:hint="default" w:ascii="Times New Roman" w:hAnsi="Times New Roman" w:cs="Times New Roman"/>
          <w:bCs/>
          <w:sz w:val="24"/>
        </w:rPr>
        <w:t>本工程</w:t>
      </w:r>
      <w:r>
        <w:rPr>
          <w:rFonts w:hint="eastAsia" w:ascii="Times New Roman" w:hAnsi="Times New Roman" w:cs="Times New Roman"/>
          <w:bCs/>
          <w:sz w:val="24"/>
        </w:rPr>
        <w:t>建设2×130t/h水煤浆锅炉+1×25MW高温高压背压汽轮机组及1×220t/h水煤浆锅炉+1×25MW高温高压抽汽背压汽轮机组，配30MW发电机，预留</w:t>
      </w:r>
      <w:r>
        <w:rPr>
          <w:rFonts w:hint="default" w:ascii="Times New Roman" w:hAnsi="Times New Roman" w:cs="Times New Roman"/>
          <w:bCs/>
          <w:sz w:val="24"/>
        </w:rPr>
        <w:t>1</w:t>
      </w:r>
      <w:r>
        <w:rPr>
          <w:rFonts w:hint="eastAsia" w:ascii="Times New Roman" w:hAnsi="Times New Roman" w:cs="Times New Roman"/>
          <w:bCs/>
          <w:sz w:val="24"/>
        </w:rPr>
        <w:t>×</w:t>
      </w:r>
      <w:r>
        <w:rPr>
          <w:rFonts w:hint="default" w:ascii="Times New Roman" w:hAnsi="Times New Roman" w:cs="Times New Roman"/>
          <w:bCs/>
          <w:sz w:val="24"/>
        </w:rPr>
        <w:t>220t/h</w:t>
      </w:r>
      <w:r>
        <w:rPr>
          <w:rFonts w:hint="eastAsia" w:ascii="Times New Roman" w:hAnsi="Times New Roman" w:cs="Times New Roman"/>
          <w:bCs/>
          <w:sz w:val="24"/>
        </w:rPr>
        <w:t>水煤浆锅炉位置。</w:t>
      </w:r>
      <w:r>
        <w:rPr>
          <w:rFonts w:hint="default" w:ascii="Times New Roman" w:hAnsi="Times New Roman" w:cs="Times New Roman"/>
          <w:bCs/>
          <w:sz w:val="24"/>
        </w:rPr>
        <w:t>根据系统规划，电厂按</w:t>
      </w:r>
      <w:r>
        <w:rPr>
          <w:rFonts w:hint="eastAsia" w:ascii="Times New Roman" w:hAnsi="Times New Roman" w:cs="Times New Roman"/>
          <w:bCs/>
          <w:sz w:val="24"/>
        </w:rPr>
        <w:t>110</w:t>
      </w:r>
      <w:r>
        <w:rPr>
          <w:rFonts w:hint="default" w:ascii="Times New Roman" w:hAnsi="Times New Roman" w:cs="Times New Roman"/>
          <w:bCs/>
          <w:sz w:val="24"/>
        </w:rPr>
        <w:t>kV电压等级送出，</w:t>
      </w:r>
      <w:r>
        <w:rPr>
          <w:rFonts w:hint="eastAsia" w:ascii="Times New Roman" w:hAnsi="Times New Roman" w:cs="Times New Roman"/>
          <w:bCs/>
          <w:sz w:val="24"/>
        </w:rPr>
        <w:t>送出线路</w:t>
      </w:r>
      <w:r>
        <w:rPr>
          <w:rFonts w:hint="default" w:ascii="Times New Roman" w:hAnsi="Times New Roman" w:cs="Times New Roman"/>
          <w:bCs/>
          <w:sz w:val="24"/>
        </w:rPr>
        <w:t>规划</w:t>
      </w:r>
      <w:r>
        <w:rPr>
          <w:rFonts w:hint="eastAsia" w:ascii="Times New Roman" w:hAnsi="Times New Roman" w:cs="Times New Roman"/>
          <w:bCs/>
          <w:sz w:val="24"/>
        </w:rPr>
        <w:t>2</w:t>
      </w:r>
      <w:r>
        <w:rPr>
          <w:rFonts w:hint="default" w:ascii="Times New Roman" w:hAnsi="Times New Roman" w:cs="Times New Roman"/>
          <w:bCs/>
          <w:sz w:val="24"/>
        </w:rPr>
        <w:t>回，本期建设</w:t>
      </w:r>
      <w:r>
        <w:rPr>
          <w:rFonts w:hint="eastAsia" w:ascii="Times New Roman" w:hAnsi="Times New Roman" w:cs="Times New Roman"/>
          <w:bCs/>
          <w:sz w:val="24"/>
        </w:rPr>
        <w:t>1回，接至白碱</w:t>
      </w:r>
      <w:r>
        <w:rPr>
          <w:rFonts w:hint="default" w:ascii="Times New Roman" w:hAnsi="Times New Roman" w:cs="Times New Roman"/>
          <w:bCs/>
          <w:sz w:val="24"/>
        </w:rPr>
        <w:t>滩变电站</w:t>
      </w:r>
      <w:r>
        <w:rPr>
          <w:rFonts w:hint="eastAsia" w:ascii="Times New Roman" w:hAnsi="Times New Roman" w:cs="Times New Roman"/>
          <w:bCs/>
          <w:sz w:val="24"/>
        </w:rPr>
        <w:t>110kV母线侧</w:t>
      </w:r>
      <w:r>
        <w:rPr>
          <w:rFonts w:hint="default" w:ascii="Times New Roman" w:hAnsi="Times New Roman" w:cs="Times New Roman"/>
          <w:bCs/>
          <w:sz w:val="24"/>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2.1-1</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ab/>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项目基本组成表</w:t>
      </w:r>
    </w:p>
    <w:tbl>
      <w:tblPr>
        <w:tblStyle w:val="21"/>
        <w:tblW w:w="8525" w:type="dxa"/>
        <w:jc w:val="center"/>
        <w:tblInd w:w="0" w:type="dxa"/>
        <w:tblLayout w:type="fixed"/>
        <w:tblCellMar>
          <w:top w:w="0" w:type="dxa"/>
          <w:left w:w="10" w:type="dxa"/>
          <w:bottom w:w="0" w:type="dxa"/>
          <w:right w:w="10" w:type="dxa"/>
        </w:tblCellMar>
      </w:tblPr>
      <w:tblGrid>
        <w:gridCol w:w="769"/>
        <w:gridCol w:w="822"/>
        <w:gridCol w:w="1156"/>
        <w:gridCol w:w="5778"/>
      </w:tblGrid>
      <w:tr>
        <w:tblPrEx>
          <w:tblLayout w:type="fixed"/>
          <w:tblCellMar>
            <w:top w:w="0" w:type="dxa"/>
            <w:left w:w="10" w:type="dxa"/>
            <w:bottom w:w="0" w:type="dxa"/>
            <w:right w:w="10" w:type="dxa"/>
          </w:tblCellMar>
        </w:tblPrEx>
        <w:trPr>
          <w:trHeight w:val="635" w:hRule="exact"/>
          <w:jc w:val="center"/>
        </w:trPr>
        <w:tc>
          <w:tcPr>
            <w:tcW w:w="2747" w:type="dxa"/>
            <w:gridSpan w:val="3"/>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项目名称</w:t>
            </w:r>
          </w:p>
        </w:tc>
        <w:tc>
          <w:tcPr>
            <w:tcW w:w="5778" w:type="dxa"/>
            <w:tcBorders>
              <w:top w:val="single" w:color="auto" w:sz="4" w:space="0"/>
              <w:left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Style w:val="38"/>
                <w:rFonts w:ascii="Times New Roman" w:hAnsi="Times New Roman" w:eastAsia="宋体" w:cs="Times New Roman"/>
                <w:color w:val="000000" w:themeColor="text1"/>
                <w:sz w:val="21"/>
                <w:szCs w:val="21"/>
                <w:lang w:eastAsia="zh-CN"/>
                <w14:textFill>
                  <w14:solidFill>
                    <w14:schemeClr w14:val="tx1"/>
                  </w14:solidFill>
                </w14:textFill>
              </w:rPr>
            </w:pPr>
            <w:r>
              <w:rPr>
                <w:rStyle w:val="38"/>
                <w:rFonts w:hint="eastAsia" w:ascii="Times New Roman" w:hAnsi="Times New Roman" w:eastAsia="宋体" w:cs="Times New Roman"/>
                <w:color w:val="000000" w:themeColor="text1"/>
                <w:sz w:val="21"/>
                <w:szCs w:val="21"/>
                <w:lang w:val="zh-CN" w:eastAsia="zh-CN"/>
                <w14:textFill>
                  <w14:solidFill>
                    <w14:schemeClr w14:val="tx1"/>
                  </w14:solidFill>
                </w14:textFill>
              </w:rPr>
              <w:t>克拉玛依高新技术产业开发区热动力中心</w:t>
            </w: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2</w:t>
            </w:r>
            <w:r>
              <w:rPr>
                <w:rStyle w:val="38"/>
                <w:rFonts w:ascii="Times New Roman" w:hAnsi="Times New Roman" w:eastAsia="宋体" w:cs="Times New Roman"/>
                <w:color w:val="000000" w:themeColor="text1"/>
                <w:sz w:val="21"/>
                <w:szCs w:val="21"/>
                <w:lang w:eastAsia="zh-CN"/>
                <w14:textFill>
                  <w14:solidFill>
                    <w14:schemeClr w14:val="tx1"/>
                  </w14:solidFill>
                </w14:textFill>
              </w:rPr>
              <w:t>×</w:t>
            </w: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2.5万千瓦背压机组发电项目</w:t>
            </w:r>
            <w:r>
              <w:rPr>
                <w:rStyle w:val="38"/>
                <w:rFonts w:ascii="Times New Roman" w:hAnsi="Times New Roman" w:eastAsia="宋体" w:cs="Times New Roman"/>
                <w:color w:val="000000" w:themeColor="text1"/>
                <w:sz w:val="21"/>
                <w:szCs w:val="21"/>
                <w:lang w:eastAsia="zh-CN"/>
                <w14:textFill>
                  <w14:solidFill>
                    <w14:schemeClr w14:val="tx1"/>
                  </w14:solidFill>
                </w14:textFill>
              </w:rPr>
              <w:t>中心发电项目</w:t>
            </w:r>
          </w:p>
        </w:tc>
      </w:tr>
      <w:tr>
        <w:tblPrEx>
          <w:tblLayout w:type="fixed"/>
          <w:tblCellMar>
            <w:top w:w="0" w:type="dxa"/>
            <w:left w:w="10" w:type="dxa"/>
            <w:bottom w:w="0" w:type="dxa"/>
            <w:right w:w="10" w:type="dxa"/>
          </w:tblCellMar>
        </w:tblPrEx>
        <w:trPr>
          <w:trHeight w:val="283" w:hRule="exact"/>
          <w:jc w:val="center"/>
        </w:trPr>
        <w:tc>
          <w:tcPr>
            <w:tcW w:w="2747" w:type="dxa"/>
            <w:gridSpan w:val="3"/>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建设单位</w:t>
            </w:r>
          </w:p>
        </w:tc>
        <w:tc>
          <w:tcPr>
            <w:tcW w:w="5778" w:type="dxa"/>
            <w:tcBorders>
              <w:top w:val="single" w:color="auto" w:sz="4" w:space="0"/>
              <w:left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lang w:eastAsia="zh-CN"/>
                <w14:textFill>
                  <w14:solidFill>
                    <w14:schemeClr w14:val="tx1"/>
                  </w14:solidFill>
                </w14:textFill>
              </w:rPr>
              <w:t>新疆正恒清洁能源有限公司</w:t>
            </w:r>
          </w:p>
        </w:tc>
      </w:tr>
      <w:tr>
        <w:tblPrEx>
          <w:tblLayout w:type="fixed"/>
          <w:tblCellMar>
            <w:top w:w="0" w:type="dxa"/>
            <w:left w:w="10" w:type="dxa"/>
            <w:bottom w:w="0" w:type="dxa"/>
            <w:right w:w="10" w:type="dxa"/>
          </w:tblCellMar>
        </w:tblPrEx>
        <w:trPr>
          <w:trHeight w:val="283" w:hRule="exact"/>
          <w:jc w:val="center"/>
        </w:trPr>
        <w:tc>
          <w:tcPr>
            <w:tcW w:w="2747" w:type="dxa"/>
            <w:gridSpan w:val="3"/>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总投资(万元)</w:t>
            </w:r>
          </w:p>
        </w:tc>
        <w:tc>
          <w:tcPr>
            <w:tcW w:w="5778" w:type="dxa"/>
            <w:tcBorders>
              <w:top w:val="single" w:color="auto" w:sz="4" w:space="0"/>
              <w:left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55955</w:t>
            </w:r>
          </w:p>
        </w:tc>
      </w:tr>
      <w:tr>
        <w:tblPrEx>
          <w:tblLayout w:type="fixed"/>
          <w:tblCellMar>
            <w:top w:w="0" w:type="dxa"/>
            <w:left w:w="10" w:type="dxa"/>
            <w:bottom w:w="0" w:type="dxa"/>
            <w:right w:w="10" w:type="dxa"/>
          </w:tblCellMar>
        </w:tblPrEx>
        <w:trPr>
          <w:trHeight w:val="283" w:hRule="exact"/>
          <w:jc w:val="center"/>
        </w:trPr>
        <w:tc>
          <w:tcPr>
            <w:tcW w:w="2747" w:type="dxa"/>
            <w:gridSpan w:val="3"/>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建设性质</w:t>
            </w:r>
          </w:p>
        </w:tc>
        <w:tc>
          <w:tcPr>
            <w:tcW w:w="5778" w:type="dxa"/>
            <w:tcBorders>
              <w:top w:val="single" w:color="auto" w:sz="4" w:space="0"/>
              <w:left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新建</w:t>
            </w:r>
          </w:p>
        </w:tc>
      </w:tr>
      <w:tr>
        <w:tblPrEx>
          <w:tblLayout w:type="fixed"/>
          <w:tblCellMar>
            <w:top w:w="0" w:type="dxa"/>
            <w:left w:w="10" w:type="dxa"/>
            <w:bottom w:w="0" w:type="dxa"/>
            <w:right w:w="10" w:type="dxa"/>
          </w:tblCellMar>
        </w:tblPrEx>
        <w:trPr>
          <w:trHeight w:val="677" w:hRule="exact"/>
          <w:jc w:val="center"/>
        </w:trPr>
        <w:tc>
          <w:tcPr>
            <w:tcW w:w="2747" w:type="dxa"/>
            <w:gridSpan w:val="3"/>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主体工程</w:t>
            </w:r>
          </w:p>
        </w:tc>
        <w:tc>
          <w:tcPr>
            <w:tcW w:w="5778" w:type="dxa"/>
            <w:tcBorders>
              <w:top w:val="single" w:color="auto" w:sz="4" w:space="0"/>
              <w:left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lang w:eastAsia="zh-CN"/>
                <w14:textFill>
                  <w14:solidFill>
                    <w14:schemeClr w14:val="tx1"/>
                  </w14:solidFill>
                </w14:textFill>
              </w:rPr>
              <w:t>建设2</w:t>
            </w:r>
            <w:r>
              <w:rPr>
                <w:rFonts w:ascii="Arial" w:hAnsi="Arial" w:eastAsia="宋体" w:cs="Arial"/>
                <w:color w:val="000000" w:themeColor="text1"/>
                <w:sz w:val="21"/>
                <w:szCs w:val="21"/>
                <w14:textFill>
                  <w14:solidFill>
                    <w14:schemeClr w14:val="tx1"/>
                  </w14:solidFill>
                </w14:textFill>
              </w:rPr>
              <w:t>×</w:t>
            </w:r>
            <w:r>
              <w:rPr>
                <w:rStyle w:val="38"/>
                <w:rFonts w:ascii="Times New Roman" w:hAnsi="Times New Roman" w:eastAsia="宋体" w:cs="Times New Roman"/>
                <w:color w:val="000000" w:themeColor="text1"/>
                <w:sz w:val="21"/>
                <w:szCs w:val="21"/>
                <w:lang w:eastAsia="zh-CN"/>
                <w14:textFill>
                  <w14:solidFill>
                    <w14:schemeClr w14:val="tx1"/>
                  </w14:solidFill>
                </w14:textFill>
              </w:rPr>
              <w:t>130t/h水煤浆锅炉+1</w:t>
            </w:r>
            <w:r>
              <w:rPr>
                <w:rFonts w:ascii="Arial" w:hAnsi="Arial" w:eastAsia="宋体" w:cs="Arial"/>
                <w:color w:val="000000" w:themeColor="text1"/>
                <w:sz w:val="21"/>
                <w:szCs w:val="21"/>
                <w14:textFill>
                  <w14:solidFill>
                    <w14:schemeClr w14:val="tx1"/>
                  </w14:solidFill>
                </w14:textFill>
              </w:rPr>
              <w:t>×</w:t>
            </w:r>
            <w:r>
              <w:rPr>
                <w:rStyle w:val="38"/>
                <w:rFonts w:ascii="Times New Roman" w:hAnsi="Times New Roman" w:eastAsia="宋体" w:cs="Times New Roman"/>
                <w:color w:val="000000" w:themeColor="text1"/>
                <w:sz w:val="21"/>
                <w:szCs w:val="21"/>
                <w:lang w:eastAsia="zh-CN"/>
                <w14:textFill>
                  <w14:solidFill>
                    <w14:schemeClr w14:val="tx1"/>
                  </w14:solidFill>
                </w14:textFill>
              </w:rPr>
              <w:t>25MW高温高压背压汽轮机组及1</w:t>
            </w:r>
            <w:r>
              <w:rPr>
                <w:rFonts w:ascii="Arial" w:hAnsi="Arial" w:eastAsia="宋体" w:cs="Arial"/>
                <w:color w:val="000000" w:themeColor="text1"/>
                <w:sz w:val="21"/>
                <w:szCs w:val="21"/>
                <w14:textFill>
                  <w14:solidFill>
                    <w14:schemeClr w14:val="tx1"/>
                  </w14:solidFill>
                </w14:textFill>
              </w:rPr>
              <w:t>×</w:t>
            </w:r>
            <w:r>
              <w:rPr>
                <w:rStyle w:val="38"/>
                <w:rFonts w:ascii="Times New Roman" w:hAnsi="Times New Roman" w:eastAsia="宋体" w:cs="Times New Roman"/>
                <w:color w:val="000000" w:themeColor="text1"/>
                <w:sz w:val="21"/>
                <w:szCs w:val="21"/>
                <w:lang w:eastAsia="zh-CN"/>
                <w14:textFill>
                  <w14:solidFill>
                    <w14:schemeClr w14:val="tx1"/>
                  </w14:solidFill>
                </w14:textFill>
              </w:rPr>
              <w:t xml:space="preserve"> 220t/h水煤浆锅炉+1 </w:t>
            </w:r>
            <w:r>
              <w:rPr>
                <w:rFonts w:ascii="Arial" w:hAnsi="Arial" w:eastAsia="宋体" w:cs="Arial"/>
                <w:color w:val="000000" w:themeColor="text1"/>
                <w:sz w:val="21"/>
                <w:szCs w:val="21"/>
                <w14:textFill>
                  <w14:solidFill>
                    <w14:schemeClr w14:val="tx1"/>
                  </w14:solidFill>
                </w14:textFill>
              </w:rPr>
              <w:t>×</w:t>
            </w:r>
            <w:r>
              <w:rPr>
                <w:rStyle w:val="38"/>
                <w:rFonts w:ascii="Times New Roman" w:hAnsi="Times New Roman" w:eastAsia="宋体" w:cs="Times New Roman"/>
                <w:color w:val="000000" w:themeColor="text1"/>
                <w:sz w:val="21"/>
                <w:szCs w:val="21"/>
                <w:lang w:eastAsia="zh-CN"/>
                <w14:textFill>
                  <w14:solidFill>
                    <w14:schemeClr w14:val="tx1"/>
                  </w14:solidFill>
                </w14:textFill>
              </w:rPr>
              <w:t>25MW高温高压背压汽轮机组</w:t>
            </w:r>
          </w:p>
        </w:tc>
      </w:tr>
      <w:tr>
        <w:tblPrEx>
          <w:tblLayout w:type="fixed"/>
          <w:tblCellMar>
            <w:top w:w="0" w:type="dxa"/>
            <w:left w:w="10" w:type="dxa"/>
            <w:bottom w:w="0" w:type="dxa"/>
            <w:right w:w="10" w:type="dxa"/>
          </w:tblCellMar>
        </w:tblPrEx>
        <w:trPr>
          <w:trHeight w:val="288" w:hRule="exact"/>
          <w:jc w:val="center"/>
        </w:trPr>
        <w:tc>
          <w:tcPr>
            <w:tcW w:w="769" w:type="dxa"/>
            <w:vMerge w:val="restart"/>
            <w:tcBorders>
              <w:top w:val="single" w:color="auto" w:sz="4" w:space="0"/>
              <w:left w:val="single" w:color="auto" w:sz="4" w:space="0"/>
            </w:tcBorders>
            <w:shd w:val="clear" w:color="auto" w:fill="FFFFFF"/>
            <w:textDirection w:val="tbRlV"/>
            <w:vAlign w:val="center"/>
          </w:tcPr>
          <w:p>
            <w:pPr>
              <w:jc w:val="center"/>
              <w:rPr>
                <w:rFonts w:eastAsia="宋体"/>
                <w:color w:val="000000" w:themeColor="text1"/>
                <w:sz w:val="21"/>
                <w:szCs w:val="21"/>
                <w14:textFill>
                  <w14:solidFill>
                    <w14:schemeClr w14:val="tx1"/>
                  </w14:solidFill>
                </w14:textFill>
              </w:rPr>
            </w:pPr>
          </w:p>
        </w:tc>
        <w:tc>
          <w:tcPr>
            <w:tcW w:w="1978" w:type="dxa"/>
            <w:gridSpan w:val="2"/>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取水工程</w:t>
            </w:r>
          </w:p>
        </w:tc>
        <w:tc>
          <w:tcPr>
            <w:tcW w:w="5778" w:type="dxa"/>
            <w:tcBorders>
              <w:top w:val="single" w:color="auto" w:sz="4" w:space="0"/>
              <w:left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lang w:eastAsia="zh-CN"/>
                <w14:textFill>
                  <w14:solidFill>
                    <w14:schemeClr w14:val="tx1"/>
                  </w14:solidFill>
                </w14:textFill>
              </w:rPr>
              <w:t>取克拉玛依高新技术产业开发区供水管网作为电厂水源</w:t>
            </w:r>
          </w:p>
        </w:tc>
      </w:tr>
      <w:tr>
        <w:tblPrEx>
          <w:tblLayout w:type="fixed"/>
          <w:tblCellMar>
            <w:top w:w="0" w:type="dxa"/>
            <w:left w:w="10" w:type="dxa"/>
            <w:bottom w:w="0" w:type="dxa"/>
            <w:right w:w="10" w:type="dxa"/>
          </w:tblCellMar>
        </w:tblPrEx>
        <w:trPr>
          <w:trHeight w:val="283" w:hRule="exact"/>
          <w:jc w:val="center"/>
        </w:trPr>
        <w:tc>
          <w:tcPr>
            <w:tcW w:w="769" w:type="dxa"/>
            <w:vMerge w:val="continue"/>
            <w:tcBorders>
              <w:left w:val="single" w:color="auto" w:sz="4" w:space="0"/>
            </w:tcBorders>
            <w:shd w:val="clear" w:color="auto" w:fill="FFFFFF"/>
            <w:textDirection w:val="tbRlV"/>
            <w:vAlign w:val="center"/>
          </w:tcPr>
          <w:p>
            <w:pPr>
              <w:jc w:val="center"/>
              <w:rPr>
                <w:rFonts w:eastAsia="宋体"/>
                <w:color w:val="000000" w:themeColor="text1"/>
                <w:sz w:val="21"/>
                <w:szCs w:val="21"/>
                <w14:textFill>
                  <w14:solidFill>
                    <w14:schemeClr w14:val="tx1"/>
                  </w14:solidFill>
                </w14:textFill>
              </w:rPr>
            </w:pPr>
          </w:p>
        </w:tc>
        <w:tc>
          <w:tcPr>
            <w:tcW w:w="1978" w:type="dxa"/>
            <w:gridSpan w:val="2"/>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辅机循环水冷却系统</w:t>
            </w:r>
          </w:p>
        </w:tc>
        <w:tc>
          <w:tcPr>
            <w:tcW w:w="5778" w:type="dxa"/>
            <w:tcBorders>
              <w:top w:val="single" w:color="auto" w:sz="4" w:space="0"/>
              <w:left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lang w:eastAsia="zh-CN"/>
                <w14:textFill>
                  <w14:solidFill>
                    <w14:schemeClr w14:val="tx1"/>
                  </w14:solidFill>
                </w14:textFill>
              </w:rPr>
              <w:t>采用湿冷系统，两机配三座冷却塔和三台辅机冷却水泵</w:t>
            </w:r>
          </w:p>
        </w:tc>
      </w:tr>
      <w:tr>
        <w:tblPrEx>
          <w:tblLayout w:type="fixed"/>
          <w:tblCellMar>
            <w:top w:w="0" w:type="dxa"/>
            <w:left w:w="10" w:type="dxa"/>
            <w:bottom w:w="0" w:type="dxa"/>
            <w:right w:w="10" w:type="dxa"/>
          </w:tblCellMar>
        </w:tblPrEx>
        <w:trPr>
          <w:trHeight w:val="283" w:hRule="exact"/>
          <w:jc w:val="center"/>
        </w:trPr>
        <w:tc>
          <w:tcPr>
            <w:tcW w:w="769" w:type="dxa"/>
            <w:vMerge w:val="continue"/>
            <w:tcBorders>
              <w:left w:val="single" w:color="auto" w:sz="4" w:space="0"/>
            </w:tcBorders>
            <w:shd w:val="clear" w:color="auto" w:fill="FFFFFF"/>
            <w:textDirection w:val="tbRlV"/>
            <w:vAlign w:val="center"/>
          </w:tcPr>
          <w:p>
            <w:pPr>
              <w:jc w:val="center"/>
              <w:rPr>
                <w:rFonts w:eastAsia="宋体"/>
                <w:color w:val="000000" w:themeColor="text1"/>
                <w:sz w:val="21"/>
                <w:szCs w:val="21"/>
                <w14:textFill>
                  <w14:solidFill>
                    <w14:schemeClr w14:val="tx1"/>
                  </w14:solidFill>
                </w14:textFill>
              </w:rPr>
            </w:pPr>
          </w:p>
        </w:tc>
        <w:tc>
          <w:tcPr>
            <w:tcW w:w="1978" w:type="dxa"/>
            <w:gridSpan w:val="2"/>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汽轮机冷却系统</w:t>
            </w:r>
          </w:p>
        </w:tc>
        <w:tc>
          <w:tcPr>
            <w:tcW w:w="5778" w:type="dxa"/>
            <w:tcBorders>
              <w:top w:val="single" w:color="auto" w:sz="4" w:space="0"/>
              <w:left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lang w:eastAsia="zh-CN"/>
                <w14:textFill>
                  <w14:solidFill>
                    <w14:schemeClr w14:val="tx1"/>
                  </w14:solidFill>
                </w14:textFill>
              </w:rPr>
              <w:t>采暖及抽汽用户端冷却，空冷器、冷油器采用循环水冷却</w:t>
            </w:r>
          </w:p>
        </w:tc>
      </w:tr>
      <w:tr>
        <w:tblPrEx>
          <w:tblLayout w:type="fixed"/>
          <w:tblCellMar>
            <w:top w:w="0" w:type="dxa"/>
            <w:left w:w="10" w:type="dxa"/>
            <w:bottom w:w="0" w:type="dxa"/>
            <w:right w:w="10" w:type="dxa"/>
          </w:tblCellMar>
        </w:tblPrEx>
        <w:trPr>
          <w:trHeight w:val="1283" w:hRule="exact"/>
          <w:jc w:val="center"/>
        </w:trPr>
        <w:tc>
          <w:tcPr>
            <w:tcW w:w="769" w:type="dxa"/>
            <w:vMerge w:val="continue"/>
            <w:tcBorders>
              <w:left w:val="single" w:color="auto" w:sz="4" w:space="0"/>
            </w:tcBorders>
            <w:shd w:val="clear" w:color="auto" w:fill="FFFFFF"/>
            <w:textDirection w:val="tbRlV"/>
            <w:vAlign w:val="center"/>
          </w:tcPr>
          <w:p>
            <w:pPr>
              <w:jc w:val="center"/>
              <w:rPr>
                <w:rFonts w:eastAsia="宋体"/>
                <w:color w:val="000000" w:themeColor="text1"/>
                <w:sz w:val="21"/>
                <w:szCs w:val="21"/>
                <w14:textFill>
                  <w14:solidFill>
                    <w14:schemeClr w14:val="tx1"/>
                  </w14:solidFill>
                </w14:textFill>
              </w:rPr>
            </w:pPr>
          </w:p>
        </w:tc>
        <w:tc>
          <w:tcPr>
            <w:tcW w:w="1978" w:type="dxa"/>
            <w:gridSpan w:val="2"/>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除灰系统</w:t>
            </w:r>
          </w:p>
        </w:tc>
        <w:tc>
          <w:tcPr>
            <w:tcW w:w="5778" w:type="dxa"/>
            <w:tcBorders>
              <w:top w:val="single" w:color="auto" w:sz="4" w:space="0"/>
              <w:left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lang w:eastAsia="zh-CN"/>
                <w14:textFill>
                  <w14:solidFill>
                    <w14:schemeClr w14:val="tx1"/>
                  </w14:solidFill>
                </w14:textFill>
              </w:rPr>
              <w:t>气力除灰，本工程除灰系统设两座灰库，为三台炉公用，每座灰库直径为1</w:t>
            </w: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1</w:t>
            </w:r>
            <w:r>
              <w:rPr>
                <w:rStyle w:val="38"/>
                <w:rFonts w:ascii="Times New Roman" w:hAnsi="Times New Roman" w:eastAsia="宋体" w:cs="Times New Roman"/>
                <w:color w:val="000000" w:themeColor="text1"/>
                <w:sz w:val="21"/>
                <w:szCs w:val="21"/>
                <w:lang w:eastAsia="zh-CN"/>
                <w14:textFill>
                  <w14:solidFill>
                    <w14:schemeClr w14:val="tx1"/>
                  </w14:solidFill>
                </w14:textFill>
              </w:rPr>
              <w:t>m，有效容积</w:t>
            </w: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1</w:t>
            </w:r>
            <w:r>
              <w:rPr>
                <w:rStyle w:val="38"/>
                <w:rFonts w:ascii="Times New Roman" w:hAnsi="Times New Roman" w:eastAsia="宋体" w:cs="Times New Roman"/>
                <w:color w:val="000000" w:themeColor="text1"/>
                <w:sz w:val="21"/>
                <w:szCs w:val="21"/>
                <w:lang w:eastAsia="zh-CN"/>
                <w14:textFill>
                  <w14:solidFill>
                    <w14:schemeClr w14:val="tx1"/>
                  </w14:solidFill>
                </w14:textFill>
              </w:rPr>
              <w:t>5</w:t>
            </w: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0</w:t>
            </w:r>
            <w:r>
              <w:rPr>
                <w:rStyle w:val="38"/>
                <w:rFonts w:ascii="Times New Roman" w:hAnsi="Times New Roman" w:eastAsia="宋体" w:cs="Times New Roman"/>
                <w:color w:val="000000" w:themeColor="text1"/>
                <w:sz w:val="21"/>
                <w:szCs w:val="21"/>
                <w:lang w:eastAsia="zh-CN"/>
                <w14:textFill>
                  <w14:solidFill>
                    <w14:schemeClr w14:val="tx1"/>
                  </w14:solidFill>
                </w14:textFill>
              </w:rPr>
              <w:t>0m</w:t>
            </w:r>
            <w:r>
              <w:rPr>
                <w:rStyle w:val="38"/>
                <w:rFonts w:ascii="Times New Roman" w:hAnsi="Times New Roman" w:eastAsia="宋体" w:cs="Times New Roman"/>
                <w:color w:val="000000" w:themeColor="text1"/>
                <w:sz w:val="21"/>
                <w:szCs w:val="21"/>
                <w:vertAlign w:val="superscript"/>
                <w:lang w:eastAsia="zh-CN"/>
                <w14:textFill>
                  <w14:solidFill>
                    <w14:schemeClr w14:val="tx1"/>
                  </w14:solidFill>
                </w14:textFill>
              </w:rPr>
              <w:t>3</w:t>
            </w:r>
            <w:r>
              <w:rPr>
                <w:rStyle w:val="38"/>
                <w:rFonts w:ascii="Times New Roman" w:hAnsi="Times New Roman" w:eastAsia="宋体" w:cs="Times New Roman"/>
                <w:color w:val="000000" w:themeColor="text1"/>
                <w:sz w:val="21"/>
                <w:szCs w:val="21"/>
                <w:lang w:eastAsia="zh-CN"/>
                <w14:textFill>
                  <w14:solidFill>
                    <w14:schemeClr w14:val="tx1"/>
                  </w14:solidFill>
                </w14:textFill>
              </w:rPr>
              <w:t>/座，两座灰库可贮存设计三台炉不小于48小时的灰量，干灰可直接装罐车运至综合利用场地，本工程不新设置灰场</w:t>
            </w:r>
          </w:p>
        </w:tc>
      </w:tr>
      <w:tr>
        <w:tblPrEx>
          <w:tblLayout w:type="fixed"/>
          <w:tblCellMar>
            <w:top w:w="0" w:type="dxa"/>
            <w:left w:w="10" w:type="dxa"/>
            <w:bottom w:w="0" w:type="dxa"/>
            <w:right w:w="10" w:type="dxa"/>
          </w:tblCellMar>
        </w:tblPrEx>
        <w:trPr>
          <w:trHeight w:val="283" w:hRule="exact"/>
          <w:jc w:val="center"/>
        </w:trPr>
        <w:tc>
          <w:tcPr>
            <w:tcW w:w="769" w:type="dxa"/>
            <w:vMerge w:val="restart"/>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环保</w:t>
            </w:r>
          </w:p>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工程</w:t>
            </w:r>
          </w:p>
        </w:tc>
        <w:tc>
          <w:tcPr>
            <w:tcW w:w="822" w:type="dxa"/>
            <w:vMerge w:val="restart"/>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烟囱</w:t>
            </w:r>
          </w:p>
        </w:tc>
        <w:tc>
          <w:tcPr>
            <w:tcW w:w="1156" w:type="dxa"/>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高度</w:t>
            </w:r>
          </w:p>
        </w:tc>
        <w:tc>
          <w:tcPr>
            <w:tcW w:w="5778" w:type="dxa"/>
            <w:tcBorders>
              <w:top w:val="single" w:color="auto" w:sz="4" w:space="0"/>
              <w:left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80</w:t>
            </w:r>
            <w:r>
              <w:rPr>
                <w:rStyle w:val="38"/>
                <w:rFonts w:ascii="Times New Roman" w:hAnsi="Times New Roman" w:eastAsia="宋体" w:cs="Times New Roman"/>
                <w:color w:val="000000" w:themeColor="text1"/>
                <w:sz w:val="21"/>
                <w:szCs w:val="21"/>
                <w14:textFill>
                  <w14:solidFill>
                    <w14:schemeClr w14:val="tx1"/>
                  </w14:solidFill>
                </w14:textFill>
              </w:rPr>
              <w:t>m</w:t>
            </w:r>
          </w:p>
        </w:tc>
      </w:tr>
      <w:tr>
        <w:tblPrEx>
          <w:tblLayout w:type="fixed"/>
          <w:tblCellMar>
            <w:top w:w="0" w:type="dxa"/>
            <w:left w:w="10" w:type="dxa"/>
            <w:bottom w:w="0" w:type="dxa"/>
            <w:right w:w="10" w:type="dxa"/>
          </w:tblCellMar>
        </w:tblPrEx>
        <w:trPr>
          <w:trHeight w:val="283" w:hRule="exact"/>
          <w:jc w:val="center"/>
        </w:trPr>
        <w:tc>
          <w:tcPr>
            <w:tcW w:w="769" w:type="dxa"/>
            <w:vMerge w:val="continue"/>
            <w:tcBorders>
              <w:left w:val="single" w:color="auto" w:sz="4" w:space="0"/>
            </w:tcBorders>
            <w:shd w:val="clear" w:color="auto" w:fill="FFFFFF"/>
            <w:vAlign w:val="center"/>
          </w:tcPr>
          <w:p>
            <w:pPr>
              <w:jc w:val="center"/>
              <w:rPr>
                <w:rFonts w:eastAsia="宋体"/>
                <w:color w:val="000000" w:themeColor="text1"/>
                <w:sz w:val="21"/>
                <w:szCs w:val="21"/>
                <w14:textFill>
                  <w14:solidFill>
                    <w14:schemeClr w14:val="tx1"/>
                  </w14:solidFill>
                </w14:textFill>
              </w:rPr>
            </w:pPr>
          </w:p>
        </w:tc>
        <w:tc>
          <w:tcPr>
            <w:tcW w:w="822" w:type="dxa"/>
            <w:vMerge w:val="continue"/>
            <w:tcBorders>
              <w:left w:val="single" w:color="auto" w:sz="4" w:space="0"/>
            </w:tcBorders>
            <w:shd w:val="clear" w:color="auto" w:fill="FFFFFF"/>
            <w:vAlign w:val="center"/>
          </w:tcPr>
          <w:p>
            <w:pPr>
              <w:jc w:val="center"/>
              <w:rPr>
                <w:rFonts w:eastAsia="宋体"/>
                <w:color w:val="000000" w:themeColor="text1"/>
                <w:sz w:val="21"/>
                <w:szCs w:val="21"/>
                <w14:textFill>
                  <w14:solidFill>
                    <w14:schemeClr w14:val="tx1"/>
                  </w14:solidFill>
                </w14:textFill>
              </w:rPr>
            </w:pPr>
          </w:p>
        </w:tc>
        <w:tc>
          <w:tcPr>
            <w:tcW w:w="1156" w:type="dxa"/>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内径</w:t>
            </w:r>
          </w:p>
        </w:tc>
        <w:tc>
          <w:tcPr>
            <w:tcW w:w="5778" w:type="dxa"/>
            <w:tcBorders>
              <w:top w:val="single" w:color="auto" w:sz="4" w:space="0"/>
              <w:left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4</w:t>
            </w:r>
            <w:r>
              <w:rPr>
                <w:rStyle w:val="38"/>
                <w:rFonts w:ascii="Times New Roman" w:hAnsi="Times New Roman" w:eastAsia="宋体" w:cs="Times New Roman"/>
                <w:color w:val="000000" w:themeColor="text1"/>
                <w:sz w:val="21"/>
                <w:szCs w:val="21"/>
                <w14:textFill>
                  <w14:solidFill>
                    <w14:schemeClr w14:val="tx1"/>
                  </w14:solidFill>
                </w14:textFill>
              </w:rPr>
              <w:t>.5m</w:t>
            </w:r>
          </w:p>
        </w:tc>
      </w:tr>
      <w:tr>
        <w:tblPrEx>
          <w:tblLayout w:type="fixed"/>
          <w:tblCellMar>
            <w:top w:w="0" w:type="dxa"/>
            <w:left w:w="10" w:type="dxa"/>
            <w:bottom w:w="0" w:type="dxa"/>
            <w:right w:w="10" w:type="dxa"/>
          </w:tblCellMar>
        </w:tblPrEx>
        <w:trPr>
          <w:trHeight w:val="1076" w:hRule="exact"/>
          <w:jc w:val="center"/>
        </w:trPr>
        <w:tc>
          <w:tcPr>
            <w:tcW w:w="769" w:type="dxa"/>
            <w:vMerge w:val="continue"/>
            <w:tcBorders>
              <w:left w:val="single" w:color="auto" w:sz="4" w:space="0"/>
            </w:tcBorders>
            <w:shd w:val="clear" w:color="auto" w:fill="FFFFFF"/>
            <w:vAlign w:val="center"/>
          </w:tcPr>
          <w:p>
            <w:pPr>
              <w:jc w:val="center"/>
              <w:rPr>
                <w:rFonts w:eastAsia="宋体"/>
                <w:color w:val="000000" w:themeColor="text1"/>
                <w:sz w:val="21"/>
                <w:szCs w:val="21"/>
                <w14:textFill>
                  <w14:solidFill>
                    <w14:schemeClr w14:val="tx1"/>
                  </w14:solidFill>
                </w14:textFill>
              </w:rPr>
            </w:pPr>
          </w:p>
        </w:tc>
        <w:tc>
          <w:tcPr>
            <w:tcW w:w="1978" w:type="dxa"/>
            <w:gridSpan w:val="2"/>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烟气脱硫工程</w:t>
            </w:r>
          </w:p>
        </w:tc>
        <w:tc>
          <w:tcPr>
            <w:tcW w:w="5778" w:type="dxa"/>
            <w:tcBorders>
              <w:top w:val="single" w:color="auto" w:sz="4" w:space="0"/>
              <w:left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lang w:val="en-US"/>
                <w14:textFill>
                  <w14:solidFill>
                    <w14:schemeClr w14:val="tx1"/>
                  </w14:solidFill>
                </w14:textFill>
              </w:rPr>
            </w:pP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本项目采用循环流化床锅炉，锅炉烟气脱硫采用炉内喷钙脱硫+炉外烟气循环流化床干法脱硫除尘一体化工艺处理，脱硫效率不低于96.5%。</w:t>
            </w:r>
          </w:p>
        </w:tc>
      </w:tr>
      <w:tr>
        <w:tblPrEx>
          <w:tblLayout w:type="fixed"/>
          <w:tblCellMar>
            <w:top w:w="0" w:type="dxa"/>
            <w:left w:w="10" w:type="dxa"/>
            <w:bottom w:w="0" w:type="dxa"/>
            <w:right w:w="10" w:type="dxa"/>
          </w:tblCellMar>
        </w:tblPrEx>
        <w:trPr>
          <w:trHeight w:val="1058" w:hRule="exact"/>
          <w:jc w:val="center"/>
        </w:trPr>
        <w:tc>
          <w:tcPr>
            <w:tcW w:w="769" w:type="dxa"/>
            <w:vMerge w:val="continue"/>
            <w:tcBorders>
              <w:left w:val="single" w:color="auto" w:sz="4" w:space="0"/>
            </w:tcBorders>
            <w:shd w:val="clear" w:color="auto" w:fill="FFFFFF"/>
            <w:vAlign w:val="center"/>
          </w:tcPr>
          <w:p>
            <w:pPr>
              <w:jc w:val="center"/>
              <w:rPr>
                <w:rFonts w:eastAsia="宋体"/>
                <w:color w:val="000000" w:themeColor="text1"/>
                <w:sz w:val="21"/>
                <w:szCs w:val="21"/>
                <w14:textFill>
                  <w14:solidFill>
                    <w14:schemeClr w14:val="tx1"/>
                  </w14:solidFill>
                </w14:textFill>
              </w:rPr>
            </w:pPr>
          </w:p>
        </w:tc>
        <w:tc>
          <w:tcPr>
            <w:tcW w:w="1978" w:type="dxa"/>
            <w:gridSpan w:val="2"/>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烟气脱硝工程</w:t>
            </w:r>
          </w:p>
        </w:tc>
        <w:tc>
          <w:tcPr>
            <w:tcW w:w="5778" w:type="dxa"/>
            <w:tcBorders>
              <w:top w:val="single" w:color="auto" w:sz="4" w:space="0"/>
              <w:left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Style w:val="38"/>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循环流化床锅炉属于低NOx燃烧技术，脱硝工艺采用非催化还原(SNCR)烟气脱硝技术，外购氨水（浓度20%）作为脱硝还原剂，脱硝效率大于60%。</w:t>
            </w:r>
          </w:p>
        </w:tc>
      </w:tr>
      <w:tr>
        <w:tblPrEx>
          <w:tblLayout w:type="fixed"/>
          <w:tblCellMar>
            <w:top w:w="0" w:type="dxa"/>
            <w:left w:w="10" w:type="dxa"/>
            <w:bottom w:w="0" w:type="dxa"/>
            <w:right w:w="10" w:type="dxa"/>
          </w:tblCellMar>
        </w:tblPrEx>
        <w:trPr>
          <w:trHeight w:val="747" w:hRule="exact"/>
          <w:jc w:val="center"/>
        </w:trPr>
        <w:tc>
          <w:tcPr>
            <w:tcW w:w="769" w:type="dxa"/>
            <w:vMerge w:val="continue"/>
            <w:tcBorders>
              <w:left w:val="single" w:color="auto" w:sz="4" w:space="0"/>
            </w:tcBorders>
            <w:shd w:val="clear" w:color="auto" w:fill="FFFFFF"/>
            <w:vAlign w:val="center"/>
          </w:tcPr>
          <w:p>
            <w:pPr>
              <w:jc w:val="center"/>
              <w:rPr>
                <w:rFonts w:eastAsia="宋体"/>
                <w:color w:val="000000" w:themeColor="text1"/>
                <w:sz w:val="21"/>
                <w:szCs w:val="21"/>
                <w14:textFill>
                  <w14:solidFill>
                    <w14:schemeClr w14:val="tx1"/>
                  </w14:solidFill>
                </w14:textFill>
              </w:rPr>
            </w:pPr>
          </w:p>
        </w:tc>
        <w:tc>
          <w:tcPr>
            <w:tcW w:w="1978" w:type="dxa"/>
            <w:gridSpan w:val="2"/>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烟气除尘工程</w:t>
            </w:r>
          </w:p>
        </w:tc>
        <w:tc>
          <w:tcPr>
            <w:tcW w:w="5778" w:type="dxa"/>
            <w:tcBorders>
              <w:top w:val="single" w:color="auto" w:sz="4" w:space="0"/>
              <w:left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lang w:eastAsia="zh-CN"/>
                <w14:textFill>
                  <w14:solidFill>
                    <w14:schemeClr w14:val="tx1"/>
                  </w14:solidFill>
                </w14:textFill>
              </w:rPr>
              <w:t>每台锅炉选用布袋除尘器作为系统除尘器，除尘效率不低于99. 8%，控制烟尘排放浓度低于</w:t>
            </w: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5</w:t>
            </w:r>
            <w:r>
              <w:rPr>
                <w:rStyle w:val="38"/>
                <w:rFonts w:ascii="Times New Roman" w:hAnsi="Times New Roman" w:eastAsia="宋体" w:cs="Times New Roman"/>
                <w:color w:val="000000" w:themeColor="text1"/>
                <w:sz w:val="21"/>
                <w:szCs w:val="21"/>
                <w:lang w:eastAsia="zh-CN"/>
                <w14:textFill>
                  <w14:solidFill>
                    <w14:schemeClr w14:val="tx1"/>
                  </w14:solidFill>
                </w14:textFill>
              </w:rPr>
              <w:t>mg/m</w:t>
            </w:r>
            <w:r>
              <w:rPr>
                <w:rStyle w:val="38"/>
                <w:rFonts w:hint="eastAsia" w:ascii="Times New Roman" w:hAnsi="Times New Roman" w:eastAsia="宋体" w:cs="Times New Roman"/>
                <w:color w:val="000000" w:themeColor="text1"/>
                <w:sz w:val="21"/>
                <w:szCs w:val="21"/>
                <w:vertAlign w:val="superscript"/>
                <w:lang w:eastAsia="zh-CN"/>
                <w14:textFill>
                  <w14:solidFill>
                    <w14:schemeClr w14:val="tx1"/>
                  </w14:solidFill>
                </w14:textFill>
              </w:rPr>
              <w:t>3</w:t>
            </w:r>
          </w:p>
        </w:tc>
      </w:tr>
      <w:tr>
        <w:tblPrEx>
          <w:tblLayout w:type="fixed"/>
          <w:tblCellMar>
            <w:top w:w="0" w:type="dxa"/>
            <w:left w:w="10" w:type="dxa"/>
            <w:bottom w:w="0" w:type="dxa"/>
            <w:right w:w="10" w:type="dxa"/>
          </w:tblCellMar>
        </w:tblPrEx>
        <w:trPr>
          <w:trHeight w:val="283" w:hRule="exact"/>
          <w:jc w:val="center"/>
        </w:trPr>
        <w:tc>
          <w:tcPr>
            <w:tcW w:w="769" w:type="dxa"/>
            <w:vMerge w:val="continue"/>
            <w:tcBorders>
              <w:left w:val="single" w:color="auto" w:sz="4" w:space="0"/>
            </w:tcBorders>
            <w:shd w:val="clear" w:color="auto" w:fill="FFFFFF"/>
            <w:vAlign w:val="center"/>
          </w:tcPr>
          <w:p>
            <w:pPr>
              <w:jc w:val="center"/>
              <w:rPr>
                <w:rFonts w:eastAsia="宋体"/>
                <w:color w:val="000000" w:themeColor="text1"/>
                <w:sz w:val="21"/>
                <w:szCs w:val="21"/>
                <w14:textFill>
                  <w14:solidFill>
                    <w14:schemeClr w14:val="tx1"/>
                  </w14:solidFill>
                </w14:textFill>
              </w:rPr>
            </w:pPr>
          </w:p>
        </w:tc>
        <w:tc>
          <w:tcPr>
            <w:tcW w:w="1978" w:type="dxa"/>
            <w:gridSpan w:val="2"/>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废水治理</w:t>
            </w:r>
          </w:p>
        </w:tc>
        <w:tc>
          <w:tcPr>
            <w:tcW w:w="5778" w:type="dxa"/>
            <w:tcBorders>
              <w:top w:val="single" w:color="auto" w:sz="4" w:space="0"/>
              <w:left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lang w:eastAsia="zh-CN"/>
                <w14:textFill>
                  <w14:solidFill>
                    <w14:schemeClr w14:val="tx1"/>
                  </w14:solidFill>
                </w14:textFill>
              </w:rPr>
              <w:t>废水分别处理后全部复用，无废水排放</w:t>
            </w:r>
          </w:p>
        </w:tc>
      </w:tr>
      <w:tr>
        <w:tblPrEx>
          <w:tblLayout w:type="fixed"/>
          <w:tblCellMar>
            <w:top w:w="0" w:type="dxa"/>
            <w:left w:w="10" w:type="dxa"/>
            <w:bottom w:w="0" w:type="dxa"/>
            <w:right w:w="10" w:type="dxa"/>
          </w:tblCellMar>
        </w:tblPrEx>
        <w:trPr>
          <w:trHeight w:val="326" w:hRule="exact"/>
          <w:jc w:val="center"/>
        </w:trPr>
        <w:tc>
          <w:tcPr>
            <w:tcW w:w="769" w:type="dxa"/>
            <w:vMerge w:val="continue"/>
            <w:tcBorders>
              <w:left w:val="single" w:color="auto" w:sz="4" w:space="0"/>
            </w:tcBorders>
            <w:shd w:val="clear" w:color="auto" w:fill="FFFFFF"/>
            <w:vAlign w:val="center"/>
          </w:tcPr>
          <w:p>
            <w:pPr>
              <w:jc w:val="center"/>
              <w:rPr>
                <w:rFonts w:eastAsia="宋体"/>
                <w:color w:val="000000" w:themeColor="text1"/>
                <w:sz w:val="21"/>
                <w:szCs w:val="21"/>
                <w14:textFill>
                  <w14:solidFill>
                    <w14:schemeClr w14:val="tx1"/>
                  </w14:solidFill>
                </w14:textFill>
              </w:rPr>
            </w:pPr>
          </w:p>
        </w:tc>
        <w:tc>
          <w:tcPr>
            <w:tcW w:w="1978" w:type="dxa"/>
            <w:gridSpan w:val="2"/>
            <w:tcBorders>
              <w:top w:val="single" w:color="auto" w:sz="4" w:space="0"/>
              <w:lef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噪声治理</w:t>
            </w:r>
          </w:p>
        </w:tc>
        <w:tc>
          <w:tcPr>
            <w:tcW w:w="5778" w:type="dxa"/>
            <w:tcBorders>
              <w:top w:val="single" w:color="auto" w:sz="4" w:space="0"/>
              <w:left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lang w:eastAsia="zh-CN"/>
                <w14:textFill>
                  <w14:solidFill>
                    <w14:schemeClr w14:val="tx1"/>
                  </w14:solidFill>
                </w14:textFill>
              </w:rPr>
              <w:t>采取隔声罩、消音器、厂房隔声、绿化等措施</w:t>
            </w:r>
          </w:p>
        </w:tc>
      </w:tr>
      <w:tr>
        <w:tblPrEx>
          <w:tblLayout w:type="fixed"/>
          <w:tblCellMar>
            <w:top w:w="0" w:type="dxa"/>
            <w:left w:w="10" w:type="dxa"/>
            <w:bottom w:w="0" w:type="dxa"/>
            <w:right w:w="10" w:type="dxa"/>
          </w:tblCellMar>
        </w:tblPrEx>
        <w:trPr>
          <w:trHeight w:val="1342" w:hRule="exact"/>
          <w:jc w:val="center"/>
        </w:trPr>
        <w:tc>
          <w:tcPr>
            <w:tcW w:w="769" w:type="dxa"/>
            <w:vMerge w:val="continue"/>
            <w:tcBorders>
              <w:left w:val="single" w:color="auto" w:sz="4" w:space="0"/>
              <w:bottom w:val="single" w:color="auto" w:sz="4" w:space="0"/>
            </w:tcBorders>
            <w:shd w:val="clear" w:color="auto" w:fill="FFFFFF"/>
            <w:vAlign w:val="center"/>
          </w:tcPr>
          <w:p>
            <w:pPr>
              <w:jc w:val="center"/>
              <w:rPr>
                <w:rFonts w:eastAsia="宋体"/>
                <w:color w:val="000000" w:themeColor="text1"/>
                <w:sz w:val="21"/>
                <w:szCs w:val="21"/>
                <w14:textFill>
                  <w14:solidFill>
                    <w14:schemeClr w14:val="tx1"/>
                  </w14:solidFill>
                </w14:textFill>
              </w:rPr>
            </w:pPr>
          </w:p>
        </w:tc>
        <w:tc>
          <w:tcPr>
            <w:tcW w:w="1978" w:type="dxa"/>
            <w:gridSpan w:val="2"/>
            <w:tcBorders>
              <w:top w:val="single" w:color="auto" w:sz="4" w:space="0"/>
              <w:left w:val="single" w:color="auto" w:sz="4" w:space="0"/>
              <w:bottom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防渗措施</w:t>
            </w:r>
          </w:p>
        </w:tc>
        <w:tc>
          <w:tcPr>
            <w:tcW w:w="577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lang w:eastAsia="zh-CN"/>
                <w14:textFill>
                  <w14:solidFill>
                    <w14:schemeClr w14:val="tx1"/>
                  </w14:solidFill>
                </w14:textFill>
              </w:rPr>
              <w:t>重点防渗区：抗渗混凝土抗渗等级P8级，渗透系数约为0.261</w:t>
            </w:r>
            <w:r>
              <w:rPr>
                <w:rFonts w:ascii="Arial" w:hAnsi="Arial" w:eastAsia="宋体" w:cs="Arial"/>
                <w:color w:val="000000" w:themeColor="text1"/>
                <w:sz w:val="21"/>
                <w:szCs w:val="21"/>
                <w14:textFill>
                  <w14:solidFill>
                    <w14:schemeClr w14:val="tx1"/>
                  </w14:solidFill>
                </w14:textFill>
              </w:rPr>
              <w:t>×</w:t>
            </w:r>
          </w:p>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14:textFill>
                  <w14:solidFill>
                    <w14:schemeClr w14:val="tx1"/>
                  </w14:solidFill>
                </w14:textFill>
              </w:rPr>
            </w:pPr>
            <w:r>
              <w:rPr>
                <w:rStyle w:val="38"/>
                <w:rFonts w:ascii="Times New Roman" w:hAnsi="Times New Roman" w:eastAsia="宋体" w:cs="Times New Roman"/>
                <w:color w:val="000000" w:themeColor="text1"/>
                <w:sz w:val="21"/>
                <w:szCs w:val="21"/>
                <w:lang w:eastAsia="zh-CN"/>
                <w14:textFill>
                  <w14:solidFill>
                    <w14:schemeClr w14:val="tx1"/>
                  </w14:solidFill>
                </w14:textFill>
              </w:rPr>
              <w:t>10</w:t>
            </w:r>
            <w:r>
              <w:rPr>
                <w:rStyle w:val="38"/>
                <w:rFonts w:hint="eastAsia" w:ascii="Times New Roman" w:hAnsi="Times New Roman" w:eastAsia="宋体" w:cs="Times New Roman"/>
                <w:color w:val="000000" w:themeColor="text1"/>
                <w:sz w:val="21"/>
                <w:szCs w:val="21"/>
                <w:vertAlign w:val="superscript"/>
                <w:lang w:eastAsia="zh-CN"/>
                <w14:textFill>
                  <w14:solidFill>
                    <w14:schemeClr w14:val="tx1"/>
                  </w14:solidFill>
                </w14:textFill>
              </w:rPr>
              <w:t>-</w:t>
            </w:r>
            <w:r>
              <w:rPr>
                <w:rStyle w:val="38"/>
                <w:rFonts w:ascii="Times New Roman" w:hAnsi="Times New Roman" w:eastAsia="宋体" w:cs="Times New Roman"/>
                <w:color w:val="000000" w:themeColor="text1"/>
                <w:sz w:val="21"/>
                <w:szCs w:val="21"/>
                <w:vertAlign w:val="superscript"/>
                <w:lang w:eastAsia="zh-CN"/>
                <w14:textFill>
                  <w14:solidFill>
                    <w14:schemeClr w14:val="tx1"/>
                  </w14:solidFill>
                </w14:textFill>
              </w:rPr>
              <w:t>8</w:t>
            </w:r>
            <w:r>
              <w:rPr>
                <w:rStyle w:val="38"/>
                <w:rFonts w:ascii="Times New Roman" w:hAnsi="Times New Roman" w:eastAsia="宋体" w:cs="Times New Roman"/>
                <w:color w:val="000000" w:themeColor="text1"/>
                <w:sz w:val="21"/>
                <w:szCs w:val="21"/>
                <w:lang w:eastAsia="zh-CN"/>
                <w14:textFill>
                  <w14:solidFill>
                    <w14:schemeClr w14:val="tx1"/>
                  </w14:solidFill>
                </w14:textFill>
              </w:rPr>
              <w:t>cm/s</w:t>
            </w: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w:t>
            </w:r>
            <w:r>
              <w:rPr>
                <w:rStyle w:val="38"/>
                <w:rFonts w:ascii="Times New Roman" w:hAnsi="Times New Roman" w:eastAsia="宋体" w:cs="Times New Roman"/>
                <w:color w:val="000000" w:themeColor="text1"/>
                <w:sz w:val="21"/>
                <w:szCs w:val="21"/>
                <w:lang w:eastAsia="zh-CN"/>
                <w14:textFill>
                  <w14:solidFill>
                    <w14:schemeClr w14:val="tx1"/>
                  </w14:solidFill>
                </w14:textFill>
              </w:rPr>
              <w:t>厚度多50cm</w:t>
            </w: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w:t>
            </w:r>
          </w:p>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lang w:val="en-US"/>
                <w14:textFill>
                  <w14:solidFill>
                    <w14:schemeClr w14:val="tx1"/>
                  </w14:solidFill>
                </w14:textFill>
              </w:rPr>
            </w:pPr>
            <w:r>
              <w:rPr>
                <w:rStyle w:val="38"/>
                <w:rFonts w:ascii="Times New Roman" w:hAnsi="Times New Roman" w:eastAsia="宋体" w:cs="Times New Roman"/>
                <w:color w:val="000000" w:themeColor="text1"/>
                <w:sz w:val="21"/>
                <w:szCs w:val="21"/>
                <w:lang w:eastAsia="zh-CN"/>
                <w14:textFill>
                  <w14:solidFill>
                    <w14:schemeClr w14:val="tx1"/>
                  </w14:solidFill>
                </w14:textFill>
              </w:rPr>
              <w:t xml:space="preserve">一般防渗区：抗渗混凝土抗渗等级P4级，渗透系数约为0. </w:t>
            </w:r>
            <w:r>
              <w:rPr>
                <w:rStyle w:val="38"/>
                <w:rFonts w:ascii="Times New Roman" w:hAnsi="Times New Roman" w:eastAsia="宋体" w:cs="Times New Roman"/>
                <w:color w:val="000000" w:themeColor="text1"/>
                <w:sz w:val="21"/>
                <w:szCs w:val="21"/>
                <w14:textFill>
                  <w14:solidFill>
                    <w14:schemeClr w14:val="tx1"/>
                  </w14:solidFill>
                </w14:textFill>
              </w:rPr>
              <w:t>663</w:t>
            </w:r>
            <w:r>
              <w:rPr>
                <w:rFonts w:ascii="Arial" w:hAnsi="Arial" w:eastAsia="宋体" w:cs="Arial"/>
                <w:color w:val="000000" w:themeColor="text1"/>
                <w:sz w:val="21"/>
                <w:szCs w:val="21"/>
                <w:lang w:val="en-US"/>
                <w14:textFill>
                  <w14:solidFill>
                    <w14:schemeClr w14:val="tx1"/>
                  </w14:solidFill>
                </w14:textFill>
              </w:rPr>
              <w:t>×</w:t>
            </w:r>
          </w:p>
          <w:p>
            <w:pPr>
              <w:pStyle w:val="33"/>
              <w:shd w:val="clear" w:color="auto" w:fill="auto"/>
              <w:spacing w:before="0" w:line="240" w:lineRule="auto"/>
              <w:ind w:firstLine="0"/>
              <w:jc w:val="center"/>
              <w:rPr>
                <w:rFonts w:ascii="Times New Roman" w:hAnsi="Times New Roman" w:eastAsia="宋体" w:cs="Times New Roman"/>
                <w:color w:val="000000" w:themeColor="text1"/>
                <w:sz w:val="21"/>
                <w:szCs w:val="21"/>
                <w:lang w:val="en-US"/>
                <w14:textFill>
                  <w14:solidFill>
                    <w14:schemeClr w14:val="tx1"/>
                  </w14:solidFill>
                </w14:textFill>
              </w:rPr>
            </w:pPr>
            <w:r>
              <w:rPr>
                <w:rStyle w:val="38"/>
                <w:rFonts w:ascii="Times New Roman" w:hAnsi="Times New Roman" w:eastAsia="宋体" w:cs="Times New Roman"/>
                <w:color w:val="000000" w:themeColor="text1"/>
                <w:sz w:val="21"/>
                <w:szCs w:val="21"/>
                <w14:textFill>
                  <w14:solidFill>
                    <w14:schemeClr w14:val="tx1"/>
                  </w14:solidFill>
                </w14:textFill>
              </w:rPr>
              <w:t>10</w:t>
            </w:r>
            <w:r>
              <w:rPr>
                <w:rStyle w:val="38"/>
                <w:rFonts w:hint="eastAsia" w:ascii="Times New Roman" w:hAnsi="Times New Roman" w:eastAsia="宋体" w:cs="Times New Roman"/>
                <w:color w:val="000000" w:themeColor="text1"/>
                <w:sz w:val="21"/>
                <w:szCs w:val="21"/>
                <w:vertAlign w:val="superscript"/>
                <w:lang w:eastAsia="zh-CN"/>
                <w14:textFill>
                  <w14:solidFill>
                    <w14:schemeClr w14:val="tx1"/>
                  </w14:solidFill>
                </w14:textFill>
              </w:rPr>
              <w:t>-</w:t>
            </w:r>
            <w:r>
              <w:rPr>
                <w:rStyle w:val="38"/>
                <w:rFonts w:ascii="Times New Roman" w:hAnsi="Times New Roman" w:eastAsia="宋体" w:cs="Times New Roman"/>
                <w:color w:val="000000" w:themeColor="text1"/>
                <w:sz w:val="21"/>
                <w:szCs w:val="21"/>
                <w:vertAlign w:val="superscript"/>
                <w14:textFill>
                  <w14:solidFill>
                    <w14:schemeClr w14:val="tx1"/>
                  </w14:solidFill>
                </w14:textFill>
              </w:rPr>
              <w:t>8</w:t>
            </w:r>
            <w:r>
              <w:rPr>
                <w:rStyle w:val="38"/>
                <w:rFonts w:ascii="Times New Roman" w:hAnsi="Times New Roman" w:eastAsia="宋体" w:cs="Times New Roman"/>
                <w:color w:val="000000" w:themeColor="text1"/>
                <w:sz w:val="21"/>
                <w:szCs w:val="21"/>
                <w14:textFill>
                  <w14:solidFill>
                    <w14:schemeClr w14:val="tx1"/>
                  </w14:solidFill>
                </w14:textFill>
              </w:rPr>
              <w:t>cm/s，厚度多25cm</w:t>
            </w: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w:t>
            </w:r>
          </w:p>
        </w:tc>
      </w:tr>
      <w:tr>
        <w:tblPrEx>
          <w:tblLayout w:type="fixed"/>
          <w:tblCellMar>
            <w:top w:w="0" w:type="dxa"/>
            <w:left w:w="10" w:type="dxa"/>
            <w:bottom w:w="0" w:type="dxa"/>
            <w:right w:w="10" w:type="dxa"/>
          </w:tblCellMar>
        </w:tblPrEx>
        <w:trPr>
          <w:trHeight w:val="1478" w:hRule="exact"/>
          <w:jc w:val="center"/>
        </w:trPr>
        <w:tc>
          <w:tcPr>
            <w:tcW w:w="769" w:type="dxa"/>
            <w:tcBorders>
              <w:left w:val="single" w:color="auto" w:sz="4" w:space="0"/>
              <w:bottom w:val="single" w:color="000000" w:sz="4" w:space="0"/>
            </w:tcBorders>
            <w:shd w:val="clear" w:color="auto" w:fill="FFFFFF"/>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储运工程</w:t>
            </w:r>
          </w:p>
        </w:tc>
        <w:tc>
          <w:tcPr>
            <w:tcW w:w="1978" w:type="dxa"/>
            <w:gridSpan w:val="2"/>
            <w:tcBorders>
              <w:top w:val="single" w:color="auto" w:sz="4" w:space="0"/>
              <w:left w:val="single" w:color="auto" w:sz="4" w:space="0"/>
              <w:bottom w:val="single" w:color="auto" w:sz="4" w:space="0"/>
            </w:tcBorders>
            <w:shd w:val="clear" w:color="auto" w:fill="FFFFFF"/>
            <w:vAlign w:val="center"/>
          </w:tcPr>
          <w:p>
            <w:pPr>
              <w:pStyle w:val="33"/>
              <w:shd w:val="clear" w:color="auto" w:fill="auto"/>
              <w:spacing w:before="0" w:line="240" w:lineRule="auto"/>
              <w:ind w:firstLine="0"/>
              <w:jc w:val="center"/>
              <w:rPr>
                <w:rStyle w:val="38"/>
                <w:rFonts w:ascii="Times New Roman" w:hAnsi="Times New Roman" w:eastAsia="宋体" w:cs="Times New Roman"/>
                <w:color w:val="000000" w:themeColor="text1"/>
                <w:sz w:val="21"/>
                <w:szCs w:val="21"/>
                <w:lang w:eastAsia="zh-CN"/>
                <w14:textFill>
                  <w14:solidFill>
                    <w14:schemeClr w14:val="tx1"/>
                  </w14:solidFill>
                </w14:textFill>
              </w:rPr>
            </w:pP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原料运输</w:t>
            </w:r>
          </w:p>
        </w:tc>
        <w:tc>
          <w:tcPr>
            <w:tcW w:w="577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Style w:val="38"/>
                <w:rFonts w:ascii="Times New Roman" w:hAnsi="Times New Roman" w:eastAsia="宋体" w:cs="Times New Roman"/>
                <w:color w:val="000000" w:themeColor="text1"/>
                <w:sz w:val="21"/>
                <w:szCs w:val="21"/>
                <w:lang w:eastAsia="zh-CN"/>
                <w14:textFill>
                  <w14:solidFill>
                    <w14:schemeClr w14:val="tx1"/>
                  </w14:solidFill>
                </w14:textFill>
              </w:rPr>
            </w:pP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项目用燃料水煤浆由公司水煤浆厂提供，距离本项目厂址约3km，制浆厂提供的浆体燃料油制浆厂通过浆泵送至厂区外浆罐，浆罐暂定为2座1500m</w:t>
            </w:r>
            <w:r>
              <w:rPr>
                <w:rStyle w:val="38"/>
                <w:rFonts w:hint="eastAsia" w:ascii="Times New Roman" w:hAnsi="Times New Roman" w:eastAsia="宋体" w:cs="Times New Roman"/>
                <w:color w:val="000000" w:themeColor="text1"/>
                <w:sz w:val="21"/>
                <w:szCs w:val="21"/>
                <w:vertAlign w:val="superscript"/>
                <w:lang w:eastAsia="zh-CN"/>
                <w14:textFill>
                  <w14:solidFill>
                    <w14:schemeClr w14:val="tx1"/>
                  </w14:solidFill>
                </w14:textFill>
              </w:rPr>
              <w:t>3</w:t>
            </w: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，再由浆泵通过管道送至本工程锅炉燃料口。厂外浆罐及水煤浆输送系统均由制浆厂投资和提供</w:t>
            </w:r>
          </w:p>
        </w:tc>
      </w:tr>
      <w:tr>
        <w:tblPrEx>
          <w:tblLayout w:type="fixed"/>
          <w:tblCellMar>
            <w:top w:w="0" w:type="dxa"/>
            <w:left w:w="10" w:type="dxa"/>
            <w:bottom w:w="0" w:type="dxa"/>
            <w:right w:w="10" w:type="dxa"/>
          </w:tblCellMar>
        </w:tblPrEx>
        <w:trPr>
          <w:trHeight w:val="451" w:hRule="exact"/>
          <w:jc w:val="center"/>
        </w:trPr>
        <w:tc>
          <w:tcPr>
            <w:tcW w:w="769" w:type="dxa"/>
            <w:vMerge w:val="restart"/>
            <w:tcBorders>
              <w:top w:val="single" w:color="000000" w:sz="4" w:space="0"/>
              <w:left w:val="single" w:color="000000" w:sz="4" w:space="0"/>
              <w:right w:val="single" w:color="000000" w:sz="4" w:space="0"/>
            </w:tcBorders>
            <w:shd w:val="clear" w:color="auto" w:fill="FFFFFF"/>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公用工程</w:t>
            </w:r>
          </w:p>
        </w:tc>
        <w:tc>
          <w:tcPr>
            <w:tcW w:w="1978" w:type="dxa"/>
            <w:gridSpan w:val="2"/>
            <w:tcBorders>
              <w:top w:val="single" w:color="auto" w:sz="4" w:space="0"/>
              <w:left w:val="single" w:color="000000" w:sz="4" w:space="0"/>
              <w:bottom w:val="single" w:color="auto" w:sz="4" w:space="0"/>
            </w:tcBorders>
            <w:shd w:val="clear" w:color="auto" w:fill="FFFFFF"/>
            <w:vAlign w:val="center"/>
          </w:tcPr>
          <w:p>
            <w:pPr>
              <w:pStyle w:val="33"/>
              <w:shd w:val="clear" w:color="auto" w:fill="auto"/>
              <w:spacing w:before="0" w:line="240" w:lineRule="auto"/>
              <w:ind w:firstLine="0"/>
              <w:jc w:val="center"/>
              <w:rPr>
                <w:rStyle w:val="38"/>
                <w:rFonts w:ascii="Times New Roman" w:hAnsi="Times New Roman" w:eastAsia="宋体" w:cs="Times New Roman"/>
                <w:color w:val="000000" w:themeColor="text1"/>
                <w:sz w:val="21"/>
                <w:szCs w:val="21"/>
                <w:lang w:eastAsia="zh-CN"/>
                <w14:textFill>
                  <w14:solidFill>
                    <w14:schemeClr w14:val="tx1"/>
                  </w14:solidFill>
                </w14:textFill>
              </w:rPr>
            </w:pP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厂区绿化</w:t>
            </w:r>
          </w:p>
        </w:tc>
        <w:tc>
          <w:tcPr>
            <w:tcW w:w="577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Style w:val="38"/>
                <w:rFonts w:ascii="Times New Roman" w:hAnsi="Times New Roman" w:eastAsia="宋体" w:cs="Times New Roman"/>
                <w:color w:val="000000" w:themeColor="text1"/>
                <w:sz w:val="21"/>
                <w:szCs w:val="21"/>
                <w:lang w:eastAsia="zh-CN"/>
                <w14:textFill>
                  <w14:solidFill>
                    <w14:schemeClr w14:val="tx1"/>
                  </w14:solidFill>
                </w14:textFill>
              </w:rPr>
            </w:pP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绿化率15%</w:t>
            </w:r>
          </w:p>
        </w:tc>
      </w:tr>
      <w:tr>
        <w:tblPrEx>
          <w:tblLayout w:type="fixed"/>
          <w:tblCellMar>
            <w:top w:w="0" w:type="dxa"/>
            <w:left w:w="10" w:type="dxa"/>
            <w:bottom w:w="0" w:type="dxa"/>
            <w:right w:w="10" w:type="dxa"/>
          </w:tblCellMar>
        </w:tblPrEx>
        <w:trPr>
          <w:trHeight w:val="435" w:hRule="exact"/>
          <w:jc w:val="center"/>
        </w:trPr>
        <w:tc>
          <w:tcPr>
            <w:tcW w:w="769" w:type="dxa"/>
            <w:vMerge w:val="continue"/>
            <w:tcBorders>
              <w:left w:val="single" w:color="000000" w:sz="4" w:space="0"/>
              <w:bottom w:val="single" w:color="000000" w:sz="4" w:space="0"/>
              <w:right w:val="single" w:color="000000" w:sz="4" w:space="0"/>
            </w:tcBorders>
            <w:shd w:val="clear" w:color="auto" w:fill="FFFFFF"/>
            <w:vAlign w:val="center"/>
          </w:tcPr>
          <w:p>
            <w:pPr>
              <w:jc w:val="center"/>
              <w:rPr>
                <w:rFonts w:eastAsia="宋体"/>
                <w:color w:val="000000" w:themeColor="text1"/>
                <w:sz w:val="21"/>
                <w:szCs w:val="21"/>
                <w14:textFill>
                  <w14:solidFill>
                    <w14:schemeClr w14:val="tx1"/>
                  </w14:solidFill>
                </w14:textFill>
              </w:rPr>
            </w:pPr>
          </w:p>
        </w:tc>
        <w:tc>
          <w:tcPr>
            <w:tcW w:w="1978" w:type="dxa"/>
            <w:gridSpan w:val="2"/>
            <w:tcBorders>
              <w:top w:val="single" w:color="auto" w:sz="4" w:space="0"/>
              <w:left w:val="single" w:color="000000" w:sz="4" w:space="0"/>
              <w:bottom w:val="single" w:color="auto" w:sz="4" w:space="0"/>
            </w:tcBorders>
            <w:shd w:val="clear" w:color="auto" w:fill="FFFFFF"/>
            <w:vAlign w:val="center"/>
          </w:tcPr>
          <w:p>
            <w:pPr>
              <w:pStyle w:val="33"/>
              <w:shd w:val="clear" w:color="auto" w:fill="auto"/>
              <w:spacing w:before="0" w:line="240" w:lineRule="auto"/>
              <w:ind w:firstLine="0"/>
              <w:jc w:val="center"/>
              <w:rPr>
                <w:rStyle w:val="38"/>
                <w:rFonts w:ascii="Times New Roman" w:hAnsi="Times New Roman" w:eastAsia="宋体" w:cs="Times New Roman"/>
                <w:color w:val="000000" w:themeColor="text1"/>
                <w:sz w:val="21"/>
                <w:szCs w:val="21"/>
                <w:lang w:eastAsia="zh-CN"/>
                <w14:textFill>
                  <w14:solidFill>
                    <w14:schemeClr w14:val="tx1"/>
                  </w14:solidFill>
                </w14:textFill>
              </w:rPr>
            </w:pP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道路</w:t>
            </w:r>
          </w:p>
        </w:tc>
        <w:tc>
          <w:tcPr>
            <w:tcW w:w="577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Style w:val="38"/>
                <w:rFonts w:ascii="Times New Roman" w:hAnsi="Times New Roman" w:eastAsia="宋体" w:cs="Times New Roman"/>
                <w:color w:val="000000" w:themeColor="text1"/>
                <w:sz w:val="21"/>
                <w:szCs w:val="21"/>
                <w:lang w:eastAsia="zh-CN"/>
                <w14:textFill>
                  <w14:solidFill>
                    <w14:schemeClr w14:val="tx1"/>
                  </w14:solidFill>
                </w14:textFill>
              </w:rPr>
            </w:pP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新建进厂道路约0.5km</w:t>
            </w:r>
          </w:p>
        </w:tc>
      </w:tr>
      <w:tr>
        <w:tblPrEx>
          <w:tblLayout w:type="fixed"/>
          <w:tblCellMar>
            <w:top w:w="0" w:type="dxa"/>
            <w:left w:w="10" w:type="dxa"/>
            <w:bottom w:w="0" w:type="dxa"/>
            <w:right w:w="10" w:type="dxa"/>
          </w:tblCellMar>
        </w:tblPrEx>
        <w:trPr>
          <w:trHeight w:val="939" w:hRule="exac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配套工程</w:t>
            </w:r>
          </w:p>
        </w:tc>
        <w:tc>
          <w:tcPr>
            <w:tcW w:w="1978" w:type="dxa"/>
            <w:gridSpan w:val="2"/>
            <w:tcBorders>
              <w:top w:val="single" w:color="auto" w:sz="4" w:space="0"/>
              <w:left w:val="single" w:color="000000" w:sz="4" w:space="0"/>
              <w:bottom w:val="single" w:color="auto" w:sz="4" w:space="0"/>
            </w:tcBorders>
            <w:shd w:val="clear" w:color="auto" w:fill="FFFFFF"/>
            <w:vAlign w:val="center"/>
          </w:tcPr>
          <w:p>
            <w:pPr>
              <w:pStyle w:val="33"/>
              <w:shd w:val="clear" w:color="auto" w:fill="auto"/>
              <w:spacing w:before="0" w:line="240" w:lineRule="auto"/>
              <w:ind w:firstLine="0"/>
              <w:jc w:val="center"/>
              <w:rPr>
                <w:rStyle w:val="38"/>
                <w:rFonts w:ascii="Times New Roman" w:hAnsi="Times New Roman" w:eastAsia="宋体" w:cs="Times New Roman"/>
                <w:color w:val="000000" w:themeColor="text1"/>
                <w:sz w:val="21"/>
                <w:szCs w:val="21"/>
                <w:lang w:eastAsia="zh-CN"/>
                <w14:textFill>
                  <w14:solidFill>
                    <w14:schemeClr w14:val="tx1"/>
                  </w14:solidFill>
                </w14:textFill>
              </w:rPr>
            </w:pP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升压站及接入系统</w:t>
            </w:r>
          </w:p>
        </w:tc>
        <w:tc>
          <w:tcPr>
            <w:tcW w:w="577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Style w:val="38"/>
                <w:rFonts w:ascii="Times New Roman" w:hAnsi="Times New Roman" w:eastAsia="宋体" w:cs="Times New Roman"/>
                <w:color w:val="000000" w:themeColor="text1"/>
                <w:sz w:val="21"/>
                <w:szCs w:val="21"/>
                <w:lang w:eastAsia="zh-CN"/>
                <w14:textFill>
                  <w14:solidFill>
                    <w14:schemeClr w14:val="tx1"/>
                  </w14:solidFill>
                </w14:textFill>
              </w:rPr>
            </w:pP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本工程2</w:t>
            </w:r>
            <w:r>
              <w:rPr>
                <w:rStyle w:val="38"/>
                <w:rFonts w:ascii="Arial" w:hAnsi="Arial" w:eastAsia="宋体" w:cs="Arial"/>
                <w:color w:val="000000" w:themeColor="text1"/>
                <w:sz w:val="21"/>
                <w:szCs w:val="21"/>
                <w:lang w:eastAsia="zh-CN"/>
                <w14:textFill>
                  <w14:solidFill>
                    <w14:schemeClr w14:val="tx1"/>
                  </w14:solidFill>
                </w14:textFill>
              </w:rPr>
              <w:t>×</w:t>
            </w: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25MW机组暂通过双回110KV线路接入五区2号110KV变电站，每回线路长约3km。（输电线路部分不在本次评价范围之内）</w:t>
            </w:r>
          </w:p>
        </w:tc>
      </w:tr>
      <w:tr>
        <w:tblPrEx>
          <w:tblLayout w:type="fixed"/>
          <w:tblCellMar>
            <w:top w:w="0" w:type="dxa"/>
            <w:left w:w="10" w:type="dxa"/>
            <w:bottom w:w="0" w:type="dxa"/>
            <w:right w:w="10" w:type="dxa"/>
          </w:tblCellMar>
        </w:tblPrEx>
        <w:trPr>
          <w:trHeight w:val="640" w:hRule="exac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供热区域</w:t>
            </w:r>
          </w:p>
        </w:tc>
        <w:tc>
          <w:tcPr>
            <w:tcW w:w="7756" w:type="dxa"/>
            <w:gridSpan w:val="3"/>
            <w:tcBorders>
              <w:top w:val="single" w:color="auto" w:sz="4" w:space="0"/>
              <w:left w:val="single" w:color="000000" w:sz="4" w:space="0"/>
              <w:bottom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Style w:val="38"/>
                <w:rFonts w:ascii="Times New Roman" w:hAnsi="Times New Roman" w:eastAsia="宋体" w:cs="Times New Roman"/>
                <w:color w:val="000000" w:themeColor="text1"/>
                <w:sz w:val="21"/>
                <w:szCs w:val="21"/>
                <w:lang w:eastAsia="zh-CN"/>
                <w14:textFill>
                  <w14:solidFill>
                    <w14:schemeClr w14:val="tx1"/>
                  </w14:solidFill>
                </w14:textFill>
              </w:rPr>
            </w:pP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克拉玛依高新技术产业开发区、三平镇、金龙镇居民供暖</w:t>
            </w:r>
          </w:p>
        </w:tc>
      </w:tr>
      <w:tr>
        <w:tblPrEx>
          <w:tblLayout w:type="fixed"/>
          <w:tblCellMar>
            <w:top w:w="0" w:type="dxa"/>
            <w:left w:w="10" w:type="dxa"/>
            <w:bottom w:w="0" w:type="dxa"/>
            <w:right w:w="10" w:type="dxa"/>
          </w:tblCellMar>
        </w:tblPrEx>
        <w:trPr>
          <w:trHeight w:val="748" w:hRule="exac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供热管网</w:t>
            </w:r>
          </w:p>
        </w:tc>
        <w:tc>
          <w:tcPr>
            <w:tcW w:w="7756" w:type="dxa"/>
            <w:gridSpan w:val="3"/>
            <w:tcBorders>
              <w:top w:val="single" w:color="auto" w:sz="4" w:space="0"/>
              <w:left w:val="single" w:color="000000" w:sz="4" w:space="0"/>
              <w:bottom w:val="single" w:color="auto" w:sz="4" w:space="0"/>
              <w:right w:val="single" w:color="auto" w:sz="4" w:space="0"/>
            </w:tcBorders>
            <w:shd w:val="clear" w:color="auto" w:fill="FFFFFF"/>
            <w:vAlign w:val="center"/>
          </w:tcPr>
          <w:p>
            <w:pPr>
              <w:pStyle w:val="33"/>
              <w:shd w:val="clear" w:color="auto" w:fill="auto"/>
              <w:spacing w:before="0" w:line="240" w:lineRule="auto"/>
              <w:ind w:firstLine="0"/>
              <w:jc w:val="center"/>
              <w:rPr>
                <w:rStyle w:val="38"/>
                <w:rFonts w:ascii="Times New Roman" w:hAnsi="Times New Roman" w:eastAsia="宋体" w:cs="Times New Roman"/>
                <w:color w:val="000000" w:themeColor="text1"/>
                <w:sz w:val="21"/>
                <w:szCs w:val="21"/>
                <w:lang w:eastAsia="zh-CN"/>
                <w14:textFill>
                  <w14:solidFill>
                    <w14:schemeClr w14:val="tx1"/>
                  </w14:solidFill>
                </w14:textFill>
              </w:rPr>
            </w:pPr>
            <w:r>
              <w:rPr>
                <w:rStyle w:val="38"/>
                <w:rFonts w:hint="eastAsia" w:ascii="Times New Roman" w:hAnsi="Times New Roman" w:eastAsia="宋体" w:cs="Times New Roman"/>
                <w:color w:val="000000" w:themeColor="text1"/>
                <w:sz w:val="21"/>
                <w:szCs w:val="21"/>
                <w:lang w:eastAsia="zh-CN"/>
                <w14:textFill>
                  <w14:solidFill>
                    <w14:schemeClr w14:val="tx1"/>
                  </w14:solidFill>
                </w14:textFill>
              </w:rPr>
              <w:t>采暖热负荷和工业热负荷目前设计均以蒸汽形式送出厂区，由园区规划确定设置汽水换热站和直接提供给供热用户（供热管网及换热站不在本次评价范围之内）</w:t>
            </w:r>
          </w:p>
        </w:tc>
      </w:tr>
    </w:tbl>
    <w:p>
      <w:pPr>
        <w:pStyle w:val="5"/>
        <w:keepNext w:val="0"/>
        <w:keepLines w:val="0"/>
        <w:pageBreakBefore w:val="0"/>
        <w:widowControl w:val="0"/>
        <w:shd w:val="clear" w:color="auto" w:fill="auto"/>
        <w:kinsoku/>
        <w:wordWrap/>
        <w:overflowPunct w:val="0"/>
        <w:topLinePunct w:val="0"/>
        <w:autoSpaceDE/>
        <w:autoSpaceDN/>
        <w:bidi w:val="0"/>
        <w:adjustRightInd/>
        <w:snapToGrid/>
        <w:spacing w:before="361" w:beforeLines="100"/>
        <w:textAlignment w:val="auto"/>
        <w:rPr>
          <w:rFonts w:hint="eastAsia" w:ascii="Times New Roman" w:hAnsi="Times New Roman"/>
          <w:color w:val="000000" w:themeColor="text1"/>
          <w:sz w:val="28"/>
          <w:szCs w:val="28"/>
          <w:lang w:val="zh-CN" w:eastAsia="zh-CN"/>
          <w14:textFill>
            <w14:solidFill>
              <w14:schemeClr w14:val="tx1"/>
            </w14:solidFill>
          </w14:textFill>
        </w:rPr>
      </w:pPr>
      <w:r>
        <w:rPr>
          <w:rFonts w:hint="eastAsia" w:ascii="Times New Roman" w:hAnsi="Times New Roman"/>
          <w:color w:val="000000" w:themeColor="text1"/>
          <w:sz w:val="28"/>
          <w:szCs w:val="28"/>
          <w:lang w:val="en-US" w:eastAsia="en-US"/>
          <w14:textFill>
            <w14:solidFill>
              <w14:schemeClr w14:val="tx1"/>
            </w14:solidFill>
          </w14:textFill>
        </w:rPr>
        <w:t>2.1.2</w:t>
      </w:r>
      <w:r>
        <w:rPr>
          <w:rFonts w:hint="eastAsia" w:ascii="Times New Roman" w:hAnsi="Times New Roman"/>
          <w:color w:val="000000" w:themeColor="text1"/>
          <w:sz w:val="28"/>
          <w:szCs w:val="28"/>
          <w:lang w:val="zh-CN" w:eastAsia="zh-CN"/>
          <w14:textFill>
            <w14:solidFill>
              <w14:schemeClr w14:val="tx1"/>
            </w14:solidFill>
          </w14:textFill>
        </w:rPr>
        <w:t>厂址地理位置</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克拉玛依高新技术产业开发区位于克拉玛依市金龙镇至三坪镇以及两者之间广阔用地范围。其北邻217国道，西至石化大道向南延长段，东面将石油公司纳入克拉玛依高新技术产业开发区，南面为奎北铁路，并在园区内设有货运站一克北站。</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w w:val="100"/>
          <w:position w:val="0"/>
          <w:lang w:val="zh-CN" w:eastAsia="zh-CN" w:bidi="zh-CN"/>
          <w14:textFill>
            <w14:solidFill>
              <w14:schemeClr w14:val="tx1"/>
            </w14:solidFill>
          </w14:textFill>
        </w:rPr>
      </w:pPr>
      <w:r>
        <w:rPr>
          <w:rFonts w:hint="default" w:ascii="Times New Roman" w:hAnsi="Times New Roman" w:eastAsia="宋体" w:cs="Times New Roman"/>
          <w:color w:val="000000" w:themeColor="text1"/>
          <w:w w:val="100"/>
          <w:position w:val="0"/>
          <w:lang w:val="zh-CN" w:eastAsia="zh-CN" w:bidi="zh-CN"/>
          <w14:textFill>
            <w14:solidFill>
              <w14:schemeClr w14:val="tx1"/>
            </w14:solidFill>
          </w14:textFill>
        </w:rPr>
        <w:t>厂址西北距217国道约</w:t>
      </w:r>
      <w:r>
        <w:rPr>
          <w:rFonts w:hint="default" w:ascii="Times New Roman" w:hAnsi="Times New Roman" w:eastAsia="宋体" w:cs="Times New Roman"/>
          <w:color w:val="000000" w:themeColor="text1"/>
          <w:w w:val="100"/>
          <w:position w:val="0"/>
          <w:lang w:val="en-US" w:eastAsia="en-US" w:bidi="zh-CN"/>
          <w14:textFill>
            <w14:solidFill>
              <w14:schemeClr w14:val="tx1"/>
            </w14:solidFill>
          </w14:textFill>
        </w:rPr>
        <w:t>2</w:t>
      </w:r>
      <w:r>
        <w:rPr>
          <w:rFonts w:hint="default" w:ascii="Times New Roman" w:hAnsi="Times New Roman" w:eastAsia="宋体" w:cs="Times New Roman"/>
          <w:color w:val="000000" w:themeColor="text1"/>
          <w:w w:val="100"/>
          <w:position w:val="0"/>
          <w:lang w:val="zh-CN" w:eastAsia="zh-CN" w:bidi="zh-CN"/>
          <w14:textFill>
            <w14:solidFill>
              <w14:schemeClr w14:val="tx1"/>
            </w14:solidFill>
          </w14:textFill>
        </w:rPr>
        <w:t>km</w:t>
      </w:r>
      <w:r>
        <w:rPr>
          <w:rFonts w:hint="default" w:ascii="Times New Roman" w:hAnsi="Times New Roman" w:eastAsia="宋体" w:cs="Times New Roman"/>
          <w:color w:val="000000" w:themeColor="text1"/>
          <w:w w:val="100"/>
          <w:position w:val="0"/>
          <w:lang w:val="en-US" w:eastAsia="en-US" w:bidi="zh-CN"/>
          <w14:textFill>
            <w14:solidFill>
              <w14:schemeClr w14:val="tx1"/>
            </w14:solidFill>
          </w14:textFill>
        </w:rPr>
        <w:t>，</w:t>
      </w:r>
      <w:r>
        <w:rPr>
          <w:rFonts w:hint="default" w:ascii="Times New Roman" w:hAnsi="Times New Roman" w:eastAsia="宋体" w:cs="Times New Roman"/>
          <w:color w:val="000000" w:themeColor="text1"/>
          <w:w w:val="100"/>
          <w:position w:val="0"/>
          <w:lang w:val="zh-CN" w:eastAsia="zh-CN" w:bidi="zh-CN"/>
          <w14:textFill>
            <w14:solidFill>
              <w14:schemeClr w14:val="tx1"/>
            </w14:solidFill>
          </w14:textFill>
        </w:rPr>
        <w:t>奎北铁路由厂址南侧约</w:t>
      </w:r>
      <w:r>
        <w:rPr>
          <w:rFonts w:hint="default" w:ascii="Times New Roman" w:hAnsi="Times New Roman" w:eastAsia="宋体" w:cs="Times New Roman"/>
          <w:color w:val="000000" w:themeColor="text1"/>
          <w:w w:val="100"/>
          <w:position w:val="0"/>
          <w:lang w:val="en-US" w:eastAsia="en-US" w:bidi="zh-CN"/>
          <w14:textFill>
            <w14:solidFill>
              <w14:schemeClr w14:val="tx1"/>
            </w14:solidFill>
          </w14:textFill>
        </w:rPr>
        <w:t>5.4</w:t>
      </w:r>
      <w:r>
        <w:rPr>
          <w:rFonts w:hint="default" w:ascii="Times New Roman" w:hAnsi="Times New Roman" w:eastAsia="宋体" w:cs="Times New Roman"/>
          <w:color w:val="000000" w:themeColor="text1"/>
          <w:w w:val="100"/>
          <w:position w:val="0"/>
          <w:lang w:val="zh-CN" w:eastAsia="zh-CN" w:bidi="zh-CN"/>
          <w14:textFill>
            <w14:solidFill>
              <w14:schemeClr w14:val="tx1"/>
            </w14:solidFill>
          </w14:textFill>
        </w:rPr>
        <w:t>km处东西向通过。</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w w:val="100"/>
          <w:position w:val="0"/>
          <w:lang w:val="zh-CN" w:eastAsia="zh-CN" w:bidi="zh-CN"/>
          <w14:textFill>
            <w14:solidFill>
              <w14:schemeClr w14:val="tx1"/>
            </w14:solidFill>
          </w14:textFill>
        </w:rPr>
      </w:pPr>
      <w:r>
        <w:rPr>
          <w:rFonts w:hint="default" w:ascii="Times New Roman" w:hAnsi="Times New Roman" w:eastAsia="宋体" w:cs="Times New Roman"/>
          <w:color w:val="000000" w:themeColor="text1"/>
          <w:w w:val="100"/>
          <w:position w:val="0"/>
          <w:lang w:val="zh-CN" w:eastAsia="zh-CN" w:bidi="zh-CN"/>
          <w14:textFill>
            <w14:solidFill>
              <w14:schemeClr w14:val="tx1"/>
            </w14:solidFill>
          </w14:textFill>
        </w:rPr>
        <w:t>厂址在平安大道以北，金西三街以东。</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w w:val="100"/>
          <w:position w:val="0"/>
          <w:lang w:val="zh-CN" w:eastAsia="zh-CN" w:bidi="zh-CN"/>
          <w14:textFill>
            <w14:solidFill>
              <w14:schemeClr w14:val="tx1"/>
            </w14:solidFill>
          </w14:textFill>
        </w:rPr>
      </w:pPr>
      <w:r>
        <w:rPr>
          <w:rFonts w:hint="default" w:ascii="Times New Roman" w:hAnsi="Times New Roman" w:eastAsia="宋体" w:cs="Times New Roman"/>
          <w:color w:val="000000" w:themeColor="text1"/>
          <w:w w:val="100"/>
          <w:position w:val="0"/>
          <w:lang w:val="zh-CN" w:eastAsia="zh-CN" w:bidi="zh-CN"/>
          <w14:textFill>
            <w14:solidFill>
              <w14:schemeClr w14:val="tx1"/>
            </w14:solidFill>
          </w14:textFill>
        </w:rPr>
        <w:t>厂区地理位置见图</w:t>
      </w:r>
      <w:r>
        <w:rPr>
          <w:rFonts w:hint="default" w:ascii="Times New Roman" w:hAnsi="Times New Roman" w:eastAsia="宋体" w:cs="Times New Roman"/>
          <w:color w:val="000000" w:themeColor="text1"/>
          <w:w w:val="100"/>
          <w:position w:val="0"/>
          <w:lang w:val="en-US" w:eastAsia="en-US" w:bidi="zh-CN"/>
          <w14:textFill>
            <w14:solidFill>
              <w14:schemeClr w14:val="tx1"/>
            </w14:solidFill>
          </w14:textFill>
        </w:rPr>
        <w:t>2.1-1</w:t>
      </w:r>
      <w:r>
        <w:rPr>
          <w:rFonts w:hint="default" w:ascii="Times New Roman" w:hAnsi="Times New Roman" w:eastAsia="宋体" w:cs="Times New Roman"/>
          <w:color w:val="000000" w:themeColor="text1"/>
          <w:w w:val="100"/>
          <w:position w:val="0"/>
          <w:lang w:val="zh-CN" w:eastAsia="zh-CN" w:bidi="zh-CN"/>
          <w14:textFill>
            <w14:solidFill>
              <w14:schemeClr w14:val="tx1"/>
            </w14:solidFill>
          </w14:textFill>
        </w:rPr>
        <w:t>。</w:t>
      </w:r>
    </w:p>
    <w:p>
      <w:pPr>
        <w:pStyle w:val="5"/>
        <w:keepNext w:val="0"/>
        <w:keepLines w:val="0"/>
        <w:shd w:val="clear" w:color="auto" w:fill="auto"/>
        <w:overflowPunct w:val="0"/>
        <w:rPr>
          <w:rFonts w:hint="eastAsia" w:ascii="Times New Roman" w:hAnsi="Times New Roman"/>
          <w:color w:val="000000" w:themeColor="text1"/>
          <w:sz w:val="28"/>
          <w:szCs w:val="28"/>
          <w:lang w:val="zh-CN" w:eastAsia="zh-CN"/>
          <w14:textFill>
            <w14:solidFill>
              <w14:schemeClr w14:val="tx1"/>
            </w14:solidFill>
          </w14:textFill>
        </w:rPr>
      </w:pPr>
      <w:r>
        <w:rPr>
          <w:rFonts w:hint="eastAsia" w:ascii="Times New Roman" w:hAnsi="Times New Roman"/>
          <w:color w:val="000000" w:themeColor="text1"/>
          <w:sz w:val="28"/>
          <w:szCs w:val="28"/>
          <w:lang w:val="en-US" w:eastAsia="en-US"/>
          <w14:textFill>
            <w14:solidFill>
              <w14:schemeClr w14:val="tx1"/>
            </w14:solidFill>
          </w14:textFill>
        </w:rPr>
        <w:t>2.1.3</w:t>
      </w:r>
      <w:r>
        <w:rPr>
          <w:rFonts w:hint="eastAsia" w:ascii="Times New Roman" w:hAnsi="Times New Roman"/>
          <w:color w:val="000000" w:themeColor="text1"/>
          <w:sz w:val="28"/>
          <w:szCs w:val="28"/>
          <w:lang w:val="zh-CN" w:eastAsia="zh-CN"/>
          <w14:textFill>
            <w14:solidFill>
              <w14:schemeClr w14:val="tx1"/>
            </w14:solidFill>
          </w14:textFill>
        </w:rPr>
        <w:t>灰场概况</w:t>
      </w:r>
    </w:p>
    <w:p>
      <w:pPr>
        <w:overflowPunct w:val="0"/>
        <w:spacing w:line="360" w:lineRule="auto"/>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根据水煤浆煤质资料计算，本工程建设</w:t>
      </w:r>
      <w:r>
        <w:rPr>
          <w:rFonts w:hint="eastAsia" w:eastAsia="宋体"/>
          <w:color w:val="000000" w:themeColor="text1"/>
          <w:lang w:val="en-US"/>
          <w14:textFill>
            <w14:solidFill>
              <w14:schemeClr w14:val="tx1"/>
            </w14:solidFill>
          </w14:textFill>
        </w:rPr>
        <w:t>2</w:t>
      </w:r>
      <w:r>
        <w:rPr>
          <w:rFonts w:ascii="Arial" w:hAnsi="Arial" w:eastAsia="宋体" w:cs="Arial"/>
          <w:color w:val="000000" w:themeColor="text1"/>
          <w14:textFill>
            <w14:solidFill>
              <w14:schemeClr w14:val="tx1"/>
            </w14:solidFill>
          </w14:textFill>
        </w:rPr>
        <w:t>×</w:t>
      </w:r>
      <w:r>
        <w:rPr>
          <w:rFonts w:hint="eastAsia" w:eastAsia="宋体"/>
          <w:color w:val="000000" w:themeColor="text1"/>
          <w:lang w:val="en-US"/>
          <w14:textFill>
            <w14:solidFill>
              <w14:schemeClr w14:val="tx1"/>
            </w14:solidFill>
          </w14:textFill>
        </w:rPr>
        <w:t>130</w:t>
      </w:r>
      <w:r>
        <w:rPr>
          <w:rFonts w:hint="eastAsia" w:eastAsia="宋体"/>
          <w:color w:val="000000" w:themeColor="text1"/>
          <w14:textFill>
            <w14:solidFill>
              <w14:schemeClr w14:val="tx1"/>
            </w14:solidFill>
          </w14:textFill>
        </w:rPr>
        <w:t>t</w:t>
      </w:r>
      <w:r>
        <w:rPr>
          <w:rFonts w:hint="eastAsia" w:eastAsia="宋体"/>
          <w:color w:val="000000" w:themeColor="text1"/>
          <w:lang w:val="en-US"/>
          <w14:textFill>
            <w14:solidFill>
              <w14:schemeClr w14:val="tx1"/>
            </w14:solidFill>
          </w14:textFill>
        </w:rPr>
        <w:t>/</w:t>
      </w:r>
      <w:r>
        <w:rPr>
          <w:rFonts w:hint="eastAsia" w:eastAsia="宋体"/>
          <w:color w:val="000000" w:themeColor="text1"/>
          <w14:textFill>
            <w14:solidFill>
              <w14:schemeClr w14:val="tx1"/>
            </w14:solidFill>
          </w14:textFill>
        </w:rPr>
        <w:t>h水煤浆锅炉及1</w:t>
      </w:r>
      <w:r>
        <w:rPr>
          <w:rFonts w:ascii="Arial" w:hAnsi="Arial" w:eastAsia="宋体" w:cs="Arial"/>
          <w:color w:val="000000" w:themeColor="text1"/>
          <w14:textFill>
            <w14:solidFill>
              <w14:schemeClr w14:val="tx1"/>
            </w14:solidFill>
          </w14:textFill>
        </w:rPr>
        <w:t>×</w:t>
      </w:r>
      <w:r>
        <w:rPr>
          <w:rFonts w:hint="eastAsia" w:eastAsia="宋体"/>
          <w:color w:val="000000" w:themeColor="text1"/>
          <w:lang w:val="en-US"/>
          <w14:textFill>
            <w14:solidFill>
              <w14:schemeClr w14:val="tx1"/>
            </w14:solidFill>
          </w14:textFill>
        </w:rPr>
        <w:t>220</w:t>
      </w:r>
      <w:r>
        <w:rPr>
          <w:rFonts w:hint="eastAsia" w:eastAsia="宋体"/>
          <w:color w:val="000000" w:themeColor="text1"/>
          <w14:textFill>
            <w14:solidFill>
              <w14:schemeClr w14:val="tx1"/>
            </w14:solidFill>
          </w14:textFill>
        </w:rPr>
        <w:t>t</w:t>
      </w:r>
      <w:r>
        <w:rPr>
          <w:rFonts w:hint="eastAsia" w:eastAsia="宋体"/>
          <w:color w:val="000000" w:themeColor="text1"/>
          <w:lang w:val="en-US"/>
          <w14:textFill>
            <w14:solidFill>
              <w14:schemeClr w14:val="tx1"/>
            </w14:solidFill>
          </w14:textFill>
        </w:rPr>
        <w:t>/</w:t>
      </w:r>
      <w:r>
        <w:rPr>
          <w:rFonts w:hint="eastAsia" w:eastAsia="宋体"/>
          <w:color w:val="000000" w:themeColor="text1"/>
          <w14:textFill>
            <w14:solidFill>
              <w14:schemeClr w14:val="tx1"/>
            </w14:solidFill>
          </w14:textFill>
        </w:rPr>
        <w:t>h水煤浆锅炉，年产除尘灰量为</w:t>
      </w:r>
      <w:r>
        <w:rPr>
          <w:rFonts w:hint="eastAsia" w:eastAsia="宋体"/>
          <w:color w:val="000000" w:themeColor="text1"/>
          <w:lang w:val="en-US"/>
          <w14:textFill>
            <w14:solidFill>
              <w14:schemeClr w14:val="tx1"/>
            </w14:solidFill>
          </w14:textFill>
        </w:rPr>
        <w:t>3.</w:t>
      </w:r>
      <w:r>
        <w:rPr>
          <w:rFonts w:hint="eastAsia" w:eastAsia="宋体"/>
          <w:color w:val="000000" w:themeColor="text1"/>
          <w14:textFill>
            <w14:solidFill>
              <w14:schemeClr w14:val="tx1"/>
            </w14:solidFill>
          </w14:textFill>
        </w:rPr>
        <w:t>78万t</w:t>
      </w:r>
    </w:p>
    <w:p>
      <w:pPr>
        <w:overflowPunct w:val="0"/>
        <w:spacing w:line="360" w:lineRule="auto"/>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本工程产生的除尘灰全部综合利用，本工程不新设置灰场。</w:t>
      </w:r>
    </w:p>
    <w:p>
      <w:pPr>
        <w:pStyle w:val="5"/>
        <w:keepNext w:val="0"/>
        <w:keepLines w:val="0"/>
        <w:shd w:val="clear" w:color="auto" w:fill="auto"/>
        <w:overflowPunct w:val="0"/>
        <w:rPr>
          <w:rFonts w:hint="eastAsia" w:ascii="Times New Roman" w:hAnsi="Times New Roman"/>
          <w:color w:val="000000" w:themeColor="text1"/>
          <w:sz w:val="28"/>
          <w:szCs w:val="28"/>
          <w:lang w:val="zh-CN" w:eastAsia="zh-CN"/>
          <w14:textFill>
            <w14:solidFill>
              <w14:schemeClr w14:val="tx1"/>
            </w14:solidFill>
          </w14:textFill>
        </w:rPr>
      </w:pPr>
      <w:r>
        <w:rPr>
          <w:rFonts w:hint="eastAsia" w:ascii="Times New Roman" w:hAnsi="Times New Roman"/>
          <w:color w:val="000000" w:themeColor="text1"/>
          <w:sz w:val="28"/>
          <w:szCs w:val="28"/>
          <w:lang w:val="en-US" w:eastAsia="en-US"/>
          <w14:textFill>
            <w14:solidFill>
              <w14:schemeClr w14:val="tx1"/>
            </w14:solidFill>
          </w14:textFill>
        </w:rPr>
        <w:t>2.1.4</w:t>
      </w:r>
      <w:r>
        <w:rPr>
          <w:rFonts w:hint="eastAsia" w:ascii="Times New Roman" w:hAnsi="Times New Roman"/>
          <w:color w:val="000000" w:themeColor="text1"/>
          <w:sz w:val="28"/>
          <w:szCs w:val="28"/>
          <w:lang w:val="zh-CN" w:eastAsia="zh-CN"/>
          <w14:textFill>
            <w14:solidFill>
              <w14:schemeClr w14:val="tx1"/>
            </w14:solidFill>
          </w14:textFill>
        </w:rPr>
        <w:t>工程占地</w:t>
      </w:r>
    </w:p>
    <w:p>
      <w:pPr>
        <w:shd w:val="clear" w:color="auto" w:fill="auto"/>
        <w:overflowPunct w:val="0"/>
        <w:spacing w:line="360" w:lineRule="auto"/>
        <w:ind w:firstLine="480" w:firstLineChars="200"/>
        <w:rPr>
          <w:rFonts w:hint="eastAsia"/>
          <w:color w:val="000000" w:themeColor="text1"/>
          <w:lang w:val="zh-CN" w:eastAsia="zh-CN"/>
          <w14:textFill>
            <w14:solidFill>
              <w14:schemeClr w14:val="tx1"/>
            </w14:solidFill>
          </w14:textFill>
        </w:rPr>
      </w:pPr>
      <w:r>
        <w:rPr>
          <w:rFonts w:hint="eastAsia" w:eastAsia="宋体"/>
          <w:color w:val="000000" w:themeColor="text1"/>
          <w14:textFill>
            <w14:solidFill>
              <w14:schemeClr w14:val="tx1"/>
            </w14:solidFill>
          </w14:textFill>
        </w:rPr>
        <w:t>本项目厂址位于</w:t>
      </w:r>
      <w:r>
        <w:rPr>
          <w:rFonts w:eastAsia="宋体"/>
          <w:color w:val="000000" w:themeColor="text1"/>
          <w14:textFill>
            <w14:solidFill>
              <w14:schemeClr w14:val="tx1"/>
            </w14:solidFill>
          </w14:textFill>
        </w:rPr>
        <w:t>高新技术产业开发区</w:t>
      </w:r>
      <w:r>
        <w:rPr>
          <w:rFonts w:hint="eastAsia" w:eastAsia="宋体"/>
          <w:color w:val="000000" w:themeColor="text1"/>
          <w14:textFill>
            <w14:solidFill>
              <w14:schemeClr w14:val="tx1"/>
            </w14:solidFill>
          </w14:textFill>
        </w:rPr>
        <w:t>，符合当地</w:t>
      </w:r>
      <w:r>
        <w:rPr>
          <w:rFonts w:hint="eastAsia" w:eastAsia="宋体"/>
          <w:color w:val="000000" w:themeColor="text1"/>
          <w:lang w:eastAsia="zh-CN"/>
          <w14:textFill>
            <w14:solidFill>
              <w14:schemeClr w14:val="tx1"/>
            </w14:solidFill>
          </w14:textFill>
        </w:rPr>
        <w:t>土地</w:t>
      </w:r>
      <w:r>
        <w:rPr>
          <w:rFonts w:hint="eastAsia" w:eastAsia="宋体"/>
          <w:color w:val="000000" w:themeColor="text1"/>
          <w14:textFill>
            <w14:solidFill>
              <w14:schemeClr w14:val="tx1"/>
            </w14:solidFill>
          </w14:textFill>
        </w:rPr>
        <w:t>利用总体规划</w:t>
      </w: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w:t>
      </w:r>
    </w:p>
    <w:p>
      <w:pPr>
        <w:shd w:val="clear" w:color="auto" w:fill="auto"/>
        <w:overflowPunct w:val="0"/>
        <w:spacing w:line="360" w:lineRule="auto"/>
        <w:ind w:firstLine="480" w:firstLineChars="200"/>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pP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厂址区域场地无拆迁，也不存在移民安置问题。</w:t>
      </w:r>
    </w:p>
    <w:p>
      <w:pPr>
        <w:shd w:val="clear" w:color="auto" w:fill="auto"/>
        <w:overflowPunct w:val="0"/>
        <w:spacing w:line="360" w:lineRule="auto"/>
        <w:ind w:firstLine="480" w:firstLineChars="200"/>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pP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项目用地</w:t>
      </w:r>
      <w:r>
        <w:rPr>
          <w:rFonts w:hint="eastAsia" w:eastAsia="宋体" w:cs="Times New Roman"/>
          <w:color w:val="000000" w:themeColor="text1"/>
          <w:w w:val="100"/>
          <w:position w:val="0"/>
          <w:lang w:val="en-US" w:eastAsia="en-US" w:bidi="zh-CN"/>
          <w14:textFill>
            <w14:solidFill>
              <w14:schemeClr w14:val="tx1"/>
            </w14:solidFill>
          </w14:textFill>
        </w:rPr>
        <w:t>6.27</w:t>
      </w:r>
      <w:r>
        <w:rPr>
          <w:rFonts w:hint="eastAsia" w:eastAsia="宋体" w:cs="Times New Roman"/>
          <w:color w:val="000000" w:themeColor="text1"/>
          <w:w w:val="100"/>
          <w:position w:val="0"/>
          <w:lang w:val="en-US" w:eastAsia="zh-CN" w:bidi="zh-CN"/>
          <w14:textFill>
            <w14:solidFill>
              <w14:schemeClr w14:val="tx1"/>
            </w14:solidFill>
          </w14:textFill>
        </w:rPr>
        <w:t>hm</w:t>
      </w:r>
      <w:r>
        <w:rPr>
          <w:rFonts w:hint="eastAsia" w:eastAsia="宋体" w:cs="Times New Roman"/>
          <w:color w:val="000000" w:themeColor="text1"/>
          <w:w w:val="100"/>
          <w:position w:val="0"/>
          <w:vertAlign w:val="superscript"/>
          <w:lang w:val="en-US" w:eastAsia="zh-CN" w:bidi="zh-CN"/>
          <w14:textFill>
            <w14:solidFill>
              <w14:schemeClr w14:val="tx1"/>
            </w14:solidFill>
          </w14:textFill>
        </w:rPr>
        <w:t>2</w:t>
      </w:r>
      <w:r>
        <w:rPr>
          <w:rFonts w:hint="eastAsia" w:ascii="Times New Roman" w:hAnsi="Times New Roman" w:eastAsia="宋体" w:cs="Times New Roman"/>
          <w:color w:val="000000" w:themeColor="text1"/>
          <w:w w:val="100"/>
          <w:position w:val="0"/>
          <w:lang w:val="en-US" w:eastAsia="en-US" w:bidi="zh-CN"/>
          <w14:textFill>
            <w14:solidFill>
              <w14:schemeClr w14:val="tx1"/>
            </w14:solidFill>
          </w14:textFill>
        </w:rPr>
        <w:t>。</w:t>
      </w: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施工生产、生活区租地</w:t>
      </w:r>
      <w:r>
        <w:rPr>
          <w:rFonts w:hint="eastAsia" w:eastAsia="宋体" w:cs="Times New Roman"/>
          <w:color w:val="000000" w:themeColor="text1"/>
          <w:w w:val="100"/>
          <w:position w:val="0"/>
          <w:lang w:val="en-US" w:eastAsia="zh-CN" w:bidi="zh-CN"/>
          <w14:textFill>
            <w14:solidFill>
              <w14:schemeClr w14:val="tx1"/>
            </w14:solidFill>
          </w14:textFill>
        </w:rPr>
        <w:t>0.91hm</w:t>
      </w:r>
      <w:r>
        <w:rPr>
          <w:rFonts w:hint="eastAsia" w:eastAsia="宋体" w:cs="Times New Roman"/>
          <w:color w:val="000000" w:themeColor="text1"/>
          <w:w w:val="100"/>
          <w:position w:val="0"/>
          <w:vertAlign w:val="superscript"/>
          <w:lang w:val="en-US" w:eastAsia="zh-CN" w:bidi="zh-CN"/>
          <w14:textFill>
            <w14:solidFill>
              <w14:schemeClr w14:val="tx1"/>
            </w14:solidFill>
          </w14:textFill>
        </w:rPr>
        <w:t>2</w:t>
      </w:r>
      <w:r>
        <w:rPr>
          <w:rFonts w:hint="eastAsia" w:eastAsia="宋体" w:cs="Times New Roman"/>
          <w:color w:val="000000" w:themeColor="text1"/>
          <w:w w:val="100"/>
          <w:position w:val="0"/>
          <w:lang w:val="en-US" w:eastAsia="en-US" w:bidi="zh-CN"/>
          <w14:textFill>
            <w14:solidFill>
              <w14:schemeClr w14:val="tx1"/>
            </w14:solidFill>
          </w14:textFill>
        </w:rPr>
        <w:t>，</w:t>
      </w: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均为建设用地。</w:t>
      </w:r>
    </w:p>
    <w:p>
      <w:pPr>
        <w:pStyle w:val="5"/>
        <w:keepNext w:val="0"/>
        <w:keepLines w:val="0"/>
        <w:pageBreakBefore w:val="0"/>
        <w:widowControl w:val="0"/>
        <w:shd w:val="clear" w:color="auto" w:fill="auto"/>
        <w:kinsoku/>
        <w:wordWrap/>
        <w:overflowPunct w:val="0"/>
        <w:topLinePunct w:val="0"/>
        <w:autoSpaceDE/>
        <w:autoSpaceDN/>
        <w:bidi w:val="0"/>
        <w:adjustRightInd/>
        <w:snapToGrid/>
        <w:textAlignment w:val="auto"/>
        <w:rPr>
          <w:rFonts w:hint="eastAsia" w:ascii="Times New Roman" w:hAnsi="Times New Roman"/>
          <w:color w:val="000000" w:themeColor="text1"/>
          <w:sz w:val="28"/>
          <w:szCs w:val="28"/>
          <w:lang w:val="zh-CN" w:eastAsia="zh-CN"/>
          <w14:textFill>
            <w14:solidFill>
              <w14:schemeClr w14:val="tx1"/>
            </w14:solidFill>
          </w14:textFill>
        </w:rPr>
      </w:pPr>
      <w:r>
        <w:rPr>
          <w:rFonts w:hint="eastAsia" w:ascii="Times New Roman" w:hAnsi="Times New Roman"/>
          <w:color w:val="000000" w:themeColor="text1"/>
          <w:sz w:val="28"/>
          <w:szCs w:val="28"/>
          <w:lang w:val="en-US" w:eastAsia="en-US"/>
          <w14:textFill>
            <w14:solidFill>
              <w14:schemeClr w14:val="tx1"/>
            </w14:solidFill>
          </w14:textFill>
        </w:rPr>
        <w:t>2.1.5</w:t>
      </w:r>
      <w:r>
        <w:rPr>
          <w:rFonts w:hint="eastAsia" w:ascii="Times New Roman" w:hAnsi="Times New Roman"/>
          <w:color w:val="000000" w:themeColor="text1"/>
          <w:sz w:val="28"/>
          <w:szCs w:val="28"/>
          <w:lang w:val="zh-CN" w:eastAsia="zh-CN"/>
          <w14:textFill>
            <w14:solidFill>
              <w14:schemeClr w14:val="tx1"/>
            </w14:solidFill>
          </w14:textFill>
        </w:rPr>
        <w:t>厂区平面布置</w:t>
      </w:r>
    </w:p>
    <w:p>
      <w:pPr>
        <w:shd w:val="clear" w:color="auto" w:fill="auto"/>
        <w:overflowPunct w:val="0"/>
        <w:spacing w:line="360" w:lineRule="auto"/>
        <w:ind w:firstLine="480" w:firstLineChars="200"/>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pP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主厂房纵轴沿东西向，固定端朝西北，向东南扩建，厂区采用二列式布置，由东南向西北依次为屋外配电设施区一主生产区。脱硫设施布置于炉后。</w:t>
      </w:r>
    </w:p>
    <w:p>
      <w:pPr>
        <w:shd w:val="clear" w:color="auto" w:fill="auto"/>
        <w:overflowPunct w:val="0"/>
        <w:spacing w:line="360" w:lineRule="auto"/>
        <w:ind w:firstLine="480" w:firstLineChars="200"/>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pP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辅助生产及附属建筑设于主厂房固定端侧。</w:t>
      </w:r>
    </w:p>
    <w:p>
      <w:pPr>
        <w:shd w:val="clear" w:color="auto" w:fill="auto"/>
        <w:overflowPunct w:val="0"/>
        <w:spacing w:line="360" w:lineRule="auto"/>
        <w:ind w:firstLine="480" w:firstLineChars="200"/>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pP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厂区主出入口设于厂西南，货流出入口设于西南围墙，端入式进厂。厂区采用平坡式布置，厂区汇水采用场地一道路排水方式，主排水坡度0.3%。厂区平面布置技术经济指标见表</w:t>
      </w:r>
      <w:r>
        <w:rPr>
          <w:rFonts w:hint="eastAsia" w:ascii="Times New Roman" w:hAnsi="Times New Roman" w:eastAsia="宋体" w:cs="Times New Roman"/>
          <w:color w:val="000000" w:themeColor="text1"/>
          <w:w w:val="100"/>
          <w:position w:val="0"/>
          <w:lang w:val="en-US" w:eastAsia="en-US" w:bidi="zh-CN"/>
          <w14:textFill>
            <w14:solidFill>
              <w14:schemeClr w14:val="tx1"/>
            </w14:solidFill>
          </w14:textFill>
        </w:rPr>
        <w:t xml:space="preserve">2. </w:t>
      </w: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1-2。厂区平面布置见图</w:t>
      </w:r>
      <w:r>
        <w:rPr>
          <w:rFonts w:hint="eastAsia" w:ascii="Times New Roman" w:hAnsi="Times New Roman" w:eastAsia="宋体" w:cs="Times New Roman"/>
          <w:color w:val="000000" w:themeColor="text1"/>
          <w:w w:val="100"/>
          <w:position w:val="0"/>
          <w:lang w:val="en-US" w:eastAsia="en-US" w:bidi="zh-CN"/>
          <w14:textFill>
            <w14:solidFill>
              <w14:schemeClr w14:val="tx1"/>
            </w14:solidFill>
          </w14:textFill>
        </w:rPr>
        <w:t xml:space="preserve">2. </w:t>
      </w: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1-</w:t>
      </w:r>
      <w:r>
        <w:rPr>
          <w:rFonts w:hint="eastAsia" w:eastAsia="宋体" w:cs="Times New Roman"/>
          <w:color w:val="000000" w:themeColor="text1"/>
          <w:w w:val="100"/>
          <w:position w:val="0"/>
          <w:lang w:val="en-US" w:eastAsia="zh-CN" w:bidi="zh-CN"/>
          <w14:textFill>
            <w14:solidFill>
              <w14:schemeClr w14:val="tx1"/>
            </w14:solidFill>
          </w14:textFill>
        </w:rPr>
        <w:t>2</w:t>
      </w: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default" w:ascii="Times New Roman" w:hAnsi="Times New Roman" w:eastAsia="黑体" w:cs="Times New Roman"/>
          <w:color w:val="000000" w:themeColor="text1"/>
          <w:spacing w:val="0"/>
          <w:w w:val="100"/>
          <w:position w:val="0"/>
          <w:sz w:val="21"/>
          <w:szCs w:val="21"/>
          <w:lang w:val="en-US"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w:t>
      </w:r>
      <w:r>
        <w:rPr>
          <w:rFonts w:hint="eastAsia" w:ascii="Times New Roman" w:hAnsi="Times New Roman" w:eastAsia="黑体" w:cs="Times New Roman"/>
          <w:color w:val="000000" w:themeColor="text1"/>
          <w:spacing w:val="0"/>
          <w:w w:val="100"/>
          <w:position w:val="0"/>
          <w:sz w:val="21"/>
          <w:szCs w:val="21"/>
          <w:lang w:val="en-US" w:eastAsia="zh-CN" w:bidi="zh-CN"/>
          <w14:textFill>
            <w14:solidFill>
              <w14:schemeClr w14:val="tx1"/>
            </w14:solidFill>
          </w14:textFill>
        </w:rPr>
        <w:t>2.1-2</w:t>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厂区平面布置技术经济指标</w:t>
      </w:r>
    </w:p>
    <w:tbl>
      <w:tblPr>
        <w:tblStyle w:val="21"/>
        <w:tblW w:w="8326" w:type="dxa"/>
        <w:jc w:val="center"/>
        <w:tblInd w:w="0" w:type="dxa"/>
        <w:tblLayout w:type="fixed"/>
        <w:tblCellMar>
          <w:top w:w="0" w:type="dxa"/>
          <w:left w:w="10" w:type="dxa"/>
          <w:bottom w:w="0" w:type="dxa"/>
          <w:right w:w="10" w:type="dxa"/>
        </w:tblCellMar>
      </w:tblPr>
      <w:tblGrid>
        <w:gridCol w:w="823"/>
        <w:gridCol w:w="1235"/>
        <w:gridCol w:w="1254"/>
        <w:gridCol w:w="1660"/>
        <w:gridCol w:w="1679"/>
        <w:gridCol w:w="1675"/>
      </w:tblGrid>
      <w:tr>
        <w:tblPrEx>
          <w:tblLayout w:type="fixed"/>
          <w:tblCellMar>
            <w:top w:w="0" w:type="dxa"/>
            <w:left w:w="10" w:type="dxa"/>
            <w:bottom w:w="0" w:type="dxa"/>
            <w:right w:w="10" w:type="dxa"/>
          </w:tblCellMar>
        </w:tblPrEx>
        <w:trPr>
          <w:trHeight w:val="312" w:hRule="exact"/>
          <w:jc w:val="center"/>
        </w:trPr>
        <w:tc>
          <w:tcPr>
            <w:tcW w:w="82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序号</w:t>
            </w:r>
          </w:p>
        </w:tc>
        <w:tc>
          <w:tcPr>
            <w:tcW w:w="248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项目</w:t>
            </w:r>
          </w:p>
        </w:tc>
        <w:tc>
          <w:tcPr>
            <w:tcW w:w="166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单位</w:t>
            </w:r>
          </w:p>
        </w:tc>
        <w:tc>
          <w:tcPr>
            <w:tcW w:w="167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数量</w:t>
            </w:r>
          </w:p>
        </w:tc>
        <w:tc>
          <w:tcPr>
            <w:tcW w:w="167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备注</w:t>
            </w:r>
          </w:p>
        </w:tc>
      </w:tr>
      <w:tr>
        <w:tblPrEx>
          <w:tblLayout w:type="fixed"/>
          <w:tblCellMar>
            <w:top w:w="0" w:type="dxa"/>
            <w:left w:w="10" w:type="dxa"/>
            <w:bottom w:w="0" w:type="dxa"/>
            <w:right w:w="10" w:type="dxa"/>
          </w:tblCellMar>
        </w:tblPrEx>
        <w:trPr>
          <w:trHeight w:val="346" w:hRule="exact"/>
          <w:jc w:val="center"/>
        </w:trPr>
        <w:tc>
          <w:tcPr>
            <w:tcW w:w="82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248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厂区围墙内占地面积</w:t>
            </w:r>
          </w:p>
        </w:tc>
        <w:tc>
          <w:tcPr>
            <w:tcW w:w="166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h</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m</w:t>
            </w:r>
            <w:r>
              <w:rPr>
                <w:rStyle w:val="41"/>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zh-CN" w:bidi="en-US"/>
                <w14:textFill>
                  <w14:solidFill>
                    <w14:schemeClr w14:val="tx1"/>
                  </w14:solidFill>
                </w14:textFill>
              </w:rPr>
              <w:t>2</w:t>
            </w:r>
          </w:p>
        </w:tc>
        <w:tc>
          <w:tcPr>
            <w:tcW w:w="167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6.2</w:t>
            </w: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7</w:t>
            </w:r>
          </w:p>
        </w:tc>
        <w:tc>
          <w:tcPr>
            <w:tcW w:w="1675"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50" w:hRule="exact"/>
          <w:jc w:val="center"/>
        </w:trPr>
        <w:tc>
          <w:tcPr>
            <w:tcW w:w="82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248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厂区建构筑物占地面积</w:t>
            </w:r>
          </w:p>
        </w:tc>
        <w:tc>
          <w:tcPr>
            <w:tcW w:w="166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h</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m</w:t>
            </w:r>
            <w:r>
              <w:rPr>
                <w:rStyle w:val="41"/>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zh-CN" w:bidi="en-US"/>
                <w14:textFill>
                  <w14:solidFill>
                    <w14:schemeClr w14:val="tx1"/>
                  </w14:solidFill>
                </w14:textFill>
              </w:rPr>
              <w:t>2</w:t>
            </w:r>
          </w:p>
        </w:tc>
        <w:tc>
          <w:tcPr>
            <w:tcW w:w="167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w:t>
            </w: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05</w:t>
            </w:r>
          </w:p>
        </w:tc>
        <w:tc>
          <w:tcPr>
            <w:tcW w:w="1675"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46" w:hRule="exact"/>
          <w:jc w:val="center"/>
        </w:trPr>
        <w:tc>
          <w:tcPr>
            <w:tcW w:w="82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248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建筑系数</w:t>
            </w:r>
          </w:p>
        </w:tc>
        <w:tc>
          <w:tcPr>
            <w:tcW w:w="166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67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32.9</w:t>
            </w:r>
          </w:p>
        </w:tc>
        <w:tc>
          <w:tcPr>
            <w:tcW w:w="1675"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50" w:hRule="exact"/>
          <w:jc w:val="center"/>
        </w:trPr>
        <w:tc>
          <w:tcPr>
            <w:tcW w:w="82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248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场地利用面积</w:t>
            </w:r>
          </w:p>
        </w:tc>
        <w:tc>
          <w:tcPr>
            <w:tcW w:w="166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h</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m</w:t>
            </w:r>
            <w:r>
              <w:rPr>
                <w:rStyle w:val="41"/>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zh-CN" w:bidi="en-US"/>
                <w14:textFill>
                  <w14:solidFill>
                    <w14:schemeClr w14:val="tx1"/>
                  </w14:solidFill>
                </w14:textFill>
              </w:rPr>
              <w:t>2</w:t>
            </w:r>
          </w:p>
        </w:tc>
        <w:tc>
          <w:tcPr>
            <w:tcW w:w="167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3.89</w:t>
            </w:r>
          </w:p>
        </w:tc>
        <w:tc>
          <w:tcPr>
            <w:tcW w:w="1675"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50" w:hRule="exact"/>
          <w:jc w:val="center"/>
        </w:trPr>
        <w:tc>
          <w:tcPr>
            <w:tcW w:w="82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248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场地利用系数</w:t>
            </w:r>
          </w:p>
        </w:tc>
        <w:tc>
          <w:tcPr>
            <w:tcW w:w="166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67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62.5</w:t>
            </w:r>
          </w:p>
        </w:tc>
        <w:tc>
          <w:tcPr>
            <w:tcW w:w="1675"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17" w:hRule="exact"/>
          <w:jc w:val="center"/>
        </w:trPr>
        <w:tc>
          <w:tcPr>
            <w:tcW w:w="82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w:t>
            </w:r>
          </w:p>
        </w:tc>
        <w:tc>
          <w:tcPr>
            <w:tcW w:w="248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厂区道路及广场面积</w:t>
            </w:r>
          </w:p>
        </w:tc>
        <w:tc>
          <w:tcPr>
            <w:tcW w:w="166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h</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m</w:t>
            </w:r>
            <w:r>
              <w:rPr>
                <w:rStyle w:val="41"/>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zh-CN" w:bidi="en-US"/>
                <w14:textFill>
                  <w14:solidFill>
                    <w14:schemeClr w14:val="tx1"/>
                  </w14:solidFill>
                </w14:textFill>
              </w:rPr>
              <w:t>2</w:t>
            </w:r>
          </w:p>
        </w:tc>
        <w:tc>
          <w:tcPr>
            <w:tcW w:w="167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1.22</w:t>
            </w:r>
          </w:p>
        </w:tc>
        <w:tc>
          <w:tcPr>
            <w:tcW w:w="1675"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46" w:hRule="exact"/>
          <w:jc w:val="center"/>
        </w:trPr>
        <w:tc>
          <w:tcPr>
            <w:tcW w:w="82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w:t>
            </w:r>
          </w:p>
        </w:tc>
        <w:tc>
          <w:tcPr>
            <w:tcW w:w="248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道路及地坪系数</w:t>
            </w:r>
          </w:p>
        </w:tc>
        <w:tc>
          <w:tcPr>
            <w:tcW w:w="166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67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14</w:t>
            </w: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50</w:t>
            </w:r>
          </w:p>
        </w:tc>
        <w:tc>
          <w:tcPr>
            <w:tcW w:w="1675"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50" w:hRule="exact"/>
          <w:jc w:val="center"/>
        </w:trPr>
        <w:tc>
          <w:tcPr>
            <w:tcW w:w="82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w:t>
            </w:r>
          </w:p>
        </w:tc>
        <w:tc>
          <w:tcPr>
            <w:tcW w:w="248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单位容量占地</w:t>
            </w:r>
          </w:p>
        </w:tc>
        <w:tc>
          <w:tcPr>
            <w:tcW w:w="166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m</w:t>
            </w:r>
            <w:r>
              <w:rPr>
                <w:rStyle w:val="41"/>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en-US" w:bidi="en-US"/>
                <w14:textFill>
                  <w14:solidFill>
                    <w14:schemeClr w14:val="tx1"/>
                  </w14:solidFill>
                </w14:textFill>
              </w:rPr>
              <w:t>2</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/kw</w:t>
            </w:r>
          </w:p>
        </w:tc>
        <w:tc>
          <w:tcPr>
            <w:tcW w:w="167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19.6</w:t>
            </w:r>
          </w:p>
        </w:tc>
        <w:tc>
          <w:tcPr>
            <w:tcW w:w="1675"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46" w:hRule="exact"/>
          <w:jc w:val="center"/>
        </w:trPr>
        <w:tc>
          <w:tcPr>
            <w:tcW w:w="82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9</w:t>
            </w:r>
          </w:p>
        </w:tc>
        <w:tc>
          <w:tcPr>
            <w:tcW w:w="248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厂区围墙长度</w:t>
            </w:r>
          </w:p>
        </w:tc>
        <w:tc>
          <w:tcPr>
            <w:tcW w:w="166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m</w:t>
            </w:r>
          </w:p>
        </w:tc>
        <w:tc>
          <w:tcPr>
            <w:tcW w:w="167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950</w:t>
            </w:r>
          </w:p>
        </w:tc>
        <w:tc>
          <w:tcPr>
            <w:tcW w:w="1675"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47" w:hRule="exact"/>
          <w:jc w:val="center"/>
        </w:trPr>
        <w:tc>
          <w:tcPr>
            <w:tcW w:w="823"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w:t>
            </w:r>
          </w:p>
        </w:tc>
        <w:tc>
          <w:tcPr>
            <w:tcW w:w="1235"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厂区土石方工</w:t>
            </w:r>
            <w:r>
              <w:rPr>
                <w:rStyle w:val="41"/>
                <w:rFonts w:hint="eastAsia" w:ascii="Times New Roman" w:hAnsi="Times New Roman" w:eastAsia="宋体" w:cs="Times New Roman"/>
                <w:b w:val="0"/>
                <w:bCs w:val="0"/>
                <w:i w:val="0"/>
                <w:iCs w:val="0"/>
                <w:smallCaps w:val="0"/>
                <w:strike w:val="0"/>
                <w:color w:val="000000" w:themeColor="text1"/>
                <w:sz w:val="21"/>
                <w:szCs w:val="21"/>
                <w:lang w:eastAsia="zh-CN"/>
                <w14:textFill>
                  <w14:solidFill>
                    <w14:schemeClr w14:val="tx1"/>
                  </w14:solidFill>
                </w14:textFill>
              </w:rPr>
              <w:t>程量</w:t>
            </w:r>
          </w:p>
        </w:tc>
        <w:tc>
          <w:tcPr>
            <w:tcW w:w="125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挖方</w:t>
            </w:r>
          </w:p>
        </w:tc>
        <w:tc>
          <w:tcPr>
            <w:tcW w:w="166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万</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m</w:t>
            </w:r>
            <w:r>
              <w:rPr>
                <w:rStyle w:val="41"/>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zh-CN" w:bidi="en-US"/>
                <w14:textFill>
                  <w14:solidFill>
                    <w14:schemeClr w14:val="tx1"/>
                  </w14:solidFill>
                </w14:textFill>
              </w:rPr>
              <w:t>3</w:t>
            </w:r>
          </w:p>
        </w:tc>
        <w:tc>
          <w:tcPr>
            <w:tcW w:w="167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1.5</w:t>
            </w:r>
          </w:p>
        </w:tc>
        <w:tc>
          <w:tcPr>
            <w:tcW w:w="1675"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15" w:hRule="exact"/>
          <w:jc w:val="center"/>
        </w:trPr>
        <w:tc>
          <w:tcPr>
            <w:tcW w:w="823"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35" w:type="dxa"/>
            <w:vMerge w:val="continue"/>
            <w:tcBorders>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5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填方</w:t>
            </w:r>
          </w:p>
        </w:tc>
        <w:tc>
          <w:tcPr>
            <w:tcW w:w="166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万</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m</w:t>
            </w:r>
            <w:r>
              <w:rPr>
                <w:rStyle w:val="41"/>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en-US" w:bidi="en-US"/>
                <w14:textFill>
                  <w14:solidFill>
                    <w14:schemeClr w14:val="tx1"/>
                  </w14:solidFill>
                </w14:textFill>
              </w:rPr>
              <w:t>3</w:t>
            </w:r>
          </w:p>
        </w:tc>
        <w:tc>
          <w:tcPr>
            <w:tcW w:w="167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5</w:t>
            </w:r>
          </w:p>
        </w:tc>
        <w:tc>
          <w:tcPr>
            <w:tcW w:w="1675"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420" w:hRule="exact"/>
          <w:jc w:val="center"/>
        </w:trPr>
        <w:tc>
          <w:tcPr>
            <w:tcW w:w="82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11</w:t>
            </w:r>
          </w:p>
        </w:tc>
        <w:tc>
          <w:tcPr>
            <w:tcW w:w="248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厂区绿化用地面积</w:t>
            </w:r>
          </w:p>
        </w:tc>
        <w:tc>
          <w:tcPr>
            <w:tcW w:w="166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h</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m</w:t>
            </w:r>
            <w:r>
              <w:rPr>
                <w:rStyle w:val="41"/>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zh-CN" w:bidi="en-US"/>
                <w14:textFill>
                  <w14:solidFill>
                    <w14:schemeClr w14:val="tx1"/>
                  </w14:solidFill>
                </w14:textFill>
              </w:rPr>
              <w:t>2</w:t>
            </w:r>
          </w:p>
        </w:tc>
        <w:tc>
          <w:tcPr>
            <w:tcW w:w="167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0.996</w:t>
            </w:r>
          </w:p>
        </w:tc>
        <w:tc>
          <w:tcPr>
            <w:tcW w:w="1675"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70" w:hRule="exact"/>
          <w:jc w:val="center"/>
        </w:trPr>
        <w:tc>
          <w:tcPr>
            <w:tcW w:w="823"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w:t>
            </w:r>
          </w:p>
        </w:tc>
        <w:tc>
          <w:tcPr>
            <w:tcW w:w="2489" w:type="dxa"/>
            <w:gridSpan w:val="2"/>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厂区绿地率</w:t>
            </w:r>
          </w:p>
        </w:tc>
        <w:tc>
          <w:tcPr>
            <w:tcW w:w="1660"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679"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16</w:t>
            </w:r>
          </w:p>
        </w:tc>
        <w:tc>
          <w:tcPr>
            <w:tcW w:w="167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bl>
    <w:p>
      <w:pPr>
        <w:pStyle w:val="5"/>
        <w:keepNext w:val="0"/>
        <w:keepLines w:val="0"/>
        <w:pageBreakBefore w:val="0"/>
        <w:widowControl w:val="0"/>
        <w:shd w:val="clear" w:color="auto" w:fill="auto"/>
        <w:kinsoku/>
        <w:wordWrap/>
        <w:overflowPunct w:val="0"/>
        <w:topLinePunct w:val="0"/>
        <w:autoSpaceDE/>
        <w:autoSpaceDN/>
        <w:bidi w:val="0"/>
        <w:adjustRightInd/>
        <w:snapToGrid/>
        <w:spacing w:before="313" w:beforeLines="100"/>
        <w:textAlignment w:val="auto"/>
        <w:rPr>
          <w:rFonts w:hint="eastAsia" w:ascii="Times New Roman" w:hAnsi="Times New Roman"/>
          <w:color w:val="000000" w:themeColor="text1"/>
          <w:sz w:val="28"/>
          <w:szCs w:val="28"/>
          <w:lang w:val="en-US" w:eastAsia="en-US"/>
          <w14:textFill>
            <w14:solidFill>
              <w14:schemeClr w14:val="tx1"/>
            </w14:solidFill>
          </w14:textFill>
        </w:rPr>
      </w:pPr>
      <w:r>
        <w:rPr>
          <w:rFonts w:hint="eastAsia" w:ascii="Times New Roman" w:hAnsi="Times New Roman"/>
          <w:color w:val="000000" w:themeColor="text1"/>
          <w:sz w:val="28"/>
          <w:szCs w:val="28"/>
          <w:lang w:val="en-US" w:eastAsia="en-US"/>
          <w14:textFill>
            <w14:solidFill>
              <w14:schemeClr w14:val="tx1"/>
            </w14:solidFill>
          </w14:textFill>
        </w:rPr>
        <w:t>2.1.6</w:t>
      </w:r>
      <w:r>
        <w:rPr>
          <w:rFonts w:hint="eastAsia" w:ascii="Times New Roman" w:hAnsi="Times New Roman"/>
          <w:color w:val="000000" w:themeColor="text1"/>
          <w:sz w:val="28"/>
          <w:szCs w:val="28"/>
          <w:lang w:val="zh-CN" w:eastAsia="zh-CN"/>
          <w14:textFill>
            <w14:solidFill>
              <w14:schemeClr w14:val="tx1"/>
            </w14:solidFill>
          </w14:textFill>
        </w:rPr>
        <w:t>劳动定员</w:t>
      </w:r>
    </w:p>
    <w:p>
      <w:pPr>
        <w:shd w:val="clear" w:color="auto" w:fill="auto"/>
        <w:overflowPunct w:val="0"/>
        <w:spacing w:line="360" w:lineRule="auto"/>
        <w:ind w:firstLine="480" w:firstLineChars="200"/>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pP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本工程全厂定员180人。按5值3班倒考虑。</w:t>
      </w:r>
    </w:p>
    <w:p>
      <w:pPr>
        <w:pStyle w:val="5"/>
        <w:keepNext w:val="0"/>
        <w:keepLines w:val="0"/>
        <w:pageBreakBefore w:val="0"/>
        <w:widowControl w:val="0"/>
        <w:shd w:val="clear" w:color="auto" w:fill="auto"/>
        <w:kinsoku/>
        <w:wordWrap/>
        <w:overflowPunct w:val="0"/>
        <w:topLinePunct w:val="0"/>
        <w:autoSpaceDE/>
        <w:autoSpaceDN/>
        <w:bidi w:val="0"/>
        <w:adjustRightInd/>
        <w:snapToGrid/>
        <w:spacing w:before="0"/>
        <w:textAlignment w:val="auto"/>
        <w:rPr>
          <w:rFonts w:hint="default" w:ascii="Times New Roman" w:hAnsi="Times New Roman"/>
          <w:color w:val="000000" w:themeColor="text1"/>
          <w:sz w:val="28"/>
          <w:szCs w:val="28"/>
          <w:lang w:val="zh-CN" w:eastAsia="zh-CN"/>
          <w14:textFill>
            <w14:solidFill>
              <w14:schemeClr w14:val="tx1"/>
            </w14:solidFill>
          </w14:textFill>
        </w:rPr>
      </w:pPr>
      <w:r>
        <w:rPr>
          <w:rFonts w:hint="default" w:ascii="Times New Roman" w:hAnsi="Times New Roman"/>
          <w:color w:val="000000" w:themeColor="text1"/>
          <w:sz w:val="28"/>
          <w:szCs w:val="28"/>
          <w:lang w:val="en-US" w:eastAsia="zh-CN"/>
          <w14:textFill>
            <w14:solidFill>
              <w14:schemeClr w14:val="tx1"/>
            </w14:solidFill>
          </w14:textFill>
        </w:rPr>
        <w:t>2</w:t>
      </w:r>
      <w:r>
        <w:rPr>
          <w:rFonts w:hint="default" w:ascii="Times New Roman" w:hAnsi="Times New Roman"/>
          <w:color w:val="000000" w:themeColor="text1"/>
          <w:sz w:val="28"/>
          <w:szCs w:val="28"/>
          <w:lang w:val="en-US" w:eastAsia="en-US"/>
          <w14:textFill>
            <w14:solidFill>
              <w14:schemeClr w14:val="tx1"/>
            </w14:solidFill>
          </w14:textFill>
        </w:rPr>
        <w:t>.1.</w:t>
      </w:r>
      <w:r>
        <w:rPr>
          <w:rFonts w:hint="eastAsia" w:ascii="Times New Roman" w:hAnsi="Times New Roman"/>
          <w:color w:val="000000" w:themeColor="text1"/>
          <w:sz w:val="28"/>
          <w:szCs w:val="28"/>
          <w:lang w:val="en-US" w:eastAsia="zh-CN"/>
          <w14:textFill>
            <w14:solidFill>
              <w14:schemeClr w14:val="tx1"/>
            </w14:solidFill>
          </w14:textFill>
        </w:rPr>
        <w:t>7</w:t>
      </w:r>
      <w:r>
        <w:rPr>
          <w:rFonts w:hint="default" w:ascii="Times New Roman" w:hAnsi="Times New Roman"/>
          <w:color w:val="000000" w:themeColor="text1"/>
          <w:sz w:val="28"/>
          <w:szCs w:val="28"/>
          <w:lang w:val="zh-CN" w:eastAsia="zh-CN"/>
          <w14:textFill>
            <w14:solidFill>
              <w14:schemeClr w14:val="tx1"/>
            </w14:solidFill>
          </w14:textFill>
        </w:rPr>
        <w:t>装机方案</w:t>
      </w:r>
    </w:p>
    <w:p>
      <w:pPr>
        <w:shd w:val="clear" w:color="auto" w:fill="auto"/>
        <w:overflowPunct w:val="0"/>
        <w:spacing w:line="360" w:lineRule="auto"/>
        <w:ind w:firstLine="480" w:firstLineChars="200"/>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pP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本项目</w:t>
      </w:r>
      <w:r>
        <w:rPr>
          <w:rFonts w:hint="eastAsia" w:ascii="Times New Roman" w:hAnsi="Times New Roman" w:eastAsia="宋体" w:cs="Times New Roman"/>
          <w:color w:val="000000" w:themeColor="text1"/>
          <w:w w:val="100"/>
          <w:position w:val="0"/>
          <w:lang w:val="en-US" w:eastAsia="en-US" w:bidi="zh-CN"/>
          <w14:textFill>
            <w14:solidFill>
              <w14:schemeClr w14:val="tx1"/>
            </w14:solidFill>
          </w14:textFill>
        </w:rPr>
        <w:t>25</w:t>
      </w: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MW背压机组汽轮机参数见表</w:t>
      </w:r>
      <w:r>
        <w:rPr>
          <w:rFonts w:hint="eastAsia" w:ascii="Times New Roman" w:hAnsi="Times New Roman" w:eastAsia="宋体" w:cs="Times New Roman"/>
          <w:color w:val="000000" w:themeColor="text1"/>
          <w:w w:val="100"/>
          <w:position w:val="0"/>
          <w:lang w:val="en-US" w:eastAsia="en-US" w:bidi="zh-CN"/>
          <w14:textFill>
            <w14:solidFill>
              <w14:schemeClr w14:val="tx1"/>
            </w14:solidFill>
          </w14:textFill>
        </w:rPr>
        <w:t>2.</w:t>
      </w: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l</w:t>
      </w:r>
      <w:r>
        <w:rPr>
          <w:rFonts w:hint="eastAsia" w:ascii="Times New Roman" w:hAnsi="Times New Roman" w:eastAsia="宋体" w:cs="Times New Roman"/>
          <w:color w:val="000000" w:themeColor="text1"/>
          <w:w w:val="100"/>
          <w:position w:val="0"/>
          <w:lang w:val="en-US" w:eastAsia="en-US" w:bidi="zh-CN"/>
          <w14:textFill>
            <w14:solidFill>
              <w14:schemeClr w14:val="tx1"/>
            </w14:solidFill>
          </w14:textFill>
        </w:rPr>
        <w:t>-3</w:t>
      </w:r>
      <w:r>
        <w:rPr>
          <w:rFonts w:hint="eastAsia" w:eastAsia="宋体" w:cs="Times New Roman"/>
          <w:color w:val="000000" w:themeColor="text1"/>
          <w:w w:val="100"/>
          <w:position w:val="0"/>
          <w:lang w:val="zh-CN" w:eastAsia="zh-CN" w:bidi="zh-CN"/>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2.</w:t>
      </w:r>
      <w:r>
        <w:rPr>
          <w:rFonts w:hint="eastAsia" w:eastAsia="黑体" w:cs="Times New Roman"/>
          <w:color w:val="000000" w:themeColor="text1"/>
          <w:spacing w:val="0"/>
          <w:w w:val="100"/>
          <w:position w:val="0"/>
          <w:sz w:val="21"/>
          <w:szCs w:val="21"/>
          <w:lang w:val="en-US" w:eastAsia="zh-CN" w:bidi="zh-CN"/>
          <w14:textFill>
            <w14:solidFill>
              <w14:schemeClr w14:val="tx1"/>
            </w14:solidFill>
          </w14:textFill>
        </w:rPr>
        <w:t>1</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-3</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ab/>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本工程</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25MW</w:t>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背压机组汽轮机参数</w:t>
      </w:r>
    </w:p>
    <w:tbl>
      <w:tblPr>
        <w:tblStyle w:val="2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7"/>
        <w:gridCol w:w="5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7"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项目</w:t>
            </w:r>
          </w:p>
        </w:tc>
        <w:tc>
          <w:tcPr>
            <w:tcW w:w="5395"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7"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额定功率：</w:t>
            </w:r>
          </w:p>
        </w:tc>
        <w:tc>
          <w:tcPr>
            <w:tcW w:w="5395"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25MW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7"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额定主蒸汽流量：</w:t>
            </w:r>
          </w:p>
        </w:tc>
        <w:tc>
          <w:tcPr>
            <w:tcW w:w="5395" w:type="dxa"/>
            <w:vAlign w:val="center"/>
          </w:tcPr>
          <w:p>
            <w:pPr>
              <w:jc w:val="center"/>
              <w:rPr>
                <w:bCs/>
                <w:color w:val="000000" w:themeColor="text1"/>
                <w:sz w:val="21"/>
                <w:szCs w:val="21"/>
                <w14:textFill>
                  <w14:solidFill>
                    <w14:schemeClr w14:val="tx1"/>
                  </w14:solidFill>
                </w14:textFill>
              </w:rPr>
            </w:pPr>
            <w:r>
              <w:rPr>
                <w:rFonts w:hint="eastAsia" w:eastAsiaTheme="minorEastAsia"/>
                <w:bCs/>
                <w:color w:val="000000" w:themeColor="text1"/>
                <w:sz w:val="21"/>
                <w:szCs w:val="21"/>
                <w14:textFill>
                  <w14:solidFill>
                    <w14:schemeClr w14:val="tx1"/>
                  </w14:solidFill>
                </w14:textFill>
              </w:rPr>
              <w:t>260</w:t>
            </w:r>
            <w:r>
              <w:rPr>
                <w:bCs/>
                <w:color w:val="000000" w:themeColor="text1"/>
                <w:sz w:val="21"/>
                <w:szCs w:val="21"/>
                <w14:textFill>
                  <w14:solidFill>
                    <w14:schemeClr w14:val="tx1"/>
                  </w14:solidFill>
                </w14:textFill>
              </w:rPr>
              <w:t>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7"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主汽门前额定蒸汽压力：</w:t>
            </w:r>
          </w:p>
        </w:tc>
        <w:tc>
          <w:tcPr>
            <w:tcW w:w="5395"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8.83MPa(a)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7"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主汽门前额定蒸汽温度：</w:t>
            </w:r>
          </w:p>
        </w:tc>
        <w:tc>
          <w:tcPr>
            <w:tcW w:w="5395"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7"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额定排汽流量：</w:t>
            </w:r>
          </w:p>
        </w:tc>
        <w:tc>
          <w:tcPr>
            <w:tcW w:w="5395" w:type="dxa"/>
            <w:vAlign w:val="center"/>
          </w:tcPr>
          <w:p>
            <w:pPr>
              <w:jc w:val="center"/>
              <w:rPr>
                <w:bCs/>
                <w:color w:val="000000" w:themeColor="text1"/>
                <w:sz w:val="21"/>
                <w:szCs w:val="21"/>
                <w14:textFill>
                  <w14:solidFill>
                    <w14:schemeClr w14:val="tx1"/>
                  </w14:solidFill>
                </w14:textFill>
              </w:rPr>
            </w:pPr>
            <w:r>
              <w:rPr>
                <w:rFonts w:hint="eastAsia" w:eastAsiaTheme="minorEastAsia"/>
                <w:bCs/>
                <w:color w:val="000000" w:themeColor="text1"/>
                <w:sz w:val="21"/>
                <w:szCs w:val="21"/>
                <w14:textFill>
                  <w14:solidFill>
                    <w14:schemeClr w14:val="tx1"/>
                  </w14:solidFill>
                </w14:textFill>
              </w:rPr>
              <w:t>241.816</w:t>
            </w:r>
            <w:r>
              <w:rPr>
                <w:bCs/>
                <w:color w:val="000000" w:themeColor="text1"/>
                <w:sz w:val="21"/>
                <w:szCs w:val="21"/>
                <w14:textFill>
                  <w14:solidFill>
                    <w14:schemeClr w14:val="tx1"/>
                  </w14:solidFill>
                </w14:textFill>
              </w:rPr>
              <w:t>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7"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额定排汽压力:</w:t>
            </w:r>
          </w:p>
        </w:tc>
        <w:tc>
          <w:tcPr>
            <w:tcW w:w="5395" w:type="dxa"/>
            <w:vAlign w:val="center"/>
          </w:tcPr>
          <w:p>
            <w:pPr>
              <w:jc w:val="center"/>
              <w:rPr>
                <w:bCs/>
                <w:color w:val="000000" w:themeColor="text1"/>
                <w:sz w:val="21"/>
                <w:szCs w:val="21"/>
                <w14:textFill>
                  <w14:solidFill>
                    <w14:schemeClr w14:val="tx1"/>
                  </w14:solidFill>
                </w14:textFill>
              </w:rPr>
            </w:pPr>
            <w:r>
              <w:rPr>
                <w:rFonts w:hint="eastAsia" w:eastAsiaTheme="minorEastAsia"/>
                <w:bCs/>
                <w:color w:val="000000" w:themeColor="text1"/>
                <w:sz w:val="21"/>
                <w:szCs w:val="21"/>
                <w14:textFill>
                  <w14:solidFill>
                    <w14:schemeClr w14:val="tx1"/>
                  </w14:solidFill>
                </w14:textFill>
              </w:rPr>
              <w:t>1.5</w:t>
            </w:r>
            <w:r>
              <w:rPr>
                <w:bCs/>
                <w:color w:val="000000" w:themeColor="text1"/>
                <w:sz w:val="21"/>
                <w:szCs w:val="21"/>
                <w14:textFill>
                  <w14:solidFill>
                    <w14:schemeClr w14:val="tx1"/>
                  </w14:solidFill>
                </w14:textFill>
              </w:rPr>
              <w:t>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7"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设计冷却水温度：</w:t>
            </w:r>
          </w:p>
        </w:tc>
        <w:tc>
          <w:tcPr>
            <w:tcW w:w="5395"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7"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额定转速：</w:t>
            </w:r>
          </w:p>
        </w:tc>
        <w:tc>
          <w:tcPr>
            <w:tcW w:w="5395"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3000r/min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7"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运行方式：</w:t>
            </w:r>
          </w:p>
        </w:tc>
        <w:tc>
          <w:tcPr>
            <w:tcW w:w="5395"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机组能以滑压和定压方式启动，滑压运行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7"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回热级数：</w:t>
            </w:r>
          </w:p>
        </w:tc>
        <w:tc>
          <w:tcPr>
            <w:tcW w:w="5395"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3（2级高加+1级除氧）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7"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调节系统型式：</w:t>
            </w:r>
          </w:p>
        </w:tc>
        <w:tc>
          <w:tcPr>
            <w:tcW w:w="5395"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电调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27"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给水泵驱动形式</w:t>
            </w:r>
          </w:p>
        </w:tc>
        <w:tc>
          <w:tcPr>
            <w:tcW w:w="5395" w:type="dxa"/>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汽动+电动</w:t>
            </w:r>
          </w:p>
        </w:tc>
      </w:tr>
    </w:tbl>
    <w:p>
      <w:pPr>
        <w:pStyle w:val="5"/>
        <w:keepNext w:val="0"/>
        <w:keepLines w:val="0"/>
        <w:pageBreakBefore w:val="0"/>
        <w:widowControl w:val="0"/>
        <w:shd w:val="clear" w:color="auto" w:fill="auto"/>
        <w:kinsoku/>
        <w:wordWrap/>
        <w:overflowPunct w:val="0"/>
        <w:topLinePunct w:val="0"/>
        <w:autoSpaceDE/>
        <w:autoSpaceDN/>
        <w:bidi w:val="0"/>
        <w:adjustRightInd/>
        <w:snapToGrid/>
        <w:spacing w:before="313" w:beforeLines="100"/>
        <w:textAlignment w:val="auto"/>
        <w:rPr>
          <w:rFonts w:hint="eastAsia" w:ascii="Times New Roman" w:hAnsi="Times New Roman"/>
          <w:color w:val="000000" w:themeColor="text1"/>
          <w:sz w:val="28"/>
          <w:szCs w:val="28"/>
          <w:lang w:val="en-US" w:eastAsia="zh-CN"/>
          <w14:textFill>
            <w14:solidFill>
              <w14:schemeClr w14:val="tx1"/>
            </w14:solidFill>
          </w14:textFill>
        </w:rPr>
      </w:pPr>
      <w:r>
        <w:rPr>
          <w:rFonts w:hint="eastAsia" w:ascii="Times New Roman" w:hAnsi="Times New Roman"/>
          <w:color w:val="000000" w:themeColor="text1"/>
          <w:sz w:val="28"/>
          <w:szCs w:val="28"/>
          <w:lang w:val="en-US" w:eastAsia="zh-CN"/>
          <w14:textFill>
            <w14:solidFill>
              <w14:schemeClr w14:val="tx1"/>
            </w14:solidFill>
          </w14:textFill>
        </w:rPr>
        <w:t>2</w:t>
      </w:r>
      <w:r>
        <w:rPr>
          <w:rFonts w:hint="eastAsia" w:ascii="Times New Roman" w:hAnsi="Times New Roman"/>
          <w:color w:val="000000" w:themeColor="text1"/>
          <w:sz w:val="28"/>
          <w:szCs w:val="28"/>
          <w:lang w:val="en-US" w:eastAsia="en-US"/>
          <w14:textFill>
            <w14:solidFill>
              <w14:schemeClr w14:val="tx1"/>
            </w14:solidFill>
          </w14:textFill>
        </w:rPr>
        <w:t xml:space="preserve"> 1.</w:t>
      </w:r>
      <w:r>
        <w:rPr>
          <w:rFonts w:hint="eastAsia"/>
          <w:color w:val="000000" w:themeColor="text1"/>
          <w:sz w:val="28"/>
          <w:szCs w:val="28"/>
          <w:lang w:val="en-US" w:eastAsia="zh-CN"/>
          <w14:textFill>
            <w14:solidFill>
              <w14:schemeClr w14:val="tx1"/>
            </w14:solidFill>
          </w14:textFill>
        </w:rPr>
        <w:t>8</w:t>
      </w:r>
      <w:r>
        <w:rPr>
          <w:rFonts w:hint="eastAsia" w:ascii="Times New Roman" w:hAnsi="Times New Roman"/>
          <w:color w:val="000000" w:themeColor="text1"/>
          <w:sz w:val="28"/>
          <w:szCs w:val="28"/>
          <w:lang w:val="zh-CN" w:eastAsia="zh-CN"/>
          <w14:textFill>
            <w14:solidFill>
              <w14:schemeClr w14:val="tx1"/>
            </w14:solidFill>
          </w14:textFill>
        </w:rPr>
        <w:t>发电机</w:t>
      </w:r>
    </w:p>
    <w:p>
      <w:pPr>
        <w:shd w:val="clear" w:color="auto" w:fill="auto"/>
        <w:overflowPunct w:val="0"/>
        <w:spacing w:line="360" w:lineRule="auto"/>
        <w:ind w:firstLine="480" w:firstLineChars="200"/>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pP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本工程发电机技术参数见表</w:t>
      </w:r>
      <w:r>
        <w:rPr>
          <w:rFonts w:hint="eastAsia" w:ascii="Times New Roman" w:hAnsi="Times New Roman" w:eastAsia="宋体" w:cs="Times New Roman"/>
          <w:color w:val="000000" w:themeColor="text1"/>
          <w:w w:val="100"/>
          <w:position w:val="0"/>
          <w:lang w:val="en-US" w:eastAsia="en-US" w:bidi="zh-CN"/>
          <w14:textFill>
            <w14:solidFill>
              <w14:schemeClr w14:val="tx1"/>
            </w14:solidFill>
          </w14:textFill>
        </w:rPr>
        <w:t>2.</w:t>
      </w: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1-4。</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2.1-4</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ab/>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本工程发电机技术参数表</w:t>
      </w:r>
    </w:p>
    <w:tbl>
      <w:tblPr>
        <w:tblStyle w:val="2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3"/>
        <w:gridCol w:w="5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型式：</w:t>
            </w:r>
          </w:p>
        </w:tc>
        <w:tc>
          <w:tcPr>
            <w:tcW w:w="55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三相两极同步发电机，采用空冷冷却方式，励磁方式采用自并励静止励磁系统。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额定功率（最大功率）：</w:t>
            </w:r>
          </w:p>
        </w:tc>
        <w:tc>
          <w:tcPr>
            <w:tcW w:w="55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eastAsia" w:eastAsia="宋体" w:cs="Times New Roman"/>
                <w:b w:val="0"/>
                <w:bCs/>
                <w:color w:val="000000" w:themeColor="text1"/>
                <w:sz w:val="21"/>
                <w:szCs w:val="21"/>
                <w:lang w:val="en-US" w:eastAsia="zh-CN"/>
                <w14:textFill>
                  <w14:solidFill>
                    <w14:schemeClr w14:val="tx1"/>
                  </w14:solidFill>
                </w14:textFill>
              </w:rPr>
              <w:t>25</w:t>
            </w:r>
            <w:r>
              <w:rPr>
                <w:rFonts w:hint="default" w:ascii="Times New Roman" w:hAnsi="Times New Roman" w:cs="Times New Roman"/>
                <w:b w:val="0"/>
                <w:bCs/>
                <w:color w:val="000000" w:themeColor="text1"/>
                <w:sz w:val="21"/>
                <w:szCs w:val="21"/>
                <w14:textFill>
                  <w14:solidFill>
                    <w14:schemeClr w14:val="tx1"/>
                  </w14:solidFill>
                </w14:textFill>
              </w:rPr>
              <w:t>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额定电压：</w:t>
            </w:r>
          </w:p>
        </w:tc>
        <w:tc>
          <w:tcPr>
            <w:tcW w:w="55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10500V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额定功率因素：</w:t>
            </w:r>
          </w:p>
        </w:tc>
        <w:tc>
          <w:tcPr>
            <w:tcW w:w="55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0.8（迟相）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额定频率：</w:t>
            </w:r>
          </w:p>
        </w:tc>
        <w:tc>
          <w:tcPr>
            <w:tcW w:w="55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额定转速：</w:t>
            </w:r>
          </w:p>
        </w:tc>
        <w:tc>
          <w:tcPr>
            <w:tcW w:w="55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3000r</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14:textFill>
                  <w14:solidFill>
                    <w14:schemeClr w14:val="tx1"/>
                  </w14:solidFill>
                </w14:textFill>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相数：</w:t>
            </w:r>
          </w:p>
        </w:tc>
        <w:tc>
          <w:tcPr>
            <w:tcW w:w="55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短路比(保证值)：</w:t>
            </w:r>
          </w:p>
        </w:tc>
        <w:tc>
          <w:tcPr>
            <w:tcW w:w="55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效率(保证值)：</w:t>
            </w:r>
          </w:p>
        </w:tc>
        <w:tc>
          <w:tcPr>
            <w:tcW w:w="55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97.6</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冷却方式：</w:t>
            </w:r>
          </w:p>
        </w:tc>
        <w:tc>
          <w:tcPr>
            <w:tcW w:w="55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空冷</w:t>
            </w:r>
          </w:p>
        </w:tc>
      </w:tr>
    </w:tbl>
    <w:p>
      <w:pPr>
        <w:pStyle w:val="5"/>
        <w:keepNext w:val="0"/>
        <w:keepLines w:val="0"/>
        <w:pageBreakBefore w:val="0"/>
        <w:widowControl w:val="0"/>
        <w:shd w:val="clear" w:color="auto" w:fill="auto"/>
        <w:kinsoku/>
        <w:wordWrap/>
        <w:overflowPunct w:val="0"/>
        <w:topLinePunct w:val="0"/>
        <w:autoSpaceDE/>
        <w:autoSpaceDN/>
        <w:bidi w:val="0"/>
        <w:adjustRightInd/>
        <w:snapToGrid/>
        <w:spacing w:before="313" w:beforeLines="100"/>
        <w:textAlignment w:val="auto"/>
        <w:rPr>
          <w:rFonts w:hint="eastAsia" w:ascii="Times New Roman" w:hAnsi="Times New Roman"/>
          <w:color w:val="000000" w:themeColor="text1"/>
          <w:sz w:val="28"/>
          <w:szCs w:val="28"/>
          <w:lang w:val="en-US" w:eastAsia="zh-CN"/>
          <w14:textFill>
            <w14:solidFill>
              <w14:schemeClr w14:val="tx1"/>
            </w14:solidFill>
          </w14:textFill>
        </w:rPr>
      </w:pPr>
      <w:r>
        <w:rPr>
          <w:rFonts w:hint="eastAsia" w:ascii="Times New Roman" w:hAnsi="Times New Roman"/>
          <w:color w:val="000000" w:themeColor="text1"/>
          <w:sz w:val="28"/>
          <w:szCs w:val="28"/>
          <w:lang w:val="en-US" w:eastAsia="en-US"/>
          <w14:textFill>
            <w14:solidFill>
              <w14:schemeClr w14:val="tx1"/>
            </w14:solidFill>
          </w14:textFill>
        </w:rPr>
        <w:t>2.1.</w:t>
      </w:r>
      <w:r>
        <w:rPr>
          <w:rFonts w:hint="eastAsia"/>
          <w:color w:val="000000" w:themeColor="text1"/>
          <w:sz w:val="28"/>
          <w:szCs w:val="28"/>
          <w:lang w:val="en-US" w:eastAsia="zh-CN"/>
          <w14:textFill>
            <w14:solidFill>
              <w14:schemeClr w14:val="tx1"/>
            </w14:solidFill>
          </w14:textFill>
        </w:rPr>
        <w:t>9</w:t>
      </w:r>
      <w:r>
        <w:rPr>
          <w:rFonts w:hint="eastAsia" w:ascii="Times New Roman" w:hAnsi="Times New Roman"/>
          <w:color w:val="000000" w:themeColor="text1"/>
          <w:sz w:val="28"/>
          <w:szCs w:val="28"/>
          <w:lang w:val="zh-CN" w:eastAsia="zh-CN"/>
          <w14:textFill>
            <w14:solidFill>
              <w14:schemeClr w14:val="tx1"/>
            </w14:solidFill>
          </w14:textFill>
        </w:rPr>
        <w:t>锅炉</w:t>
      </w:r>
    </w:p>
    <w:p>
      <w:pPr>
        <w:shd w:val="clear" w:color="auto" w:fill="auto"/>
        <w:overflowPunct w:val="0"/>
        <w:spacing w:line="360" w:lineRule="auto"/>
        <w:ind w:firstLine="480" w:firstLineChars="200"/>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pP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本工程水煤浆锅炉参数见表</w:t>
      </w:r>
      <w:r>
        <w:rPr>
          <w:rFonts w:hint="eastAsia" w:ascii="Times New Roman" w:hAnsi="Times New Roman" w:eastAsia="宋体" w:cs="Times New Roman"/>
          <w:color w:val="000000" w:themeColor="text1"/>
          <w:w w:val="100"/>
          <w:position w:val="0"/>
          <w:lang w:val="en-US" w:eastAsia="en-US" w:bidi="zh-CN"/>
          <w14:textFill>
            <w14:solidFill>
              <w14:schemeClr w14:val="tx1"/>
            </w14:solidFill>
          </w14:textFill>
        </w:rPr>
        <w:t>2.1-5</w:t>
      </w: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和表</w:t>
      </w:r>
      <w:r>
        <w:rPr>
          <w:rFonts w:hint="eastAsia" w:ascii="Times New Roman" w:hAnsi="Times New Roman" w:eastAsia="宋体" w:cs="Times New Roman"/>
          <w:color w:val="000000" w:themeColor="text1"/>
          <w:w w:val="100"/>
          <w:position w:val="0"/>
          <w:lang w:val="en-US" w:eastAsia="en-US" w:bidi="zh-CN"/>
          <w14:textFill>
            <w14:solidFill>
              <w14:schemeClr w14:val="tx1"/>
            </w14:solidFill>
          </w14:textFill>
        </w:rPr>
        <w:t>2.</w:t>
      </w:r>
      <w:r>
        <w:rPr>
          <w:rFonts w:hint="eastAsia" w:ascii="Times New Roman" w:hAnsi="Times New Roman" w:eastAsia="宋体" w:cs="Times New Roman"/>
          <w:color w:val="000000" w:themeColor="text1"/>
          <w:w w:val="100"/>
          <w:position w:val="0"/>
          <w:lang w:val="zh-CN" w:eastAsia="zh-CN" w:bidi="zh-CN"/>
          <w14:textFill>
            <w14:solidFill>
              <w14:schemeClr w14:val="tx1"/>
            </w14:solidFill>
          </w14:textFill>
        </w:rPr>
        <w:t>1-6。</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2.1-5</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ab/>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本工程1</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30t/h</w:t>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水煤浆锅炉参数表</w:t>
      </w:r>
    </w:p>
    <w:tbl>
      <w:tblPr>
        <w:tblStyle w:val="2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2"/>
        <w:gridCol w:w="3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项目</w:t>
            </w:r>
          </w:p>
        </w:tc>
        <w:tc>
          <w:tcPr>
            <w:tcW w:w="36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锅炉最大连续蒸发量</w:t>
            </w:r>
          </w:p>
        </w:tc>
        <w:tc>
          <w:tcPr>
            <w:tcW w:w="36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130t/h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过热器出口蒸汽压力</w:t>
            </w:r>
          </w:p>
        </w:tc>
        <w:tc>
          <w:tcPr>
            <w:tcW w:w="36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9.81MPa(g)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过热器出口蒸汽温度</w:t>
            </w:r>
          </w:p>
        </w:tc>
        <w:tc>
          <w:tcPr>
            <w:tcW w:w="36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省煤器进口给水温度</w:t>
            </w:r>
          </w:p>
        </w:tc>
        <w:tc>
          <w:tcPr>
            <w:tcW w:w="36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空气预热器进风温度</w:t>
            </w:r>
          </w:p>
        </w:tc>
        <w:tc>
          <w:tcPr>
            <w:tcW w:w="36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排烟温度</w:t>
            </w:r>
          </w:p>
        </w:tc>
        <w:tc>
          <w:tcPr>
            <w:tcW w:w="36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锅炉保证效率</w:t>
            </w:r>
          </w:p>
        </w:tc>
        <w:tc>
          <w:tcPr>
            <w:tcW w:w="36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锅炉NOx最低排放浓度</w:t>
            </w:r>
          </w:p>
        </w:tc>
        <w:tc>
          <w:tcPr>
            <w:tcW w:w="36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r>
              <w:rPr>
                <w:rFonts w:hint="eastAsia" w:eastAsiaTheme="minorEastAsia"/>
                <w:bCs/>
                <w:color w:val="000000" w:themeColor="text1"/>
                <w:sz w:val="21"/>
                <w:szCs w:val="21"/>
                <w14:textFill>
                  <w14:solidFill>
                    <w14:schemeClr w14:val="tx1"/>
                  </w14:solidFill>
                </w14:textFill>
              </w:rPr>
              <w:t>5</w:t>
            </w:r>
            <w:r>
              <w:rPr>
                <w:bCs/>
                <w:color w:val="000000" w:themeColor="text1"/>
                <w:sz w:val="21"/>
                <w:szCs w:val="21"/>
                <w14:textFill>
                  <w14:solidFill>
                    <w14:schemeClr w14:val="tx1"/>
                  </w14:solidFill>
                </w14:textFill>
              </w:rPr>
              <w:t>0mg/Nm³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不投油稳燃负荷</w:t>
            </w:r>
          </w:p>
        </w:tc>
        <w:tc>
          <w:tcPr>
            <w:tcW w:w="36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30%额定负荷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台数</w:t>
            </w:r>
          </w:p>
        </w:tc>
        <w:tc>
          <w:tcPr>
            <w:tcW w:w="36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w:t>
            </w:r>
          </w:p>
        </w:tc>
      </w:tr>
    </w:tbl>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2.1-6</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ab/>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本工程</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220t/h</w:t>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水煤浆锅炉参数表</w:t>
      </w:r>
    </w:p>
    <w:tbl>
      <w:tblPr>
        <w:tblStyle w:val="2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bookmarkStart w:id="75" w:name="bookmark10"/>
            <w:r>
              <w:rPr>
                <w:rFonts w:hint="default" w:ascii="Times New Roman" w:hAnsi="Times New Roman" w:cs="Times New Roman"/>
                <w:b w:val="0"/>
                <w:bCs/>
                <w:color w:val="000000" w:themeColor="text1"/>
                <w:sz w:val="21"/>
                <w:szCs w:val="21"/>
                <w14:textFill>
                  <w14:solidFill>
                    <w14:schemeClr w14:val="tx1"/>
                  </w14:solidFill>
                </w14:textFill>
              </w:rPr>
              <w:t>项目</w:t>
            </w:r>
          </w:p>
        </w:tc>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锅炉最大连续蒸发量</w:t>
            </w:r>
          </w:p>
        </w:tc>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220t/h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过热器出口蒸汽压力</w:t>
            </w:r>
          </w:p>
        </w:tc>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9.81MPa(g)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过热器出口蒸汽温度</w:t>
            </w:r>
          </w:p>
        </w:tc>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省煤器进口给水温度</w:t>
            </w:r>
          </w:p>
        </w:tc>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空气预热器进风温度</w:t>
            </w:r>
          </w:p>
        </w:tc>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排烟温度</w:t>
            </w:r>
          </w:p>
        </w:tc>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锅炉保证效率</w:t>
            </w:r>
          </w:p>
        </w:tc>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锅炉NOx最低排放浓度</w:t>
            </w:r>
          </w:p>
        </w:tc>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r>
              <w:rPr>
                <w:rFonts w:hint="eastAsia" w:eastAsiaTheme="minorEastAsia"/>
                <w:bCs/>
                <w:color w:val="000000" w:themeColor="text1"/>
                <w:sz w:val="21"/>
                <w:szCs w:val="21"/>
                <w14:textFill>
                  <w14:solidFill>
                    <w14:schemeClr w14:val="tx1"/>
                  </w14:solidFill>
                </w14:textFill>
              </w:rPr>
              <w:t>5</w:t>
            </w:r>
            <w:r>
              <w:rPr>
                <w:bCs/>
                <w:color w:val="000000" w:themeColor="text1"/>
                <w:sz w:val="21"/>
                <w:szCs w:val="21"/>
                <w14:textFill>
                  <w14:solidFill>
                    <w14:schemeClr w14:val="tx1"/>
                  </w14:solidFill>
                </w14:textFill>
              </w:rPr>
              <w:t>0mg/Nm³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不投油稳燃负荷</w:t>
            </w:r>
          </w:p>
        </w:tc>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30%额定负荷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台数</w:t>
            </w:r>
          </w:p>
        </w:tc>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w:t>
            </w:r>
          </w:p>
        </w:tc>
      </w:tr>
    </w:tbl>
    <w:p>
      <w:pPr>
        <w:pStyle w:val="5"/>
        <w:keepNext w:val="0"/>
        <w:keepLines w:val="0"/>
        <w:pageBreakBefore w:val="0"/>
        <w:widowControl w:val="0"/>
        <w:shd w:val="clear" w:color="auto" w:fill="auto"/>
        <w:kinsoku/>
        <w:wordWrap/>
        <w:overflowPunct w:val="0"/>
        <w:topLinePunct w:val="0"/>
        <w:autoSpaceDE/>
        <w:autoSpaceDN/>
        <w:bidi w:val="0"/>
        <w:adjustRightInd/>
        <w:snapToGrid/>
        <w:spacing w:before="313" w:beforeLines="100"/>
        <w:textAlignment w:val="auto"/>
        <w:rPr>
          <w:rFonts w:hint="eastAsia" w:ascii="Times New Roman" w:hAnsi="Times New Roman" w:eastAsia="宋体"/>
          <w:color w:val="000000" w:themeColor="text1"/>
          <w:sz w:val="28"/>
          <w:szCs w:val="28"/>
          <w:lang w:val="en-US" w:eastAsia="zh-CN"/>
          <w14:textFill>
            <w14:solidFill>
              <w14:schemeClr w14:val="tx1"/>
            </w14:solidFill>
          </w14:textFill>
        </w:rPr>
      </w:pPr>
      <w:r>
        <w:rPr>
          <w:rFonts w:hint="eastAsia" w:ascii="Times New Roman" w:hAnsi="Times New Roman"/>
          <w:color w:val="000000" w:themeColor="text1"/>
          <w:sz w:val="28"/>
          <w:szCs w:val="28"/>
          <w:lang w:val="en-US" w:eastAsia="en-US"/>
          <w14:textFill>
            <w14:solidFill>
              <w14:schemeClr w14:val="tx1"/>
            </w14:solidFill>
          </w14:textFill>
        </w:rPr>
        <w:t>2.1.10</w:t>
      </w:r>
      <w:r>
        <w:rPr>
          <w:rFonts w:hint="eastAsia"/>
          <w:color w:val="000000" w:themeColor="text1"/>
          <w:sz w:val="28"/>
          <w:szCs w:val="28"/>
          <w:lang w:val="en-US" w:eastAsia="zh-CN"/>
          <w14:textFill>
            <w14:solidFill>
              <w14:schemeClr w14:val="tx1"/>
            </w14:solidFill>
          </w14:textFill>
        </w:rPr>
        <w:t>公用工程</w:t>
      </w:r>
    </w:p>
    <w:p>
      <w:pPr>
        <w:overflowPunct w:val="0"/>
        <w:spacing w:line="360" w:lineRule="auto"/>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w:t>
      </w:r>
      <w:r>
        <w:rPr>
          <w:rFonts w:hint="eastAsia" w:eastAsia="宋体"/>
          <w:color w:val="000000" w:themeColor="text1"/>
          <w:lang w:val="en-US"/>
          <w14:textFill>
            <w14:solidFill>
              <w14:schemeClr w14:val="tx1"/>
            </w14:solidFill>
          </w14:textFill>
        </w:rPr>
        <w:t>1</w:t>
      </w:r>
      <w:r>
        <w:rPr>
          <w:rFonts w:hint="eastAsia" w:eastAsia="宋体"/>
          <w:color w:val="000000" w:themeColor="text1"/>
          <w14:textFill>
            <w14:solidFill>
              <w14:schemeClr w14:val="tx1"/>
            </w14:solidFill>
          </w14:textFill>
        </w:rPr>
        <w:t>）水源：本工程生产和生活用水均来自克拉玛依高新技术产业开发区市政自来水管网，并接至厂区围墙外1m。</w:t>
      </w:r>
    </w:p>
    <w:p>
      <w:pPr>
        <w:overflowPunct w:val="0"/>
        <w:spacing w:line="360" w:lineRule="auto"/>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w:t>
      </w:r>
      <w:r>
        <w:rPr>
          <w:rFonts w:hint="eastAsia" w:eastAsia="宋体"/>
          <w:color w:val="000000" w:themeColor="text1"/>
          <w:lang w:val="en-US"/>
          <w14:textFill>
            <w14:solidFill>
              <w14:schemeClr w14:val="tx1"/>
            </w14:solidFill>
          </w14:textFill>
        </w:rPr>
        <w:t>2</w:t>
      </w:r>
      <w:r>
        <w:rPr>
          <w:rFonts w:hint="eastAsia" w:eastAsia="宋体"/>
          <w:color w:val="000000" w:themeColor="text1"/>
          <w14:textFill>
            <w14:solidFill>
              <w14:schemeClr w14:val="tx1"/>
            </w14:solidFill>
          </w14:textFill>
        </w:rPr>
        <w:t>）燃料供应：本工程以水煤浆作为燃料来源，采用管输输送与浆罐车输送相结合的方式。为本项目供应燃料的水煤浆生产基地位于厂址东南方向3km，水煤浆输送管道经管廊直至厂区围墙外1m。</w:t>
      </w:r>
    </w:p>
    <w:p>
      <w:pPr>
        <w:overflowPunct w:val="0"/>
        <w:spacing w:line="360" w:lineRule="auto"/>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w:t>
      </w:r>
      <w:r>
        <w:rPr>
          <w:rFonts w:hint="eastAsia" w:eastAsia="宋体"/>
          <w:color w:val="000000" w:themeColor="text1"/>
          <w:lang w:val="en-US"/>
          <w14:textFill>
            <w14:solidFill>
              <w14:schemeClr w14:val="tx1"/>
            </w14:solidFill>
          </w14:textFill>
        </w:rPr>
        <w:t>3</w:t>
      </w:r>
      <w:r>
        <w:rPr>
          <w:rFonts w:hint="eastAsia" w:eastAsia="宋体"/>
          <w:color w:val="000000" w:themeColor="text1"/>
          <w14:textFill>
            <w14:solidFill>
              <w14:schemeClr w14:val="tx1"/>
            </w14:solidFill>
          </w14:textFill>
        </w:rPr>
        <w:t>）电力出线：本工程110kV电气主接线采用单母线分段接线，规划出线2回，本期建设1回。</w:t>
      </w:r>
    </w:p>
    <w:p>
      <w:pPr>
        <w:overflowPunct w:val="0"/>
        <w:spacing w:line="360" w:lineRule="auto"/>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w:t>
      </w:r>
      <w:r>
        <w:rPr>
          <w:rFonts w:hint="eastAsia" w:eastAsia="宋体"/>
          <w:color w:val="000000" w:themeColor="text1"/>
          <w:lang w:val="en-US"/>
          <w14:textFill>
            <w14:solidFill>
              <w14:schemeClr w14:val="tx1"/>
            </w14:solidFill>
          </w14:textFill>
        </w:rPr>
        <w:t>4</w:t>
      </w:r>
      <w:r>
        <w:rPr>
          <w:rFonts w:hint="eastAsia" w:eastAsia="宋体"/>
          <w:color w:val="000000" w:themeColor="text1"/>
          <w14:textFill>
            <w14:solidFill>
              <w14:schemeClr w14:val="tx1"/>
            </w14:solidFill>
          </w14:textFill>
        </w:rPr>
        <w:t>）电厂防、排洪（涝）：厂址位于准噶尔盆地西北边缘地带，植被覆盖一般，场地地形较平坦，地势较开阔。克拉玛依市高新技术产业开发区正在编制的开发区总体规划及防洪规划已将本项目厂址纳入，厂址处防洪标准按电厂要求设置，厂址不受洪水威胁。</w:t>
      </w:r>
    </w:p>
    <w:p>
      <w:pPr>
        <w:overflowPunct w:val="0"/>
        <w:spacing w:line="360" w:lineRule="auto"/>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w:t>
      </w:r>
      <w:r>
        <w:rPr>
          <w:rFonts w:hint="eastAsia" w:eastAsia="宋体"/>
          <w:color w:val="000000" w:themeColor="text1"/>
          <w:lang w:val="en-US"/>
          <w14:textFill>
            <w14:solidFill>
              <w14:schemeClr w14:val="tx1"/>
            </w14:solidFill>
          </w14:textFill>
        </w:rPr>
        <w:t>5</w:t>
      </w:r>
      <w:r>
        <w:rPr>
          <w:rFonts w:hint="eastAsia" w:eastAsia="宋体"/>
          <w:color w:val="000000" w:themeColor="text1"/>
          <w14:textFill>
            <w14:solidFill>
              <w14:schemeClr w14:val="tx1"/>
            </w14:solidFill>
          </w14:textFill>
        </w:rPr>
        <w:t>）电厂排水：厂区雨水经道路汇集至雨水管网后排入高新技术产业开发区市政雨水管网系统。</w:t>
      </w:r>
    </w:p>
    <w:p>
      <w:pPr>
        <w:overflowPunct w:val="0"/>
        <w:spacing w:line="360" w:lineRule="auto"/>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w:t>
      </w:r>
      <w:r>
        <w:rPr>
          <w:rFonts w:hint="eastAsia" w:eastAsia="宋体"/>
          <w:color w:val="000000" w:themeColor="text1"/>
          <w:lang w:val="en-US"/>
          <w14:textFill>
            <w14:solidFill>
              <w14:schemeClr w14:val="tx1"/>
            </w14:solidFill>
          </w14:textFill>
        </w:rPr>
        <w:t>6</w:t>
      </w:r>
      <w:r>
        <w:rPr>
          <w:rFonts w:hint="eastAsia" w:eastAsia="宋体"/>
          <w:color w:val="000000" w:themeColor="text1"/>
          <w14:textFill>
            <w14:solidFill>
              <w14:schemeClr w14:val="tx1"/>
            </w14:solidFill>
          </w14:textFill>
        </w:rPr>
        <w:t>）进厂道路：厂区西侧、南侧和北侧分别紧邻高新技术产业开发区道路金西三街、中央大道和北一路。厂区主、次进厂道路均引接自厂址西侧金西三街。</w:t>
      </w:r>
    </w:p>
    <w:p>
      <w:pPr>
        <w:pStyle w:val="3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firstLineChars="0"/>
        <w:jc w:val="both"/>
        <w:textAlignment w:val="auto"/>
        <w:outlineLvl w:val="1"/>
        <w:rPr>
          <w:rFonts w:hint="eastAsia" w:ascii="宋体" w:hAnsi="宋体" w:eastAsia="宋体" w:cs="宋体"/>
          <w:color w:val="000000" w:themeColor="text1"/>
          <w:w w:val="100"/>
          <w:position w:val="0"/>
          <w:sz w:val="32"/>
          <w:szCs w:val="32"/>
          <w:lang w:val="zh-CN" w:eastAsia="zh-CN" w:bidi="zh-CN"/>
          <w14:textFill>
            <w14:solidFill>
              <w14:schemeClr w14:val="tx1"/>
            </w14:solidFill>
          </w14:textFill>
        </w:rPr>
      </w:pPr>
      <w:bookmarkStart w:id="76" w:name="_Toc98"/>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2.2</w:t>
      </w:r>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工程主要工艺与设备概况</w:t>
      </w:r>
      <w:bookmarkEnd w:id="76"/>
      <w:r>
        <w:rPr>
          <w:rFonts w:hint="eastAsia" w:ascii="宋体" w:hAnsi="宋体" w:eastAsia="宋体" w:cs="宋体"/>
          <w:color w:val="000000" w:themeColor="text1"/>
          <w:w w:val="100"/>
          <w:position w:val="0"/>
          <w:sz w:val="32"/>
          <w:szCs w:val="32"/>
          <w:lang w:val="zh-CN" w:eastAsia="zh-CN" w:bidi="zh-CN"/>
          <w14:textFill>
            <w14:solidFill>
              <w14:schemeClr w14:val="tx1"/>
            </w14:solidFill>
          </w14:textFill>
        </w:rPr>
        <w:t xml:space="preserve"> </w:t>
      </w:r>
    </w:p>
    <w:p>
      <w:pPr>
        <w:pStyle w:val="5"/>
        <w:keepNext w:val="0"/>
        <w:keepLines w:val="0"/>
        <w:shd w:val="clear" w:color="auto" w:fill="auto"/>
        <w:overflowPunct w:val="0"/>
        <w:rPr>
          <w:rFonts w:hint="eastAsia" w:ascii="Times New Roman" w:hAnsi="Times New Roman"/>
          <w:color w:val="000000" w:themeColor="text1"/>
          <w:sz w:val="28"/>
          <w:szCs w:val="28"/>
          <w:lang w:val="en-US" w:eastAsia="en-US"/>
          <w14:textFill>
            <w14:solidFill>
              <w14:schemeClr w14:val="tx1"/>
            </w14:solidFill>
          </w14:textFill>
        </w:rPr>
      </w:pPr>
      <w:r>
        <w:rPr>
          <w:rFonts w:hint="eastAsia" w:ascii="Times New Roman" w:hAnsi="Times New Roman"/>
          <w:color w:val="000000" w:themeColor="text1"/>
          <w:sz w:val="28"/>
          <w:szCs w:val="28"/>
          <w:lang w:val="en-US" w:eastAsia="en-US"/>
          <w14:textFill>
            <w14:solidFill>
              <w14:schemeClr w14:val="tx1"/>
            </w14:solidFill>
          </w14:textFill>
        </w:rPr>
        <w:t>2.2.1主要生产工艺流程</w:t>
      </w:r>
      <w:bookmarkEnd w:id="75"/>
    </w:p>
    <w:p>
      <w:pPr>
        <w:overflowPunct w:val="0"/>
        <w:spacing w:line="360" w:lineRule="auto"/>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本工程</w:t>
      </w:r>
      <w:r>
        <w:rPr>
          <w:rFonts w:hint="eastAsia" w:eastAsia="宋体"/>
          <w:color w:val="000000" w:themeColor="text1"/>
          <w:lang w:val="en-US"/>
          <w14:textFill>
            <w14:solidFill>
              <w14:schemeClr w14:val="tx1"/>
            </w14:solidFill>
          </w14:textFill>
        </w:rPr>
        <w:t>2</w:t>
      </w:r>
      <w:r>
        <w:rPr>
          <w:rFonts w:ascii="Arial" w:hAnsi="Arial" w:eastAsia="宋体" w:cs="Arial"/>
          <w:color w:val="000000" w:themeColor="text1"/>
          <w14:textFill>
            <w14:solidFill>
              <w14:schemeClr w14:val="tx1"/>
            </w14:solidFill>
          </w14:textFill>
        </w:rPr>
        <w:t>×</w:t>
      </w:r>
      <w:r>
        <w:rPr>
          <w:rFonts w:hint="eastAsia" w:eastAsia="宋体"/>
          <w:color w:val="000000" w:themeColor="text1"/>
          <w:lang w:val="en-US"/>
          <w14:textFill>
            <w14:solidFill>
              <w14:schemeClr w14:val="tx1"/>
            </w14:solidFill>
          </w14:textFill>
        </w:rPr>
        <w:t>30</w:t>
      </w:r>
      <w:r>
        <w:rPr>
          <w:rFonts w:hint="eastAsia" w:eastAsia="宋体"/>
          <w:color w:val="000000" w:themeColor="text1"/>
          <w14:textFill>
            <w14:solidFill>
              <w14:schemeClr w14:val="tx1"/>
            </w14:solidFill>
          </w14:textFill>
        </w:rPr>
        <w:t>t</w:t>
      </w:r>
      <w:r>
        <w:rPr>
          <w:rFonts w:hint="eastAsia" w:eastAsia="宋体"/>
          <w:color w:val="000000" w:themeColor="text1"/>
          <w:lang w:val="en-US"/>
          <w14:textFill>
            <w14:solidFill>
              <w14:schemeClr w14:val="tx1"/>
            </w14:solidFill>
          </w14:textFill>
        </w:rPr>
        <w:t>/</w:t>
      </w:r>
      <w:r>
        <w:rPr>
          <w:rFonts w:hint="eastAsia" w:eastAsia="宋体"/>
          <w:color w:val="000000" w:themeColor="text1"/>
          <w14:textFill>
            <w14:solidFill>
              <w14:schemeClr w14:val="tx1"/>
            </w14:solidFill>
          </w14:textFill>
        </w:rPr>
        <w:t>h水煤浆锅炉+1</w:t>
      </w:r>
      <w:r>
        <w:rPr>
          <w:rFonts w:ascii="Arial" w:hAnsi="Arial" w:eastAsia="宋体" w:cs="Arial"/>
          <w:color w:val="000000" w:themeColor="text1"/>
          <w14:textFill>
            <w14:solidFill>
              <w14:schemeClr w14:val="tx1"/>
            </w14:solidFill>
          </w14:textFill>
        </w:rPr>
        <w:t>×</w:t>
      </w:r>
      <w:r>
        <w:rPr>
          <w:rFonts w:hint="eastAsia" w:eastAsia="宋体"/>
          <w:color w:val="000000" w:themeColor="text1"/>
          <w:lang w:val="en-US"/>
          <w14:textFill>
            <w14:solidFill>
              <w14:schemeClr w14:val="tx1"/>
            </w14:solidFill>
          </w14:textFill>
        </w:rPr>
        <w:t>25</w:t>
      </w:r>
      <w:r>
        <w:rPr>
          <w:rFonts w:hint="eastAsia" w:eastAsia="宋体"/>
          <w:color w:val="000000" w:themeColor="text1"/>
          <w14:textFill>
            <w14:solidFill>
              <w14:schemeClr w14:val="tx1"/>
            </w14:solidFill>
          </w14:textFill>
        </w:rPr>
        <w:t>MW高温高压背压汽轮机组及1</w:t>
      </w:r>
      <w:r>
        <w:rPr>
          <w:rFonts w:ascii="Arial" w:hAnsi="Arial" w:eastAsia="宋体" w:cs="Arial"/>
          <w:color w:val="000000" w:themeColor="text1"/>
          <w14:textFill>
            <w14:solidFill>
              <w14:schemeClr w14:val="tx1"/>
            </w14:solidFill>
          </w14:textFill>
        </w:rPr>
        <w:t>×</w:t>
      </w:r>
      <w:r>
        <w:rPr>
          <w:rFonts w:hint="eastAsia" w:eastAsia="宋体"/>
          <w:color w:val="000000" w:themeColor="text1"/>
          <w:lang w:val="en-US"/>
          <w14:textFill>
            <w14:solidFill>
              <w14:schemeClr w14:val="tx1"/>
            </w14:solidFill>
          </w14:textFill>
        </w:rPr>
        <w:t>220</w:t>
      </w:r>
      <w:r>
        <w:rPr>
          <w:rFonts w:hint="eastAsia" w:eastAsia="宋体"/>
          <w:color w:val="000000" w:themeColor="text1"/>
          <w14:textFill>
            <w14:solidFill>
              <w14:schemeClr w14:val="tx1"/>
            </w14:solidFill>
          </w14:textFill>
        </w:rPr>
        <w:t>t</w:t>
      </w:r>
      <w:r>
        <w:rPr>
          <w:rFonts w:hint="eastAsia" w:eastAsia="宋体"/>
          <w:color w:val="000000" w:themeColor="text1"/>
          <w:lang w:val="en-US"/>
          <w14:textFill>
            <w14:solidFill>
              <w14:schemeClr w14:val="tx1"/>
            </w14:solidFill>
          </w14:textFill>
        </w:rPr>
        <w:t>/</w:t>
      </w:r>
      <w:r>
        <w:rPr>
          <w:rFonts w:hint="eastAsia" w:eastAsia="宋体"/>
          <w:color w:val="000000" w:themeColor="text1"/>
          <w14:textFill>
            <w14:solidFill>
              <w14:schemeClr w14:val="tx1"/>
            </w14:solidFill>
          </w14:textFill>
        </w:rPr>
        <w:t>h水煤浆锅炉</w:t>
      </w:r>
      <w:r>
        <w:rPr>
          <w:rFonts w:hint="eastAsia" w:eastAsia="宋体"/>
          <w:color w:val="000000" w:themeColor="text1"/>
          <w:lang w:val="en-US"/>
          <w14:textFill>
            <w14:solidFill>
              <w14:schemeClr w14:val="tx1"/>
            </w14:solidFill>
          </w14:textFill>
        </w:rPr>
        <w:t>+1</w:t>
      </w:r>
      <w:r>
        <w:rPr>
          <w:rFonts w:ascii="Arial" w:hAnsi="Arial" w:eastAsia="宋体" w:cs="Arial"/>
          <w:color w:val="000000" w:themeColor="text1"/>
          <w14:textFill>
            <w14:solidFill>
              <w14:schemeClr w14:val="tx1"/>
            </w14:solidFill>
          </w14:textFill>
        </w:rPr>
        <w:t>×</w:t>
      </w:r>
      <w:r>
        <w:rPr>
          <w:rFonts w:hint="eastAsia" w:eastAsia="宋体"/>
          <w:color w:val="000000" w:themeColor="text1"/>
          <w:lang w:val="en-US"/>
          <w14:textFill>
            <w14:solidFill>
              <w14:schemeClr w14:val="tx1"/>
            </w14:solidFill>
          </w14:textFill>
        </w:rPr>
        <w:t>25</w:t>
      </w:r>
      <w:r>
        <w:rPr>
          <w:rFonts w:hint="eastAsia" w:eastAsia="宋体"/>
          <w:color w:val="000000" w:themeColor="text1"/>
          <w14:textFill>
            <w14:solidFill>
              <w14:schemeClr w14:val="tx1"/>
            </w14:solidFill>
          </w14:textFill>
        </w:rPr>
        <w:t>MW高温高压背压汽轮机组，主要原料是水煤浆和水，产能是热能和电能。水煤浆经管道输送至厂区，水煤浆进入锅炉燃烧将锅炉内处理过的除盐水加热成高温高压蒸汽，部分蒸汽在汽轮机中做功，带动发电机发电，电能由输电线路送给用户，热能从汽轮机背压排汽送给用户。部分蒸汽直接输汽送给用户。</w:t>
      </w:r>
    </w:p>
    <w:p>
      <w:pPr>
        <w:overflowPunct w:val="0"/>
        <w:spacing w:line="360" w:lineRule="auto"/>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锅炉燃烧产生的高温烟气经布袋+湿电除尘后，由引风机将除尘后烟气送至脱硫、脱硝系统处理后由烟囱排放。随烟气一起排入大气的污染物除少量烟尘、</w:t>
      </w:r>
      <w:r>
        <w:rPr>
          <w:rFonts w:hint="eastAsia" w:eastAsia="宋体"/>
          <w:color w:val="000000" w:themeColor="text1"/>
          <w:lang w:val="en-US"/>
          <w14:textFill>
            <w14:solidFill>
              <w14:schemeClr w14:val="tx1"/>
            </w14:solidFill>
          </w14:textFill>
        </w:rPr>
        <w:t>SO</w:t>
      </w:r>
      <w:r>
        <w:rPr>
          <w:rFonts w:hint="eastAsia" w:eastAsia="宋体"/>
          <w:color w:val="000000" w:themeColor="text1"/>
          <w:vertAlign w:val="subscript"/>
          <w:lang w:val="en-US"/>
          <w14:textFill>
            <w14:solidFill>
              <w14:schemeClr w14:val="tx1"/>
            </w14:solidFill>
          </w14:textFill>
        </w:rPr>
        <w:t>2</w:t>
      </w:r>
      <w:r>
        <w:rPr>
          <w:rFonts w:hint="eastAsia" w:eastAsia="宋体"/>
          <w:color w:val="000000" w:themeColor="text1"/>
          <w14:textFill>
            <w14:solidFill>
              <w14:schemeClr w14:val="tx1"/>
            </w14:solidFill>
          </w14:textFill>
        </w:rPr>
        <w:t>外，还有</w:t>
      </w:r>
      <w:r>
        <w:rPr>
          <w:rFonts w:hint="eastAsia" w:eastAsia="宋体"/>
          <w:color w:val="000000" w:themeColor="text1"/>
          <w:lang w:val="en-US"/>
          <w14:textFill>
            <w14:solidFill>
              <w14:schemeClr w14:val="tx1"/>
            </w14:solidFill>
          </w14:textFill>
        </w:rPr>
        <w:t>NO</w:t>
      </w:r>
      <w:r>
        <w:rPr>
          <w:rFonts w:hint="eastAsia" w:eastAsia="宋体"/>
          <w:color w:val="000000" w:themeColor="text1"/>
          <w:vertAlign w:val="subscript"/>
          <w:lang w:val="en-US"/>
          <w14:textFill>
            <w14:solidFill>
              <w14:schemeClr w14:val="tx1"/>
            </w14:solidFill>
          </w14:textFill>
        </w:rPr>
        <w:t>2</w:t>
      </w:r>
      <w:r>
        <w:rPr>
          <w:rFonts w:hint="eastAsia" w:eastAsia="宋体"/>
          <w:color w:val="000000" w:themeColor="text1"/>
          <w:lang w:val="en-US"/>
          <w14:textFill>
            <w14:solidFill>
              <w14:schemeClr w14:val="tx1"/>
            </w14:solidFill>
          </w14:textFill>
        </w:rPr>
        <w:t>和CO</w:t>
      </w:r>
      <w:r>
        <w:rPr>
          <w:rFonts w:hint="eastAsia" w:eastAsia="宋体"/>
          <w:color w:val="000000" w:themeColor="text1"/>
          <w:vertAlign w:val="subscript"/>
          <w:lang w:val="en-US"/>
          <w14:textFill>
            <w14:solidFill>
              <w14:schemeClr w14:val="tx1"/>
            </w14:solidFill>
          </w14:textFill>
        </w:rPr>
        <w:t>2</w:t>
      </w:r>
      <w:r>
        <w:rPr>
          <w:rFonts w:hint="eastAsia" w:eastAsia="宋体"/>
          <w:color w:val="000000" w:themeColor="text1"/>
          <w:lang w:val="en-US"/>
          <w14:textFill>
            <w14:solidFill>
              <w14:schemeClr w14:val="tx1"/>
            </w14:solidFill>
          </w14:textFill>
        </w:rPr>
        <w:t>等气体</w:t>
      </w:r>
      <w:r>
        <w:rPr>
          <w:rFonts w:hint="eastAsia" w:eastAsia="宋体"/>
          <w:color w:val="000000" w:themeColor="text1"/>
          <w14:textFill>
            <w14:solidFill>
              <w14:schemeClr w14:val="tx1"/>
            </w14:solidFill>
          </w14:textFill>
        </w:rPr>
        <w:t>。</w:t>
      </w:r>
    </w:p>
    <w:p>
      <w:pPr>
        <w:pStyle w:val="5"/>
        <w:keepNext w:val="0"/>
        <w:keepLines w:val="0"/>
        <w:shd w:val="clear" w:color="auto" w:fill="auto"/>
        <w:overflowPunct w:val="0"/>
        <w:rPr>
          <w:rFonts w:hint="eastAsia" w:ascii="Times New Roman" w:hAnsi="Times New Roman"/>
          <w:color w:val="000000" w:themeColor="text1"/>
          <w:sz w:val="28"/>
          <w:szCs w:val="28"/>
          <w:lang w:val="zh-CN" w:eastAsia="zh-CN"/>
          <w14:textFill>
            <w14:solidFill>
              <w14:schemeClr w14:val="tx1"/>
            </w14:solidFill>
          </w14:textFill>
        </w:rPr>
      </w:pPr>
      <w:r>
        <w:rPr>
          <w:rFonts w:hint="eastAsia" w:ascii="Times New Roman" w:hAnsi="Times New Roman"/>
          <w:color w:val="000000" w:themeColor="text1"/>
          <w:sz w:val="28"/>
          <w:szCs w:val="28"/>
          <w:lang w:val="en-US" w:eastAsia="en-US"/>
          <w14:textFill>
            <w14:solidFill>
              <w14:schemeClr w14:val="tx1"/>
            </w14:solidFill>
          </w14:textFill>
        </w:rPr>
        <w:t>2.2.2</w:t>
      </w:r>
      <w:r>
        <w:rPr>
          <w:rFonts w:hint="eastAsia" w:ascii="Times New Roman" w:hAnsi="Times New Roman"/>
          <w:color w:val="000000" w:themeColor="text1"/>
          <w:sz w:val="28"/>
          <w:szCs w:val="28"/>
          <w:lang w:val="zh-CN" w:eastAsia="zh-CN"/>
          <w14:textFill>
            <w14:solidFill>
              <w14:schemeClr w14:val="tx1"/>
            </w14:solidFill>
          </w14:textFill>
        </w:rPr>
        <w:t>脱硫工艺及设备</w:t>
      </w:r>
    </w:p>
    <w:p>
      <w:pPr>
        <w:pStyle w:val="6"/>
        <w:keepNext w:val="0"/>
        <w:keepLines w:val="0"/>
        <w:pageBreakBefore w:val="0"/>
        <w:widowControl w:val="0"/>
        <w:shd w:val="clear" w:color="auto" w:fill="auto"/>
        <w:kinsoku/>
        <w:wordWrap/>
        <w:overflowPunct w:val="0"/>
        <w:topLinePunct w:val="0"/>
        <w:autoSpaceDE/>
        <w:autoSpaceDN/>
        <w:bidi w:val="0"/>
        <w:adjustRightInd/>
        <w:snapToGrid/>
        <w:spacing w:before="0" w:after="0" w:line="360" w:lineRule="auto"/>
        <w:textAlignment w:val="auto"/>
        <w:outlineLvl w:val="3"/>
        <w:rPr>
          <w:rFonts w:hint="eastAsia" w:ascii="Times New Roman" w:hAnsi="Times New Roman"/>
          <w:color w:val="000000" w:themeColor="text1"/>
          <w:sz w:val="24"/>
          <w:szCs w:val="24"/>
          <w:lang w:val="en-US" w:eastAsia="en-US"/>
          <w14:textFill>
            <w14:solidFill>
              <w14:schemeClr w14:val="tx1"/>
            </w14:solidFill>
          </w14:textFill>
        </w:rPr>
      </w:pPr>
      <w:r>
        <w:rPr>
          <w:rFonts w:hint="eastAsia" w:ascii="Times New Roman" w:hAnsi="Times New Roman"/>
          <w:color w:val="000000" w:themeColor="text1"/>
          <w:sz w:val="24"/>
          <w:szCs w:val="24"/>
          <w:lang w:val="en-US" w:eastAsia="en-US"/>
          <w14:textFill>
            <w14:solidFill>
              <w14:schemeClr w14:val="tx1"/>
            </w14:solidFill>
          </w14:textFill>
        </w:rPr>
        <w:t>2.2.2.</w:t>
      </w:r>
      <w:r>
        <w:rPr>
          <w:rFonts w:hint="eastAsia" w:ascii="Times New Roman" w:hAnsi="Times New Roman"/>
          <w:color w:val="000000" w:themeColor="text1"/>
          <w:sz w:val="24"/>
          <w:szCs w:val="24"/>
          <w:lang w:val="zh-CN" w:eastAsia="zh-CN"/>
          <w14:textFill>
            <w14:solidFill>
              <w14:schemeClr w14:val="tx1"/>
            </w14:solidFill>
          </w14:textFill>
        </w:rPr>
        <w:t>1脱硫工艺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bookmarkStart w:id="77" w:name="_Toc29410"/>
      <w:r>
        <w:rPr>
          <w:rFonts w:hint="default" w:ascii="Times New Roman" w:hAnsi="Times New Roman" w:cs="Times New Roman"/>
          <w:b w:val="0"/>
          <w:bCs/>
          <w:color w:val="000000" w:themeColor="text1"/>
          <w14:textFill>
            <w14:solidFill>
              <w14:schemeClr w14:val="tx1"/>
            </w14:solidFill>
          </w14:textFill>
        </w:rPr>
        <w:t>循环流化床是一种重要的洁净煤利用技术。循环流化床锅炉通过向炉内喷入石灰石实现炉内脱硫，喷入炉膛的CaCO</w:t>
      </w:r>
      <w:r>
        <w:rPr>
          <w:rFonts w:hint="default" w:ascii="Times New Roman" w:hAnsi="Times New Roman" w:cs="Times New Roman"/>
          <w:b w:val="0"/>
          <w:bCs/>
          <w:color w:val="000000" w:themeColor="text1"/>
          <w:vertAlign w:val="subscript"/>
          <w14:textFill>
            <w14:solidFill>
              <w14:schemeClr w14:val="tx1"/>
            </w14:solidFill>
          </w14:textFill>
        </w:rPr>
        <w:t>3</w:t>
      </w:r>
      <w:r>
        <w:rPr>
          <w:rFonts w:hint="default" w:ascii="Times New Roman" w:hAnsi="Times New Roman" w:cs="Times New Roman"/>
          <w:b w:val="0"/>
          <w:bCs/>
          <w:color w:val="000000" w:themeColor="text1"/>
          <w14:textFill>
            <w14:solidFill>
              <w14:schemeClr w14:val="tx1"/>
            </w14:solidFill>
          </w14:textFill>
        </w:rPr>
        <w:t>在800~900℃高温煅烧分解成CaO，与燃烧生成的烟气中的SO</w:t>
      </w:r>
      <w:r>
        <w:rPr>
          <w:rFonts w:hint="default" w:ascii="Times New Roman" w:hAnsi="Times New Roman" w:cs="Times New Roman"/>
          <w:b w:val="0"/>
          <w:bCs/>
          <w:color w:val="000000" w:themeColor="text1"/>
          <w:vertAlign w:val="subscript"/>
          <w14:textFill>
            <w14:solidFill>
              <w14:schemeClr w14:val="tx1"/>
            </w14:solidFill>
          </w14:textFill>
        </w:rPr>
        <w:t>2</w:t>
      </w:r>
      <w:r>
        <w:rPr>
          <w:rFonts w:hint="default" w:ascii="Times New Roman" w:hAnsi="Times New Roman" w:cs="Times New Roman"/>
          <w:b w:val="0"/>
          <w:bCs/>
          <w:color w:val="000000" w:themeColor="text1"/>
          <w14:textFill>
            <w14:solidFill>
              <w14:schemeClr w14:val="tx1"/>
            </w14:solidFill>
          </w14:textFill>
        </w:rPr>
        <w:t>发生反应，反应生成CaSO</w:t>
      </w:r>
      <w:r>
        <w:rPr>
          <w:rFonts w:hint="default" w:ascii="Times New Roman" w:hAnsi="Times New Roman" w:cs="Times New Roman"/>
          <w:b w:val="0"/>
          <w:bCs/>
          <w:color w:val="000000" w:themeColor="text1"/>
          <w:vertAlign w:val="subscript"/>
          <w14:textFill>
            <w14:solidFill>
              <w14:schemeClr w14:val="tx1"/>
            </w14:solidFill>
          </w14:textFill>
        </w:rPr>
        <w:t>4</w:t>
      </w:r>
      <w:r>
        <w:rPr>
          <w:rFonts w:hint="default" w:ascii="Times New Roman" w:hAnsi="Times New Roman" w:cs="Times New Roman"/>
          <w:b w:val="0"/>
          <w:bCs/>
          <w:color w:val="000000" w:themeColor="text1"/>
          <w14:textFill>
            <w14:solidFill>
              <w14:schemeClr w14:val="tx1"/>
            </w14:solidFill>
          </w14:textFill>
        </w:rPr>
        <w:t>，从而达到脱硫的目的。循环流化床锅炉掺烧石灰石的脱硫效果明显。从国内部分循环流化床电站的脱硫效率及烟气SO</w:t>
      </w:r>
      <w:r>
        <w:rPr>
          <w:rFonts w:hint="default" w:ascii="Times New Roman" w:hAnsi="Times New Roman" w:cs="Times New Roman"/>
          <w:b w:val="0"/>
          <w:bCs/>
          <w:color w:val="000000" w:themeColor="text1"/>
          <w:vertAlign w:val="subscript"/>
          <w14:textFill>
            <w14:solidFill>
              <w14:schemeClr w14:val="tx1"/>
            </w14:solidFill>
          </w14:textFill>
        </w:rPr>
        <w:t>2</w:t>
      </w:r>
      <w:r>
        <w:rPr>
          <w:rFonts w:hint="default" w:ascii="Times New Roman" w:hAnsi="Times New Roman" w:cs="Times New Roman"/>
          <w:b w:val="0"/>
          <w:bCs/>
          <w:color w:val="000000" w:themeColor="text1"/>
          <w14:textFill>
            <w14:solidFill>
              <w14:schemeClr w14:val="tx1"/>
            </w14:solidFill>
          </w14:textFill>
        </w:rPr>
        <w:t>排放量来看，依靠炉内脱硫，可将SO</w:t>
      </w:r>
      <w:r>
        <w:rPr>
          <w:rFonts w:hint="default" w:ascii="Times New Roman" w:hAnsi="Times New Roman" w:cs="Times New Roman"/>
          <w:b w:val="0"/>
          <w:bCs/>
          <w:color w:val="000000" w:themeColor="text1"/>
          <w:vertAlign w:val="subscript"/>
          <w14:textFill>
            <w14:solidFill>
              <w14:schemeClr w14:val="tx1"/>
            </w14:solidFill>
          </w14:textFill>
        </w:rPr>
        <w:t>2</w:t>
      </w:r>
      <w:r>
        <w:rPr>
          <w:rFonts w:hint="default" w:ascii="Times New Roman" w:hAnsi="Times New Roman" w:cs="Times New Roman"/>
          <w:b w:val="0"/>
          <w:bCs/>
          <w:color w:val="000000" w:themeColor="text1"/>
          <w14:textFill>
            <w14:solidFill>
              <w14:schemeClr w14:val="tx1"/>
            </w14:solidFill>
          </w14:textFill>
        </w:rPr>
        <w:t>排放控制在300~400mg/Nm</w:t>
      </w:r>
      <w:r>
        <w:rPr>
          <w:rFonts w:hint="default" w:ascii="Times New Roman" w:hAnsi="Times New Roman" w:cs="Times New Roman"/>
          <w:b w:val="0"/>
          <w:bCs/>
          <w:color w:val="000000" w:themeColor="text1"/>
          <w:vertAlign w:val="superscript"/>
          <w14:textFill>
            <w14:solidFill>
              <w14:schemeClr w14:val="tx1"/>
            </w14:solidFill>
          </w14:textFill>
        </w:rPr>
        <w:t>3</w:t>
      </w:r>
      <w:r>
        <w:rPr>
          <w:rFonts w:hint="default" w:ascii="Times New Roman" w:hAnsi="Times New Roman" w:cs="Times New Roman"/>
          <w:b w:val="0"/>
          <w:bCs/>
          <w:color w:val="000000" w:themeColor="text1"/>
          <w14:textFill>
            <w14:solidFill>
              <w14:schemeClr w14:val="tx1"/>
            </w14:solidFill>
          </w14:textFill>
        </w:rPr>
        <w:t>以内。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随着我国污染物排放标准的提高，常规的炉内脱硫已无法达到35mg/Nm</w:t>
      </w:r>
      <w:r>
        <w:rPr>
          <w:rFonts w:hint="default" w:ascii="Times New Roman" w:hAnsi="Times New Roman" w:cs="Times New Roman"/>
          <w:b w:val="0"/>
          <w:bCs/>
          <w:color w:val="000000" w:themeColor="text1"/>
          <w:vertAlign w:val="superscript"/>
          <w14:textFill>
            <w14:solidFill>
              <w14:schemeClr w14:val="tx1"/>
            </w14:solidFill>
          </w14:textFill>
        </w:rPr>
        <w:t>3</w:t>
      </w:r>
      <w:r>
        <w:rPr>
          <w:rFonts w:hint="default" w:ascii="Times New Roman" w:hAnsi="Times New Roman" w:cs="Times New Roman"/>
          <w:b w:val="0"/>
          <w:bCs/>
          <w:color w:val="000000" w:themeColor="text1"/>
          <w14:textFill>
            <w14:solidFill>
              <w14:schemeClr w14:val="tx1"/>
            </w14:solidFill>
          </w14:textFill>
        </w:rPr>
        <w:t>的排放标准，故需增加炉外烟气脱硫装置进行深度脱硫。为了更好地满足超低排放要求，本项目采用炉内脱硫+炉外脱硫相结合的方式，脱硫后烟气中二氧化硫含量≤35mg/Nm³。</w:t>
      </w:r>
      <w:bookmarkEnd w:id="77"/>
    </w:p>
    <w:p>
      <w:pPr>
        <w:pStyle w:val="6"/>
        <w:keepNext w:val="0"/>
        <w:keepLines w:val="0"/>
        <w:pageBreakBefore w:val="0"/>
        <w:widowControl w:val="0"/>
        <w:shd w:val="clear" w:color="auto" w:fill="auto"/>
        <w:kinsoku/>
        <w:wordWrap/>
        <w:overflowPunct w:val="0"/>
        <w:topLinePunct w:val="0"/>
        <w:autoSpaceDE/>
        <w:autoSpaceDN/>
        <w:bidi w:val="0"/>
        <w:adjustRightInd/>
        <w:snapToGrid/>
        <w:spacing w:before="0" w:after="0" w:line="360" w:lineRule="auto"/>
        <w:textAlignment w:val="auto"/>
        <w:outlineLvl w:val="3"/>
        <w:rPr>
          <w:rFonts w:hint="default" w:ascii="Times New Roman" w:hAnsi="Times New Roman" w:eastAsia="宋体" w:cs="Times New Roman"/>
          <w:color w:val="000000" w:themeColor="text1"/>
          <w:sz w:val="24"/>
          <w:szCs w:val="24"/>
          <w:lang w:val="en-US" w:eastAsia="en-US"/>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2.2.2.2</w:t>
      </w:r>
      <w:r>
        <w:rPr>
          <w:rFonts w:hint="default" w:ascii="Times New Roman" w:hAnsi="Times New Roman" w:eastAsia="宋体" w:cs="Times New Roman"/>
          <w:color w:val="000000" w:themeColor="text1"/>
          <w:sz w:val="24"/>
          <w:szCs w:val="24"/>
          <w:lang w:val="en-US" w:eastAsia="en-US"/>
          <w14:textFill>
            <w14:solidFill>
              <w14:schemeClr w14:val="tx1"/>
            </w14:solidFill>
          </w14:textFill>
        </w:rPr>
        <w:t>炉内脱硫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炉内脱硫，采用炉内喷钙的方式进行，石灰石粉通过气力输送方式送入炉膛。炉内脱硫效率不低于90%，出口SO</w:t>
      </w:r>
      <w:r>
        <w:rPr>
          <w:rFonts w:hint="default" w:ascii="Times New Roman" w:hAnsi="Times New Roman" w:cs="Times New Roman"/>
          <w:b w:val="0"/>
          <w:bCs/>
          <w:color w:val="000000" w:themeColor="text1"/>
          <w:vertAlign w:val="subscript"/>
          <w14:textFill>
            <w14:solidFill>
              <w14:schemeClr w14:val="tx1"/>
            </w14:solidFill>
          </w14:textFill>
        </w:rPr>
        <w:t>2</w:t>
      </w:r>
      <w:r>
        <w:rPr>
          <w:rFonts w:hint="default" w:ascii="Times New Roman" w:hAnsi="Times New Roman" w:cs="Times New Roman"/>
          <w:b w:val="0"/>
          <w:bCs/>
          <w:color w:val="000000" w:themeColor="text1"/>
          <w14:textFill>
            <w14:solidFill>
              <w14:schemeClr w14:val="tx1"/>
            </w14:solidFill>
          </w14:textFill>
        </w:rPr>
        <w:t>排放浓度</w:t>
      </w:r>
      <w:r>
        <w:rPr>
          <w:rFonts w:hint="eastAsia" w:eastAsia="宋体" w:cs="Times New Roman"/>
          <w:b w:val="0"/>
          <w:bCs/>
          <w:color w:val="000000" w:themeColor="text1"/>
          <w:lang w:eastAsia="zh-CN"/>
          <w14:textFill>
            <w14:solidFill>
              <w14:schemeClr w14:val="tx1"/>
            </w14:solidFill>
          </w14:textFill>
        </w:rPr>
        <w:t>小于</w:t>
      </w:r>
      <w:r>
        <w:rPr>
          <w:rFonts w:hint="default" w:ascii="Times New Roman" w:hAnsi="Times New Roman" w:cs="Times New Roman"/>
          <w:b w:val="0"/>
          <w:bCs/>
          <w:color w:val="000000" w:themeColor="text1"/>
          <w14:textFill>
            <w14:solidFill>
              <w14:schemeClr w14:val="tx1"/>
            </w14:solidFill>
          </w14:textFill>
        </w:rPr>
        <w:t>300mg/Nm</w:t>
      </w:r>
      <w:r>
        <w:rPr>
          <w:rFonts w:hint="default" w:ascii="Times New Roman" w:hAnsi="Times New Roman" w:cs="Times New Roman"/>
          <w:b w:val="0"/>
          <w:bCs/>
          <w:color w:val="000000" w:themeColor="text1"/>
          <w:vertAlign w:val="superscript"/>
          <w14:textFill>
            <w14:solidFill>
              <w14:schemeClr w14:val="tx1"/>
            </w14:solidFill>
          </w14:textFill>
        </w:rPr>
        <w:t>3</w:t>
      </w:r>
      <w:r>
        <w:rPr>
          <w:rFonts w:hint="default" w:ascii="Times New Roman" w:hAnsi="Times New Roman" w:cs="Times New Roman"/>
          <w:b w:val="0"/>
          <w:bCs/>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炉内喷钙所需吸收剂采用外购商品石灰石粉，粒度为0～0.5mm，采用汽车运输。</w:t>
      </w:r>
      <w:r>
        <w:rPr>
          <w:rFonts w:hint="eastAsia" w:ascii="Times New Roman" w:hAnsi="Times New Roman" w:eastAsia="宋体" w:cs="Times New Roman"/>
          <w:b w:val="0"/>
          <w:bCs/>
          <w:color w:val="000000" w:themeColor="text1"/>
          <w:lang w:eastAsia="zh-CN"/>
          <w14:textFill>
            <w14:solidFill>
              <w14:schemeClr w14:val="tx1"/>
            </w14:solidFill>
          </w14:textFill>
        </w:rPr>
        <w:t>石灰石主要成分见表</w:t>
      </w:r>
      <w:r>
        <w:rPr>
          <w:rFonts w:hint="eastAsia" w:ascii="Times New Roman" w:hAnsi="Times New Roman" w:eastAsia="宋体" w:cs="Times New Roman"/>
          <w:b w:val="0"/>
          <w:bCs/>
          <w:color w:val="000000" w:themeColor="text1"/>
          <w:lang w:val="en-US" w:eastAsia="zh-CN"/>
          <w14:textFill>
            <w14:solidFill>
              <w14:schemeClr w14:val="tx1"/>
            </w14:solidFill>
          </w14:textFill>
        </w:rPr>
        <w:t>2.2-1。炉内脱硫石灰石用量见表2.2-2。</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黑体" w:cs="Times New Roman"/>
          <w:b w:val="0"/>
          <w:bCs/>
          <w:color w:val="000000" w:themeColor="text1"/>
          <w:sz w:val="21"/>
          <w:szCs w:val="21"/>
          <w14:textFill>
            <w14:solidFill>
              <w14:schemeClr w14:val="tx1"/>
            </w14:solidFill>
          </w14:textFill>
        </w:rPr>
      </w:pPr>
      <w:r>
        <w:rPr>
          <w:rFonts w:hint="default" w:ascii="Times New Roman" w:hAnsi="Times New Roman" w:eastAsia="黑体" w:cs="Times New Roman"/>
          <w:b w:val="0"/>
          <w:bCs/>
          <w:color w:val="000000" w:themeColor="text1"/>
          <w:sz w:val="21"/>
          <w:szCs w:val="21"/>
          <w:lang w:eastAsia="zh-CN"/>
          <w14:textFill>
            <w14:solidFill>
              <w14:schemeClr w14:val="tx1"/>
            </w14:solidFill>
          </w14:textFill>
        </w:rPr>
        <w:t>表</w:t>
      </w:r>
      <w:r>
        <w:rPr>
          <w:rFonts w:hint="default" w:ascii="Times New Roman" w:hAnsi="Times New Roman" w:eastAsia="黑体" w:cs="Times New Roman"/>
          <w:b w:val="0"/>
          <w:bCs/>
          <w:color w:val="000000" w:themeColor="text1"/>
          <w:sz w:val="21"/>
          <w:szCs w:val="21"/>
          <w:lang w:val="en-US" w:eastAsia="zh-CN"/>
          <w14:textFill>
            <w14:solidFill>
              <w14:schemeClr w14:val="tx1"/>
            </w14:solidFill>
          </w14:textFill>
        </w:rPr>
        <w:t xml:space="preserve">2.2-1   </w:t>
      </w:r>
      <w:r>
        <w:rPr>
          <w:rFonts w:hint="default" w:ascii="Times New Roman" w:hAnsi="Times New Roman" w:eastAsia="黑体" w:cs="Times New Roman"/>
          <w:b w:val="0"/>
          <w:bCs/>
          <w:color w:val="000000" w:themeColor="text1"/>
          <w:sz w:val="21"/>
          <w:szCs w:val="21"/>
          <w14:textFill>
            <w14:solidFill>
              <w14:schemeClr w14:val="tx1"/>
            </w14:solidFill>
          </w14:textFill>
        </w:rPr>
        <w:t>石灰石主要化学成分</w:t>
      </w:r>
    </w:p>
    <w:tbl>
      <w:tblPr>
        <w:tblStyle w:val="21"/>
        <w:tblW w:w="8730"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657"/>
        <w:gridCol w:w="1655"/>
        <w:gridCol w:w="1653"/>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5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CaCO</w:t>
            </w:r>
            <w:r>
              <w:rPr>
                <w:rFonts w:hint="default" w:ascii="Times New Roman" w:hAnsi="Times New Roman" w:cs="Times New Roman"/>
                <w:b w:val="0"/>
                <w:bCs/>
                <w:color w:val="000000" w:themeColor="text1"/>
                <w:sz w:val="21"/>
                <w:szCs w:val="21"/>
                <w:vertAlign w:val="subscript"/>
                <w14:textFill>
                  <w14:solidFill>
                    <w14:schemeClr w14:val="tx1"/>
                  </w14:solidFill>
                </w14:textFill>
              </w:rPr>
              <w:t>3</w:t>
            </w:r>
          </w:p>
        </w:tc>
        <w:tc>
          <w:tcPr>
            <w:tcW w:w="16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SiO</w:t>
            </w:r>
            <w:r>
              <w:rPr>
                <w:rFonts w:hint="default" w:ascii="Times New Roman" w:hAnsi="Times New Roman" w:cs="Times New Roman"/>
                <w:b w:val="0"/>
                <w:bCs/>
                <w:color w:val="000000" w:themeColor="text1"/>
                <w:sz w:val="21"/>
                <w:szCs w:val="21"/>
                <w:vertAlign w:val="subscript"/>
                <w14:textFill>
                  <w14:solidFill>
                    <w14:schemeClr w14:val="tx1"/>
                  </w14:solidFill>
                </w14:textFill>
              </w:rPr>
              <w:t>2</w:t>
            </w:r>
          </w:p>
        </w:tc>
        <w:tc>
          <w:tcPr>
            <w:tcW w:w="16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CaO</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MgO</w:t>
            </w:r>
          </w:p>
        </w:tc>
        <w:tc>
          <w:tcPr>
            <w:tcW w:w="22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155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≥90％</w:t>
            </w:r>
          </w:p>
        </w:tc>
        <w:tc>
          <w:tcPr>
            <w:tcW w:w="16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≤1.5％</w:t>
            </w:r>
          </w:p>
        </w:tc>
        <w:tc>
          <w:tcPr>
            <w:tcW w:w="16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≤2.25％</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≤0.2％</w:t>
            </w:r>
          </w:p>
        </w:tc>
        <w:tc>
          <w:tcPr>
            <w:tcW w:w="22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≤0.04％</w:t>
            </w:r>
          </w:p>
        </w:tc>
      </w:tr>
    </w:tbl>
    <w:p>
      <w:pPr>
        <w:keepNext w:val="0"/>
        <w:keepLines w:val="0"/>
        <w:pageBreakBefore w:val="0"/>
        <w:widowControl w:val="0"/>
        <w:shd w:val="clear" w:color="auto" w:fill="auto"/>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黑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黑体" w:cs="Times New Roman"/>
          <w:b w:val="0"/>
          <w:bCs/>
          <w:color w:val="000000" w:themeColor="text1"/>
          <w:sz w:val="21"/>
          <w:szCs w:val="21"/>
          <w:lang w:eastAsia="zh-CN"/>
          <w14:textFill>
            <w14:solidFill>
              <w14:schemeClr w14:val="tx1"/>
            </w14:solidFill>
          </w14:textFill>
        </w:rPr>
        <w:t>表</w:t>
      </w:r>
      <w:r>
        <w:rPr>
          <w:rFonts w:hint="eastAsia" w:ascii="Times New Roman" w:hAnsi="Times New Roman" w:eastAsia="黑体" w:cs="Times New Roman"/>
          <w:b w:val="0"/>
          <w:bCs/>
          <w:color w:val="000000" w:themeColor="text1"/>
          <w:sz w:val="21"/>
          <w:szCs w:val="21"/>
          <w:lang w:val="en-US" w:eastAsia="zh-CN"/>
          <w14:textFill>
            <w14:solidFill>
              <w14:schemeClr w14:val="tx1"/>
            </w14:solidFill>
          </w14:textFill>
        </w:rPr>
        <w:t>2.2-2</w:t>
      </w:r>
      <w:r>
        <w:rPr>
          <w:rFonts w:hint="default" w:ascii="Times New Roman" w:hAnsi="Times New Roman" w:eastAsia="黑体" w:cs="Times New Roman"/>
          <w:b w:val="0"/>
          <w:bCs/>
          <w:color w:val="000000" w:themeColor="text1"/>
          <w:sz w:val="21"/>
          <w:szCs w:val="21"/>
          <w:lang w:eastAsia="zh-CN"/>
          <w14:textFill>
            <w14:solidFill>
              <w14:schemeClr w14:val="tx1"/>
            </w14:solidFill>
          </w14:textFill>
        </w:rPr>
        <w:t>炉内脱硫石灰石用量表</w:t>
      </w:r>
    </w:p>
    <w:tbl>
      <w:tblPr>
        <w:tblStyle w:val="21"/>
        <w:tblW w:w="8786"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2097"/>
        <w:gridCol w:w="2010"/>
        <w:gridCol w:w="2263"/>
        <w:gridCol w:w="24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jc w:val="center"/>
        </w:trPr>
        <w:tc>
          <w:tcPr>
            <w:tcW w:w="2097" w:type="dxa"/>
            <w:vMerge w:val="restart"/>
            <w:tcBorders>
              <w:top w:val="single" w:color="000000" w:sz="6" w:space="0"/>
              <w:left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锅炉容量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（t/h）</w:t>
            </w:r>
          </w:p>
        </w:tc>
        <w:tc>
          <w:tcPr>
            <w:tcW w:w="2010"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小时耗量（t/h）</w:t>
            </w:r>
          </w:p>
        </w:tc>
        <w:tc>
          <w:tcPr>
            <w:tcW w:w="226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日耗量（t/d）</w:t>
            </w:r>
          </w:p>
        </w:tc>
        <w:tc>
          <w:tcPr>
            <w:tcW w:w="2416" w:type="dxa"/>
            <w:tcBorders>
              <w:top w:val="single" w:color="000000" w:sz="6" w:space="0"/>
              <w:left w:val="single" w:color="000000" w:sz="6" w:space="0"/>
              <w:bottom w:val="single" w:color="000000"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年耗量（t/a）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jc w:val="center"/>
        </w:trPr>
        <w:tc>
          <w:tcPr>
            <w:tcW w:w="2097" w:type="dxa"/>
            <w:vMerge w:val="continue"/>
            <w:tcBorders>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p>
        </w:tc>
        <w:tc>
          <w:tcPr>
            <w:tcW w:w="2010"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设计煤种</w:t>
            </w:r>
          </w:p>
        </w:tc>
        <w:tc>
          <w:tcPr>
            <w:tcW w:w="226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设计煤种</w:t>
            </w:r>
          </w:p>
        </w:tc>
        <w:tc>
          <w:tcPr>
            <w:tcW w:w="2416" w:type="dxa"/>
            <w:tcBorders>
              <w:top w:val="single" w:color="000000" w:sz="6" w:space="0"/>
              <w:left w:val="single" w:color="000000" w:sz="6" w:space="0"/>
              <w:bottom w:val="single" w:color="000000"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设计煤种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jc w:val="center"/>
        </w:trPr>
        <w:tc>
          <w:tcPr>
            <w:tcW w:w="209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2×130</w:t>
            </w:r>
          </w:p>
        </w:tc>
        <w:tc>
          <w:tcPr>
            <w:tcW w:w="2010"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2×0.75</w:t>
            </w:r>
          </w:p>
        </w:tc>
        <w:tc>
          <w:tcPr>
            <w:tcW w:w="226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2×16.5</w:t>
            </w:r>
          </w:p>
        </w:tc>
        <w:tc>
          <w:tcPr>
            <w:tcW w:w="2416" w:type="dxa"/>
            <w:tcBorders>
              <w:top w:val="single" w:color="000000" w:sz="6" w:space="0"/>
              <w:left w:val="single" w:color="000000" w:sz="6" w:space="0"/>
              <w:bottom w:val="single" w:color="000000"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w:t>
            </w:r>
            <w:r>
              <w:rPr>
                <w:rFonts w:hint="eastAsia" w:eastAsia="宋体" w:cs="Times New Roman"/>
                <w:b w:val="0"/>
                <w:bCs/>
                <w:color w:val="000000" w:themeColor="text1"/>
                <w:sz w:val="21"/>
                <w:szCs w:val="21"/>
                <w:lang w:val="en-US" w:eastAsia="zh-CN"/>
                <w14:textFill>
                  <w14:solidFill>
                    <w14:schemeClr w14:val="tx1"/>
                  </w14:solidFill>
                </w14:textFill>
              </w:rPr>
              <w:t>4125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407" w:hRule="atLeast"/>
          <w:jc w:val="center"/>
        </w:trPr>
        <w:tc>
          <w:tcPr>
            <w:tcW w:w="209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1×220</w:t>
            </w:r>
          </w:p>
        </w:tc>
        <w:tc>
          <w:tcPr>
            <w:tcW w:w="2010"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1.27</w:t>
            </w:r>
          </w:p>
        </w:tc>
        <w:tc>
          <w:tcPr>
            <w:tcW w:w="226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27.94</w:t>
            </w:r>
          </w:p>
        </w:tc>
        <w:tc>
          <w:tcPr>
            <w:tcW w:w="2416" w:type="dxa"/>
            <w:tcBorders>
              <w:top w:val="single" w:color="000000" w:sz="6" w:space="0"/>
              <w:left w:val="single" w:color="000000" w:sz="6" w:space="0"/>
              <w:bottom w:val="single" w:color="000000"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eastAsia="宋体" w:cs="Times New Roman"/>
                <w:b w:val="0"/>
                <w:bCs/>
                <w:color w:val="000000" w:themeColor="text1"/>
                <w:sz w:val="21"/>
                <w:szCs w:val="21"/>
                <w:lang w:val="en-US" w:eastAsia="zh-CN"/>
                <w14:textFill>
                  <w14:solidFill>
                    <w14:schemeClr w14:val="tx1"/>
                  </w14:solidFill>
                </w14:textFill>
              </w:rPr>
              <w:t>6985</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注：（1）日石灰石用量按22小时计算；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（2）年石灰石用量按</w:t>
      </w:r>
      <w:r>
        <w:rPr>
          <w:rFonts w:hint="eastAsia" w:eastAsia="宋体" w:cs="Times New Roman"/>
          <w:b w:val="0"/>
          <w:bCs/>
          <w:color w:val="000000" w:themeColor="text1"/>
          <w:sz w:val="21"/>
          <w:szCs w:val="21"/>
          <w:lang w:val="en-US" w:eastAsia="zh-CN"/>
          <w14:textFill>
            <w14:solidFill>
              <w14:schemeClr w14:val="tx1"/>
            </w14:solidFill>
          </w14:textFill>
        </w:rPr>
        <w:t>5500</w:t>
      </w:r>
      <w:r>
        <w:rPr>
          <w:rFonts w:hint="default" w:ascii="Times New Roman" w:hAnsi="Times New Roman" w:cs="Times New Roman"/>
          <w:b w:val="0"/>
          <w:bCs/>
          <w:color w:val="000000" w:themeColor="text1"/>
          <w:sz w:val="21"/>
          <w:szCs w:val="21"/>
          <w14:textFill>
            <w14:solidFill>
              <w14:schemeClr w14:val="tx1"/>
            </w14:solidFill>
          </w14:textFill>
        </w:rPr>
        <w:t>小时计算。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（3）炉内脱硫效率按90%计算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 xml:space="preserve">（4）钙硫比按2：1计算  </w:t>
      </w:r>
    </w:p>
    <w:p>
      <w:pPr>
        <w:pStyle w:val="6"/>
        <w:keepNext w:val="0"/>
        <w:keepLines w:val="0"/>
        <w:pageBreakBefore w:val="0"/>
        <w:widowControl w:val="0"/>
        <w:shd w:val="clear" w:color="auto" w:fill="auto"/>
        <w:kinsoku/>
        <w:wordWrap/>
        <w:overflowPunct w:val="0"/>
        <w:topLinePunct w:val="0"/>
        <w:autoSpaceDE/>
        <w:autoSpaceDN/>
        <w:bidi w:val="0"/>
        <w:adjustRightInd/>
        <w:snapToGrid/>
        <w:spacing w:before="0" w:after="0" w:line="360" w:lineRule="auto"/>
        <w:textAlignment w:val="auto"/>
        <w:outlineLvl w:val="3"/>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2.2.2.3炉外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烟气脱硫工艺</w:t>
      </w:r>
    </w:p>
    <w:p>
      <w:pPr>
        <w:spacing w:line="360" w:lineRule="auto"/>
        <w:ind w:firstLine="480" w:firstLineChars="200"/>
        <w:rPr>
          <w:rFonts w:hint="default" w:ascii="Times New Roman" w:hAnsi="Times New Roman" w:cs="Times New Roman"/>
          <w:b w:val="0"/>
          <w:bCs/>
          <w:color w:val="000000" w:themeColor="text1"/>
          <w:lang w:val="sq-AL"/>
          <w14:textFill>
            <w14:solidFill>
              <w14:schemeClr w14:val="tx1"/>
            </w14:solidFill>
          </w14:textFill>
        </w:rPr>
      </w:pPr>
      <w:r>
        <w:rPr>
          <w:rFonts w:hint="default" w:ascii="Times New Roman" w:hAnsi="Times New Roman" w:cs="Times New Roman"/>
          <w:b w:val="0"/>
          <w:bCs/>
          <w:color w:val="000000" w:themeColor="text1"/>
          <w:lang w:val="sq-AL"/>
          <w14:textFill>
            <w14:solidFill>
              <w14:schemeClr w14:val="tx1"/>
            </w14:solidFill>
          </w14:textFill>
        </w:rPr>
        <w:t>循环流化床烟气脱硫工艺最早是由德国Lurgi公司研究开发，目前国内多家脱硫公司已从国外引进该技术，并进行了成功应用。</w:t>
      </w:r>
    </w:p>
    <w:p>
      <w:pPr>
        <w:spacing w:line="360" w:lineRule="auto"/>
        <w:ind w:firstLine="480" w:firstLineChars="200"/>
        <w:rPr>
          <w:rFonts w:hint="default" w:ascii="Times New Roman" w:hAnsi="Times New Roman" w:cs="Times New Roman"/>
          <w:b w:val="0"/>
          <w:bCs/>
          <w:color w:val="000000" w:themeColor="text1"/>
          <w:lang w:val="sq-AL"/>
          <w14:textFill>
            <w14:solidFill>
              <w14:schemeClr w14:val="tx1"/>
            </w14:solidFill>
          </w14:textFill>
        </w:rPr>
      </w:pPr>
      <w:r>
        <w:rPr>
          <w:rFonts w:hint="default" w:ascii="Times New Roman" w:hAnsi="Times New Roman" w:cs="Times New Roman"/>
          <w:b w:val="0"/>
          <w:bCs/>
          <w:color w:val="000000" w:themeColor="text1"/>
          <w:lang w:val="sq-AL"/>
          <w14:textFill>
            <w14:solidFill>
              <w14:schemeClr w14:val="tx1"/>
            </w14:solidFill>
          </w14:textFill>
        </w:rPr>
        <w:t>烟气循环流化床脱硫除尘一体化</w:t>
      </w:r>
      <w:r>
        <w:rPr>
          <w:rFonts w:hint="default" w:ascii="Times New Roman" w:hAnsi="Times New Roman" w:cs="Times New Roman"/>
          <w:b w:val="0"/>
          <w:bCs/>
          <w:color w:val="000000" w:themeColor="text1"/>
          <w14:textFill>
            <w14:solidFill>
              <w14:schemeClr w14:val="tx1"/>
            </w14:solidFill>
          </w14:textFill>
        </w:rPr>
        <w:t>工艺利用</w:t>
      </w:r>
      <w:r>
        <w:rPr>
          <w:rFonts w:hint="default" w:ascii="Times New Roman" w:hAnsi="Times New Roman" w:cs="Times New Roman"/>
          <w:b w:val="0"/>
          <w:bCs/>
          <w:color w:val="000000" w:themeColor="text1"/>
          <w:lang w:val="sq-AL"/>
          <w14:textFill>
            <w14:solidFill>
              <w14:schemeClr w14:val="tx1"/>
            </w14:solidFill>
          </w14:textFill>
        </w:rPr>
        <w:t>脱硫吸收塔下部的文丘里管加速作用，使进入的烟气和物料在塔内形成循环流化床床体。物料在循环流化床里，气固两相由于气流的作用，产生激烈的湍动与混合，具有很好的传质和传热效果。同时，借助在文丘里出口扩管段的雾化喷水降温作用，使得吸收剂表面形成液膜，可与烟气中SO</w:t>
      </w:r>
      <w:r>
        <w:rPr>
          <w:rFonts w:hint="default" w:ascii="Times New Roman" w:hAnsi="Times New Roman" w:cs="Times New Roman"/>
          <w:b w:val="0"/>
          <w:bCs/>
          <w:color w:val="000000" w:themeColor="text1"/>
          <w:vertAlign w:val="subscript"/>
          <w:lang w:val="sq-AL"/>
          <w14:textFill>
            <w14:solidFill>
              <w14:schemeClr w14:val="tx1"/>
            </w14:solidFill>
          </w14:textFill>
        </w:rPr>
        <w:t>2</w:t>
      </w:r>
      <w:r>
        <w:rPr>
          <w:rFonts w:hint="default" w:ascii="Times New Roman" w:hAnsi="Times New Roman" w:cs="Times New Roman"/>
          <w:b w:val="0"/>
          <w:bCs/>
          <w:color w:val="000000" w:themeColor="text1"/>
          <w:lang w:val="sq-AL"/>
          <w14:textFill>
            <w14:solidFill>
              <w14:schemeClr w14:val="tx1"/>
            </w14:solidFill>
          </w14:textFill>
        </w:rPr>
        <w:t>完成离子型的脱除反应。</w:t>
      </w:r>
    </w:p>
    <w:p>
      <w:pPr>
        <w:spacing w:line="360" w:lineRule="auto"/>
        <w:ind w:firstLine="480" w:firstLineChars="200"/>
        <w:rPr>
          <w:rFonts w:hint="default" w:ascii="Times New Roman" w:hAnsi="Times New Roman" w:cs="Times New Roman"/>
          <w:b w:val="0"/>
          <w:bCs/>
          <w:color w:val="000000" w:themeColor="text1"/>
          <w:lang w:val="sq-AL"/>
          <w14:textFill>
            <w14:solidFill>
              <w14:schemeClr w14:val="tx1"/>
            </w14:solidFill>
          </w14:textFill>
        </w:rPr>
      </w:pPr>
      <w:r>
        <w:rPr>
          <w:rFonts w:hint="default" w:ascii="Times New Roman" w:hAnsi="Times New Roman" w:cs="Times New Roman"/>
          <w:b w:val="0"/>
          <w:bCs/>
          <w:color w:val="000000" w:themeColor="text1"/>
          <w:lang w:val="sq-AL"/>
          <w14:textFill>
            <w14:solidFill>
              <w14:schemeClr w14:val="tx1"/>
            </w14:solidFill>
          </w14:textFill>
        </w:rPr>
        <w:t>净化后的含尘烟气从脱硫吸收塔顶部侧向排出，然后转向进入脱硫后除尘器进行气固分离。该系统最大特点即是可以高效完成脱硫除尘一体化，实现节能增效的目的。</w:t>
      </w:r>
    </w:p>
    <w:p>
      <w:pPr>
        <w:spacing w:line="360" w:lineRule="auto"/>
        <w:ind w:firstLine="480" w:firstLineChars="200"/>
        <w:rPr>
          <w:rFonts w:ascii="宋体" w:hAnsi="宋体"/>
          <w:b w:val="0"/>
          <w:bCs/>
          <w:color w:val="000000" w:themeColor="text1"/>
          <w:lang w:val="it-IT"/>
          <w14:textFill>
            <w14:solidFill>
              <w14:schemeClr w14:val="tx1"/>
            </w14:solidFill>
          </w14:textFill>
        </w:rPr>
      </w:pPr>
      <w:r>
        <w:rPr>
          <w:rFonts w:hint="default" w:ascii="Times New Roman" w:hAnsi="Times New Roman" w:cs="Times New Roman"/>
          <w:b w:val="0"/>
          <w:bCs/>
          <w:color w:val="000000" w:themeColor="text1"/>
          <w:lang w:val="sq-AL"/>
          <w14:textFill>
            <w14:solidFill>
              <w14:schemeClr w14:val="tx1"/>
            </w14:solidFill>
          </w14:textFill>
        </w:rPr>
        <w:t>在吸收塔中，吸收剂（Ca(OH)</w:t>
      </w:r>
      <w:r>
        <w:rPr>
          <w:rFonts w:hint="default" w:ascii="Times New Roman" w:hAnsi="Times New Roman" w:cs="Times New Roman"/>
          <w:b w:val="0"/>
          <w:bCs/>
          <w:color w:val="000000" w:themeColor="text1"/>
          <w:vertAlign w:val="subscript"/>
          <w:lang w:val="sq-AL"/>
          <w14:textFill>
            <w14:solidFill>
              <w14:schemeClr w14:val="tx1"/>
            </w14:solidFill>
          </w14:textFill>
        </w:rPr>
        <w:t>2</w:t>
      </w:r>
      <w:r>
        <w:rPr>
          <w:rFonts w:hint="default" w:ascii="Times New Roman" w:hAnsi="Times New Roman" w:cs="Times New Roman"/>
          <w:b w:val="0"/>
          <w:bCs/>
          <w:color w:val="000000" w:themeColor="text1"/>
          <w:lang w:val="sq-AL"/>
          <w14:textFill>
            <w14:solidFill>
              <w14:schemeClr w14:val="tx1"/>
            </w14:solidFill>
          </w14:textFill>
        </w:rPr>
        <w:t>）可脱除烟气中几乎全部的SO</w:t>
      </w:r>
      <w:r>
        <w:rPr>
          <w:rFonts w:hint="default" w:ascii="Times New Roman" w:hAnsi="Times New Roman" w:cs="Times New Roman"/>
          <w:b w:val="0"/>
          <w:bCs/>
          <w:color w:val="000000" w:themeColor="text1"/>
          <w:vertAlign w:val="subscript"/>
          <w:lang w:val="sq-AL"/>
          <w14:textFill>
            <w14:solidFill>
              <w14:schemeClr w14:val="tx1"/>
            </w14:solidFill>
          </w14:textFill>
        </w:rPr>
        <w:t>3</w:t>
      </w:r>
      <w:r>
        <w:rPr>
          <w:rFonts w:hint="default" w:ascii="Times New Roman" w:hAnsi="Times New Roman" w:cs="Times New Roman"/>
          <w:b w:val="0"/>
          <w:bCs/>
          <w:color w:val="000000" w:themeColor="text1"/>
          <w:lang w:val="sq-AL"/>
          <w14:textFill>
            <w14:solidFill>
              <w14:schemeClr w14:val="tx1"/>
            </w14:solidFill>
          </w14:textFill>
        </w:rPr>
        <w:t>、HCl、HF酸性物质。</w:t>
      </w:r>
    </w:p>
    <w:p>
      <w:pPr>
        <w:pStyle w:val="6"/>
        <w:keepNext w:val="0"/>
        <w:keepLines w:val="0"/>
        <w:pageBreakBefore w:val="0"/>
        <w:widowControl w:val="0"/>
        <w:shd w:val="clear" w:color="auto" w:fill="auto"/>
        <w:kinsoku/>
        <w:wordWrap/>
        <w:overflowPunct w:val="0"/>
        <w:topLinePunct w:val="0"/>
        <w:autoSpaceDE/>
        <w:autoSpaceDN/>
        <w:bidi w:val="0"/>
        <w:adjustRightInd/>
        <w:snapToGrid/>
        <w:spacing w:before="0" w:after="0" w:line="360" w:lineRule="auto"/>
        <w:textAlignment w:val="auto"/>
        <w:outlineLvl w:val="3"/>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2.2.2.4CFB-FGD脱硫</w:t>
      </w:r>
    </w:p>
    <w:p>
      <w:pPr>
        <w:shd w:val="clear" w:color="auto" w:fill="auto"/>
        <w:spacing w:line="360" w:lineRule="auto"/>
        <w:ind w:firstLine="480" w:firstLineChars="200"/>
        <w:rPr>
          <w:rFonts w:hint="default" w:ascii="Times New Roman" w:hAnsi="Times New Roman" w:cs="Times New Roman"/>
          <w:b w:val="0"/>
          <w:bCs/>
          <w:color w:val="000000" w:themeColor="text1"/>
          <w:lang w:val="sq-AL"/>
          <w14:textFill>
            <w14:solidFill>
              <w14:schemeClr w14:val="tx1"/>
            </w14:solidFill>
          </w14:textFill>
        </w:rPr>
      </w:pPr>
      <w:r>
        <w:rPr>
          <w:rFonts w:hint="eastAsia" w:ascii="Times New Roman" w:hAnsi="Times New Roman" w:cs="Times New Roman"/>
          <w:b w:val="0"/>
          <w:bCs/>
          <w:color w:val="000000" w:themeColor="text1"/>
          <w:lang w:val="sq-AL"/>
          <w14:textFill>
            <w14:solidFill>
              <w14:schemeClr w14:val="tx1"/>
            </w14:solidFill>
          </w14:textFill>
        </w:rPr>
        <w:t>（1）CFB-FGD脱硫主要设计原则</w:t>
      </w:r>
    </w:p>
    <w:p>
      <w:pPr>
        <w:shd w:val="clear" w:color="auto" w:fill="auto"/>
        <w:spacing w:line="360" w:lineRule="auto"/>
        <w:ind w:firstLine="480" w:firstLineChars="200"/>
        <w:rPr>
          <w:rFonts w:hint="default" w:ascii="Times New Roman" w:hAnsi="Times New Roman" w:cs="Times New Roman"/>
          <w:b w:val="0"/>
          <w:bCs/>
          <w:color w:val="000000" w:themeColor="text1"/>
          <w:lang w:val="sq-AL"/>
          <w14:textFill>
            <w14:solidFill>
              <w14:schemeClr w14:val="tx1"/>
            </w14:solidFill>
          </w14:textFill>
        </w:rPr>
      </w:pPr>
      <w:r>
        <w:rPr>
          <w:rFonts w:hint="default" w:ascii="Times New Roman" w:hAnsi="Times New Roman" w:cs="Times New Roman"/>
          <w:b w:val="0"/>
          <w:bCs/>
          <w:color w:val="000000" w:themeColor="text1"/>
          <w:lang w:val="sq-AL"/>
          <w14:textFill>
            <w14:solidFill>
              <w14:schemeClr w14:val="tx1"/>
            </w14:solidFill>
          </w14:textFill>
        </w:rPr>
        <w:t>本期工程对</w:t>
      </w:r>
      <w:r>
        <w:rPr>
          <w:rFonts w:hint="eastAsia" w:ascii="Times New Roman" w:hAnsi="Times New Roman" w:cs="Times New Roman"/>
          <w:b w:val="0"/>
          <w:bCs/>
          <w:color w:val="000000" w:themeColor="text1"/>
          <w:lang w:val="sq-AL"/>
          <w14:textFill>
            <w14:solidFill>
              <w14:schemeClr w14:val="tx1"/>
            </w14:solidFill>
          </w14:textFill>
        </w:rPr>
        <w:t>3台锅炉</w:t>
      </w:r>
      <w:r>
        <w:rPr>
          <w:rFonts w:hint="default" w:ascii="Times New Roman" w:hAnsi="Times New Roman" w:cs="Times New Roman"/>
          <w:b w:val="0"/>
          <w:bCs/>
          <w:color w:val="000000" w:themeColor="text1"/>
          <w:lang w:val="sq-AL"/>
          <w14:textFill>
            <w14:solidFill>
              <w14:schemeClr w14:val="tx1"/>
            </w14:solidFill>
          </w14:textFill>
        </w:rPr>
        <w:t>100%烟气进行脱硫。</w:t>
      </w:r>
    </w:p>
    <w:p>
      <w:pPr>
        <w:shd w:val="clear" w:color="auto" w:fill="auto"/>
        <w:spacing w:line="360" w:lineRule="auto"/>
        <w:ind w:firstLine="480" w:firstLineChars="200"/>
        <w:rPr>
          <w:rFonts w:hint="default" w:ascii="Times New Roman" w:hAnsi="Times New Roman" w:cs="Times New Roman"/>
          <w:b w:val="0"/>
          <w:bCs/>
          <w:color w:val="000000" w:themeColor="text1"/>
          <w:lang w:val="sq-AL"/>
          <w14:textFill>
            <w14:solidFill>
              <w14:schemeClr w14:val="tx1"/>
            </w14:solidFill>
          </w14:textFill>
        </w:rPr>
      </w:pPr>
      <w:r>
        <w:rPr>
          <w:rFonts w:hint="default" w:ascii="Times New Roman" w:hAnsi="Times New Roman" w:cs="Times New Roman"/>
          <w:b w:val="0"/>
          <w:bCs/>
          <w:color w:val="000000" w:themeColor="text1"/>
          <w:lang w:val="sq-AL"/>
          <w14:textFill>
            <w14:solidFill>
              <w14:schemeClr w14:val="tx1"/>
            </w14:solidFill>
          </w14:textFill>
        </w:rPr>
        <w:t>每台机组设置</w:t>
      </w:r>
      <w:r>
        <w:rPr>
          <w:rFonts w:hint="eastAsia" w:ascii="Times New Roman" w:hAnsi="Times New Roman" w:cs="Times New Roman"/>
          <w:b w:val="0"/>
          <w:bCs/>
          <w:color w:val="000000" w:themeColor="text1"/>
          <w:lang w:val="sq-AL"/>
          <w14:textFill>
            <w14:solidFill>
              <w14:schemeClr w14:val="tx1"/>
            </w14:solidFill>
          </w14:textFill>
        </w:rPr>
        <w:t>1</w:t>
      </w:r>
      <w:r>
        <w:rPr>
          <w:rFonts w:hint="default" w:ascii="Times New Roman" w:hAnsi="Times New Roman" w:cs="Times New Roman"/>
          <w:b w:val="0"/>
          <w:bCs/>
          <w:color w:val="000000" w:themeColor="text1"/>
          <w:lang w:val="sq-AL"/>
          <w14:textFill>
            <w14:solidFill>
              <w14:schemeClr w14:val="tx1"/>
            </w14:solidFill>
          </w14:textFill>
        </w:rPr>
        <w:t>套烟气脱硫装置。</w:t>
      </w:r>
    </w:p>
    <w:p>
      <w:pPr>
        <w:shd w:val="clear" w:color="auto" w:fill="auto"/>
        <w:spacing w:line="360" w:lineRule="auto"/>
        <w:ind w:firstLine="480" w:firstLineChars="200"/>
        <w:rPr>
          <w:rFonts w:hint="default" w:ascii="Times New Roman" w:hAnsi="Times New Roman" w:cs="Times New Roman"/>
          <w:b w:val="0"/>
          <w:bCs/>
          <w:color w:val="000000" w:themeColor="text1"/>
          <w:lang w:val="sq-AL"/>
          <w14:textFill>
            <w14:solidFill>
              <w14:schemeClr w14:val="tx1"/>
            </w14:solidFill>
          </w14:textFill>
        </w:rPr>
      </w:pPr>
      <w:r>
        <w:rPr>
          <w:rFonts w:hint="eastAsia" w:ascii="Times New Roman" w:hAnsi="Times New Roman" w:cs="Times New Roman"/>
          <w:b w:val="0"/>
          <w:bCs/>
          <w:color w:val="000000" w:themeColor="text1"/>
          <w:lang w:val="sq-AL"/>
          <w14:textFill>
            <w14:solidFill>
              <w14:schemeClr w14:val="tx1"/>
            </w14:solidFill>
          </w14:textFill>
        </w:rPr>
        <w:t>在炉内脱硫效率不低于90%、</w:t>
      </w:r>
      <w:r>
        <w:rPr>
          <w:rFonts w:hint="default" w:ascii="Times New Roman" w:hAnsi="Times New Roman" w:cs="Times New Roman"/>
          <w:b w:val="0"/>
          <w:bCs/>
          <w:color w:val="000000" w:themeColor="text1"/>
          <w:lang w:val="sq-AL"/>
          <w14:textFill>
            <w14:solidFill>
              <w14:schemeClr w14:val="tx1"/>
            </w14:solidFill>
          </w14:textFill>
        </w:rPr>
        <w:t>SO</w:t>
      </w:r>
      <w:r>
        <w:rPr>
          <w:rFonts w:hint="default" w:ascii="Times New Roman" w:hAnsi="Times New Roman" w:cs="Times New Roman"/>
          <w:b w:val="0"/>
          <w:bCs/>
          <w:color w:val="000000" w:themeColor="text1"/>
          <w:vertAlign w:val="subscript"/>
          <w:lang w:val="sq-AL"/>
          <w14:textFill>
            <w14:solidFill>
              <w14:schemeClr w14:val="tx1"/>
            </w14:solidFill>
          </w14:textFill>
        </w:rPr>
        <w:t>2</w:t>
      </w:r>
      <w:r>
        <w:rPr>
          <w:rFonts w:hint="eastAsia" w:ascii="Times New Roman" w:hAnsi="Times New Roman" w:cs="Times New Roman"/>
          <w:b w:val="0"/>
          <w:bCs/>
          <w:color w:val="000000" w:themeColor="text1"/>
          <w:lang w:val="sq-AL"/>
          <w14:textFill>
            <w14:solidFill>
              <w14:schemeClr w14:val="tx1"/>
            </w14:solidFill>
          </w14:textFill>
        </w:rPr>
        <w:t>浓度≤</w:t>
      </w:r>
      <w:r>
        <w:rPr>
          <w:rFonts w:hint="default" w:ascii="Times New Roman" w:hAnsi="Times New Roman" w:cs="Times New Roman"/>
          <w:b w:val="0"/>
          <w:bCs/>
          <w:color w:val="000000" w:themeColor="text1"/>
          <w:lang w:val="sq-AL"/>
          <w14:textFill>
            <w14:solidFill>
              <w14:schemeClr w14:val="tx1"/>
            </w14:solidFill>
          </w14:textFill>
        </w:rPr>
        <w:t>300mg/Nm</w:t>
      </w:r>
      <w:r>
        <w:rPr>
          <w:rFonts w:hint="default" w:ascii="Times New Roman" w:hAnsi="Times New Roman" w:cs="Times New Roman"/>
          <w:b w:val="0"/>
          <w:bCs/>
          <w:color w:val="000000" w:themeColor="text1"/>
          <w:vertAlign w:val="superscript"/>
          <w:lang w:val="sq-AL"/>
          <w14:textFill>
            <w14:solidFill>
              <w14:schemeClr w14:val="tx1"/>
            </w14:solidFill>
          </w14:textFill>
        </w:rPr>
        <w:t>3</w:t>
      </w:r>
      <w:r>
        <w:rPr>
          <w:rFonts w:hint="eastAsia" w:ascii="Times New Roman" w:hAnsi="Times New Roman" w:cs="Times New Roman"/>
          <w:b w:val="0"/>
          <w:bCs/>
          <w:color w:val="000000" w:themeColor="text1"/>
          <w:lang w:val="sq-AL"/>
          <w14:textFill>
            <w14:solidFill>
              <w14:schemeClr w14:val="tx1"/>
            </w14:solidFill>
          </w14:textFill>
        </w:rPr>
        <w:t>（干基，</w:t>
      </w:r>
      <w:r>
        <w:rPr>
          <w:rFonts w:hint="default" w:ascii="Times New Roman" w:hAnsi="Times New Roman" w:cs="Times New Roman"/>
          <w:b w:val="0"/>
          <w:bCs/>
          <w:color w:val="000000" w:themeColor="text1"/>
          <w:lang w:val="sq-AL"/>
          <w14:textFill>
            <w14:solidFill>
              <w14:schemeClr w14:val="tx1"/>
            </w14:solidFill>
          </w14:textFill>
        </w:rPr>
        <w:t>6%O</w:t>
      </w:r>
      <w:r>
        <w:rPr>
          <w:rFonts w:hint="default" w:ascii="Times New Roman" w:hAnsi="Times New Roman" w:cs="Times New Roman"/>
          <w:b w:val="0"/>
          <w:bCs/>
          <w:color w:val="000000" w:themeColor="text1"/>
          <w:vertAlign w:val="subscript"/>
          <w:lang w:val="sq-AL"/>
          <w14:textFill>
            <w14:solidFill>
              <w14:schemeClr w14:val="tx1"/>
            </w14:solidFill>
          </w14:textFill>
        </w:rPr>
        <w:t>2</w:t>
      </w:r>
      <w:r>
        <w:rPr>
          <w:rFonts w:hint="eastAsia" w:ascii="Times New Roman" w:hAnsi="Times New Roman" w:cs="Times New Roman"/>
          <w:b w:val="0"/>
          <w:bCs/>
          <w:color w:val="000000" w:themeColor="text1"/>
          <w:lang w:val="sq-AL"/>
          <w14:textFill>
            <w14:solidFill>
              <w14:schemeClr w14:val="tx1"/>
            </w14:solidFill>
          </w14:textFill>
        </w:rPr>
        <w:t>）的前提下，二级</w:t>
      </w:r>
      <w:r>
        <w:rPr>
          <w:rFonts w:hint="default" w:ascii="Times New Roman" w:hAnsi="Times New Roman" w:cs="Times New Roman"/>
          <w:b w:val="0"/>
          <w:bCs/>
          <w:color w:val="000000" w:themeColor="text1"/>
          <w:lang w:val="sq-AL"/>
          <w14:textFill>
            <w14:solidFill>
              <w14:schemeClr w14:val="tx1"/>
            </w14:solidFill>
          </w14:textFill>
        </w:rPr>
        <w:t>脱硫效率不低于</w:t>
      </w:r>
      <w:r>
        <w:rPr>
          <w:rFonts w:hint="eastAsia" w:ascii="Times New Roman" w:hAnsi="Times New Roman" w:cs="Times New Roman"/>
          <w:b w:val="0"/>
          <w:bCs/>
          <w:color w:val="000000" w:themeColor="text1"/>
          <w:lang w:val="sq-AL"/>
          <w14:textFill>
            <w14:solidFill>
              <w14:schemeClr w14:val="tx1"/>
            </w14:solidFill>
          </w14:textFill>
        </w:rPr>
        <w:t>90</w:t>
      </w:r>
      <w:r>
        <w:rPr>
          <w:rFonts w:hint="default" w:ascii="Times New Roman" w:hAnsi="Times New Roman" w:cs="Times New Roman"/>
          <w:b w:val="0"/>
          <w:bCs/>
          <w:color w:val="000000" w:themeColor="text1"/>
          <w:lang w:val="sq-AL"/>
          <w14:textFill>
            <w14:solidFill>
              <w14:schemeClr w14:val="tx1"/>
            </w14:solidFill>
          </w14:textFill>
        </w:rPr>
        <w:t>%</w:t>
      </w:r>
      <w:r>
        <w:rPr>
          <w:rFonts w:hint="eastAsia" w:ascii="Times New Roman" w:hAnsi="Times New Roman" w:cs="Times New Roman"/>
          <w:b w:val="0"/>
          <w:bCs/>
          <w:color w:val="000000" w:themeColor="text1"/>
          <w:lang w:val="sq-AL"/>
          <w14:textFill>
            <w14:solidFill>
              <w14:schemeClr w14:val="tx1"/>
            </w14:solidFill>
          </w14:textFill>
        </w:rPr>
        <w:t>，满足≤35mg/N</w:t>
      </w:r>
      <w:r>
        <w:rPr>
          <w:rFonts w:hint="default" w:ascii="Times New Roman" w:hAnsi="Times New Roman" w:cs="Times New Roman"/>
          <w:b w:val="0"/>
          <w:bCs/>
          <w:color w:val="000000" w:themeColor="text1"/>
          <w:lang w:val="sq-AL"/>
          <w14:textFill>
            <w14:solidFill>
              <w14:schemeClr w14:val="tx1"/>
            </w14:solidFill>
          </w14:textFill>
        </w:rPr>
        <w:t>m</w:t>
      </w:r>
      <w:r>
        <w:rPr>
          <w:rFonts w:hint="default" w:ascii="Times New Roman" w:hAnsi="Times New Roman" w:cs="Times New Roman"/>
          <w:b w:val="0"/>
          <w:bCs/>
          <w:color w:val="000000" w:themeColor="text1"/>
          <w:vertAlign w:val="superscript"/>
          <w:lang w:val="sq-AL"/>
          <w14:textFill>
            <w14:solidFill>
              <w14:schemeClr w14:val="tx1"/>
            </w14:solidFill>
          </w14:textFill>
        </w:rPr>
        <w:t>3</w:t>
      </w:r>
      <w:r>
        <w:rPr>
          <w:rFonts w:hint="eastAsia" w:ascii="Times New Roman" w:hAnsi="Times New Roman" w:cs="Times New Roman"/>
          <w:b w:val="0"/>
          <w:bCs/>
          <w:color w:val="000000" w:themeColor="text1"/>
          <w:lang w:val="sq-AL"/>
          <w14:textFill>
            <w14:solidFill>
              <w14:schemeClr w14:val="tx1"/>
            </w14:solidFill>
          </w14:textFill>
        </w:rPr>
        <w:t>要求。</w:t>
      </w:r>
    </w:p>
    <w:p>
      <w:pPr>
        <w:shd w:val="clear" w:color="auto" w:fill="auto"/>
        <w:spacing w:line="360" w:lineRule="auto"/>
        <w:ind w:firstLine="480" w:firstLineChars="200"/>
        <w:rPr>
          <w:rFonts w:hint="default" w:ascii="Times New Roman" w:hAnsi="Times New Roman" w:cs="Times New Roman"/>
          <w:b w:val="0"/>
          <w:bCs/>
          <w:color w:val="000000" w:themeColor="text1"/>
          <w:lang w:val="sq-AL"/>
          <w14:textFill>
            <w14:solidFill>
              <w14:schemeClr w14:val="tx1"/>
            </w14:solidFill>
          </w14:textFill>
        </w:rPr>
      </w:pPr>
      <w:r>
        <w:rPr>
          <w:rFonts w:hint="eastAsia" w:ascii="Times New Roman" w:hAnsi="Times New Roman" w:cs="Times New Roman"/>
          <w:b w:val="0"/>
          <w:bCs/>
          <w:color w:val="000000" w:themeColor="text1"/>
          <w:lang w:val="sq-AL"/>
          <w14:textFill>
            <w14:solidFill>
              <w14:schemeClr w14:val="tx1"/>
            </w14:solidFill>
          </w14:textFill>
        </w:rPr>
        <w:t>烟气经半干法脱硫后，温度在75℃左右，采用常规烟道直接排入大气，烟囱的防腐设计按弱腐蚀性烟气考虑</w:t>
      </w:r>
      <w:r>
        <w:rPr>
          <w:rFonts w:hint="default" w:ascii="Times New Roman" w:hAnsi="Times New Roman" w:cs="Times New Roman"/>
          <w:b w:val="0"/>
          <w:bCs/>
          <w:color w:val="000000" w:themeColor="text1"/>
          <w:lang w:val="sq-AL"/>
          <w14:textFill>
            <w14:solidFill>
              <w14:schemeClr w14:val="tx1"/>
            </w14:solidFill>
          </w14:textFill>
        </w:rPr>
        <w:t>。</w:t>
      </w:r>
    </w:p>
    <w:p>
      <w:pPr>
        <w:shd w:val="clear" w:color="auto" w:fill="auto"/>
        <w:spacing w:line="360" w:lineRule="auto"/>
        <w:ind w:firstLine="480" w:firstLineChars="200"/>
        <w:rPr>
          <w:rFonts w:hint="default" w:ascii="Times New Roman" w:hAnsi="Times New Roman" w:cs="Times New Roman"/>
          <w:b w:val="0"/>
          <w:bCs/>
          <w:color w:val="000000" w:themeColor="text1"/>
          <w:lang w:val="sq-AL"/>
          <w14:textFill>
            <w14:solidFill>
              <w14:schemeClr w14:val="tx1"/>
            </w14:solidFill>
          </w14:textFill>
        </w:rPr>
      </w:pPr>
      <w:r>
        <w:rPr>
          <w:rFonts w:hint="default" w:ascii="Times New Roman" w:hAnsi="Times New Roman" w:cs="Times New Roman"/>
          <w:b w:val="0"/>
          <w:bCs/>
          <w:color w:val="000000" w:themeColor="text1"/>
          <w:lang w:val="sq-AL"/>
          <w14:textFill>
            <w14:solidFill>
              <w14:schemeClr w14:val="tx1"/>
            </w14:solidFill>
          </w14:textFill>
        </w:rPr>
        <w:t>脱硫系统</w:t>
      </w:r>
      <w:r>
        <w:rPr>
          <w:rFonts w:hint="eastAsia" w:ascii="Times New Roman" w:hAnsi="Times New Roman" w:cs="Times New Roman"/>
          <w:b w:val="0"/>
          <w:bCs/>
          <w:color w:val="000000" w:themeColor="text1"/>
          <w:lang w:val="sq-AL"/>
          <w14:textFill>
            <w14:solidFill>
              <w14:schemeClr w14:val="tx1"/>
            </w14:solidFill>
          </w14:textFill>
        </w:rPr>
        <w:t>阻力约为2500Pa，由锅炉引风机克服</w:t>
      </w:r>
      <w:r>
        <w:rPr>
          <w:rFonts w:hint="default" w:ascii="Times New Roman" w:hAnsi="Times New Roman" w:cs="Times New Roman"/>
          <w:b w:val="0"/>
          <w:bCs/>
          <w:color w:val="000000" w:themeColor="text1"/>
          <w:lang w:val="sq-AL"/>
          <w14:textFill>
            <w14:solidFill>
              <w14:schemeClr w14:val="tx1"/>
            </w14:solidFill>
          </w14:textFill>
        </w:rPr>
        <w:t>。</w:t>
      </w:r>
    </w:p>
    <w:p>
      <w:pPr>
        <w:shd w:val="clear" w:color="auto" w:fill="auto"/>
        <w:spacing w:line="360" w:lineRule="auto"/>
        <w:ind w:firstLine="480" w:firstLineChars="200"/>
        <w:rPr>
          <w:rFonts w:hint="default" w:ascii="Times New Roman" w:hAnsi="Times New Roman" w:cs="Times New Roman"/>
          <w:b w:val="0"/>
          <w:bCs/>
          <w:color w:val="000000" w:themeColor="text1"/>
          <w:lang w:val="sq-AL"/>
          <w14:textFill>
            <w14:solidFill>
              <w14:schemeClr w14:val="tx1"/>
            </w14:solidFill>
          </w14:textFill>
        </w:rPr>
      </w:pPr>
      <w:r>
        <w:rPr>
          <w:rFonts w:hint="default" w:ascii="Times New Roman" w:hAnsi="Times New Roman" w:cs="Times New Roman"/>
          <w:b w:val="0"/>
          <w:bCs/>
          <w:color w:val="000000" w:themeColor="text1"/>
          <w:lang w:val="sq-AL"/>
          <w14:textFill>
            <w14:solidFill>
              <w14:schemeClr w14:val="tx1"/>
            </w14:solidFill>
          </w14:textFill>
        </w:rPr>
        <w:t>脱硫系统可用率不低于</w:t>
      </w:r>
      <w:r>
        <w:rPr>
          <w:rFonts w:hint="eastAsia" w:ascii="Times New Roman" w:hAnsi="Times New Roman" w:cs="Times New Roman"/>
          <w:b w:val="0"/>
          <w:bCs/>
          <w:color w:val="000000" w:themeColor="text1"/>
          <w:lang w:val="sq-AL"/>
          <w14:textFill>
            <w14:solidFill>
              <w14:schemeClr w14:val="tx1"/>
            </w14:solidFill>
          </w14:textFill>
        </w:rPr>
        <w:t>主机设备可用率</w:t>
      </w:r>
      <w:r>
        <w:rPr>
          <w:rFonts w:hint="default" w:ascii="Times New Roman" w:hAnsi="Times New Roman" w:cs="Times New Roman"/>
          <w:b w:val="0"/>
          <w:bCs/>
          <w:color w:val="000000" w:themeColor="text1"/>
          <w:lang w:val="sq-AL"/>
          <w14:textFill>
            <w14:solidFill>
              <w14:schemeClr w14:val="tx1"/>
            </w14:solidFill>
          </w14:textFill>
        </w:rPr>
        <w:t>，脱硫装置年利用小时数按</w:t>
      </w:r>
      <w:r>
        <w:rPr>
          <w:rFonts w:hint="eastAsia" w:eastAsia="宋体" w:cs="Times New Roman"/>
          <w:b w:val="0"/>
          <w:bCs/>
          <w:color w:val="000000" w:themeColor="text1"/>
          <w:lang w:val="en-US" w:eastAsia="zh-CN"/>
          <w14:textFill>
            <w14:solidFill>
              <w14:schemeClr w14:val="tx1"/>
            </w14:solidFill>
          </w14:textFill>
        </w:rPr>
        <w:t>5500</w:t>
      </w:r>
      <w:r>
        <w:rPr>
          <w:rFonts w:hint="default" w:ascii="Times New Roman" w:hAnsi="Times New Roman" w:cs="Times New Roman"/>
          <w:b w:val="0"/>
          <w:bCs/>
          <w:color w:val="000000" w:themeColor="text1"/>
          <w:lang w:val="sq-AL"/>
          <w14:textFill>
            <w14:solidFill>
              <w14:schemeClr w14:val="tx1"/>
            </w14:solidFill>
          </w14:textFill>
        </w:rPr>
        <w:t>小时计。</w:t>
      </w:r>
    </w:p>
    <w:p>
      <w:pPr>
        <w:shd w:val="clear" w:color="auto" w:fill="auto"/>
        <w:spacing w:line="360" w:lineRule="auto"/>
        <w:ind w:firstLine="480" w:firstLineChars="200"/>
        <w:rPr>
          <w:rFonts w:hint="default" w:ascii="Times New Roman" w:hAnsi="Times New Roman" w:cs="Times New Roman"/>
          <w:b w:val="0"/>
          <w:bCs/>
          <w:color w:val="000000" w:themeColor="text1"/>
          <w:lang w:val="sq-AL"/>
          <w14:textFill>
            <w14:solidFill>
              <w14:schemeClr w14:val="tx1"/>
            </w14:solidFill>
          </w14:textFill>
        </w:rPr>
      </w:pPr>
      <w:r>
        <w:rPr>
          <w:rFonts w:hint="default" w:ascii="Times New Roman" w:hAnsi="Times New Roman" w:cs="Times New Roman"/>
          <w:b w:val="0"/>
          <w:bCs/>
          <w:color w:val="000000" w:themeColor="text1"/>
          <w:lang w:val="sq-AL"/>
          <w14:textFill>
            <w14:solidFill>
              <w14:schemeClr w14:val="tx1"/>
            </w14:solidFill>
          </w14:textFill>
        </w:rPr>
        <w:t>吸收剂</w:t>
      </w:r>
      <w:r>
        <w:rPr>
          <w:rFonts w:hint="eastAsia" w:ascii="Times New Roman" w:hAnsi="Times New Roman" w:cs="Times New Roman"/>
          <w:b w:val="0"/>
          <w:bCs/>
          <w:color w:val="000000" w:themeColor="text1"/>
          <w:lang w:val="sq-AL"/>
          <w14:textFill>
            <w14:solidFill>
              <w14:schemeClr w14:val="tx1"/>
            </w14:solidFill>
          </w14:textFill>
        </w:rPr>
        <w:t>以成品石灰石粉及消石灰粉</w:t>
      </w:r>
      <w:r>
        <w:rPr>
          <w:rFonts w:hint="default" w:ascii="Times New Roman" w:hAnsi="Times New Roman" w:cs="Times New Roman"/>
          <w:b w:val="0"/>
          <w:bCs/>
          <w:color w:val="000000" w:themeColor="text1"/>
          <w:lang w:val="sq-AL"/>
          <w14:textFill>
            <w14:solidFill>
              <w14:schemeClr w14:val="tx1"/>
            </w14:solidFill>
          </w14:textFill>
        </w:rPr>
        <w:t>作为原料进厂。</w:t>
      </w:r>
    </w:p>
    <w:p>
      <w:pPr>
        <w:shd w:val="clear" w:color="auto" w:fill="auto"/>
        <w:spacing w:line="360" w:lineRule="auto"/>
        <w:ind w:firstLine="480" w:firstLineChars="200"/>
        <w:rPr>
          <w:rFonts w:hint="default" w:ascii="Times New Roman" w:hAnsi="Times New Roman" w:cs="Times New Roman"/>
          <w:b w:val="0"/>
          <w:bCs/>
          <w:color w:val="000000" w:themeColor="text1"/>
          <w:lang w:val="sq-AL"/>
          <w14:textFill>
            <w14:solidFill>
              <w14:schemeClr w14:val="tx1"/>
            </w14:solidFill>
          </w14:textFill>
        </w:rPr>
      </w:pPr>
      <w:r>
        <w:rPr>
          <w:rFonts w:hint="eastAsia" w:ascii="Times New Roman" w:hAnsi="Times New Roman" w:cs="Times New Roman"/>
          <w:b w:val="0"/>
          <w:bCs/>
          <w:color w:val="000000" w:themeColor="text1"/>
          <w:lang w:val="sq-AL"/>
          <w14:textFill>
            <w14:solidFill>
              <w14:schemeClr w14:val="tx1"/>
            </w14:solidFill>
          </w14:textFill>
        </w:rPr>
        <w:t>（2）CFB-FGD脱硫</w:t>
      </w:r>
      <w:r>
        <w:rPr>
          <w:rFonts w:hint="default" w:ascii="Times New Roman" w:hAnsi="Times New Roman" w:cs="Times New Roman"/>
          <w:b w:val="0"/>
          <w:bCs/>
          <w:color w:val="000000" w:themeColor="text1"/>
          <w:lang w:val="sq-AL"/>
          <w14:textFill>
            <w14:solidFill>
              <w14:schemeClr w14:val="tx1"/>
            </w14:solidFill>
          </w14:textFill>
        </w:rPr>
        <w:t>吸收剂来源</w:t>
      </w:r>
    </w:p>
    <w:p>
      <w:pPr>
        <w:shd w:val="clear" w:color="auto" w:fill="auto"/>
        <w:spacing w:line="360" w:lineRule="auto"/>
        <w:ind w:firstLine="480" w:firstLineChars="200"/>
        <w:rPr>
          <w:rFonts w:hint="default" w:ascii="Times New Roman" w:hAnsi="Times New Roman" w:cs="Times New Roman"/>
          <w:b w:val="0"/>
          <w:bCs/>
          <w:color w:val="000000" w:themeColor="text1"/>
          <w:lang w:val="sq-AL"/>
          <w14:textFill>
            <w14:solidFill>
              <w14:schemeClr w14:val="tx1"/>
            </w14:solidFill>
          </w14:textFill>
        </w:rPr>
      </w:pPr>
      <w:r>
        <w:rPr>
          <w:rFonts w:hint="eastAsia" w:ascii="Times New Roman" w:hAnsi="Times New Roman" w:cs="Times New Roman"/>
          <w:b w:val="0"/>
          <w:bCs/>
          <w:color w:val="000000" w:themeColor="text1"/>
          <w:lang w:val="sq-AL"/>
          <w14:textFill>
            <w14:solidFill>
              <w14:schemeClr w14:val="tx1"/>
            </w14:solidFill>
          </w14:textFill>
        </w:rPr>
        <w:t>所用脱硫剂主要来自周边地区。</w:t>
      </w:r>
    </w:p>
    <w:p>
      <w:pPr>
        <w:shd w:val="clear" w:color="auto" w:fill="auto"/>
        <w:spacing w:line="360" w:lineRule="auto"/>
        <w:ind w:firstLine="480" w:firstLineChars="200"/>
        <w:rPr>
          <w:rFonts w:hint="default" w:ascii="Times New Roman" w:hAnsi="Times New Roman" w:cs="Times New Roman"/>
          <w:b w:val="0"/>
          <w:bCs/>
          <w:color w:val="000000" w:themeColor="text1"/>
          <w:lang w:val="sq-AL"/>
          <w14:textFill>
            <w14:solidFill>
              <w14:schemeClr w14:val="tx1"/>
            </w14:solidFill>
          </w14:textFill>
        </w:rPr>
      </w:pPr>
      <w:r>
        <w:rPr>
          <w:rFonts w:hint="eastAsia" w:ascii="Times New Roman" w:hAnsi="Times New Roman" w:cs="Times New Roman"/>
          <w:b w:val="0"/>
          <w:bCs/>
          <w:color w:val="000000" w:themeColor="text1"/>
          <w:lang w:val="sq-AL"/>
          <w14:textFill>
            <w14:solidFill>
              <w14:schemeClr w14:val="tx1"/>
            </w14:solidFill>
          </w14:textFill>
        </w:rPr>
        <w:t>（3）CFB-FGD脱硫</w:t>
      </w:r>
      <w:r>
        <w:rPr>
          <w:rFonts w:hint="default" w:ascii="Times New Roman" w:hAnsi="Times New Roman" w:cs="Times New Roman"/>
          <w:b w:val="0"/>
          <w:bCs/>
          <w:color w:val="000000" w:themeColor="text1"/>
          <w:lang w:val="sq-AL"/>
          <w14:textFill>
            <w14:solidFill>
              <w14:schemeClr w14:val="tx1"/>
            </w14:solidFill>
          </w14:textFill>
        </w:rPr>
        <w:t>吸收剂运输</w:t>
      </w:r>
    </w:p>
    <w:p>
      <w:pPr>
        <w:shd w:val="clear" w:color="auto" w:fill="auto"/>
        <w:spacing w:line="360" w:lineRule="auto"/>
        <w:ind w:firstLine="480" w:firstLineChars="200"/>
        <w:rPr>
          <w:rFonts w:hint="default" w:ascii="Times New Roman" w:hAnsi="Times New Roman" w:cs="Times New Roman"/>
          <w:b w:val="0"/>
          <w:bCs/>
          <w:color w:val="000000" w:themeColor="text1"/>
          <w:lang w:val="sq-AL"/>
          <w14:textFill>
            <w14:solidFill>
              <w14:schemeClr w14:val="tx1"/>
            </w14:solidFill>
          </w14:textFill>
        </w:rPr>
      </w:pPr>
      <w:r>
        <w:rPr>
          <w:rFonts w:hint="eastAsia" w:ascii="Times New Roman" w:hAnsi="Times New Roman" w:cs="Times New Roman"/>
          <w:b w:val="0"/>
          <w:bCs/>
          <w:color w:val="000000" w:themeColor="text1"/>
          <w:lang w:val="sq-AL"/>
          <w14:textFill>
            <w14:solidFill>
              <w14:schemeClr w14:val="tx1"/>
            </w14:solidFill>
          </w14:textFill>
        </w:rPr>
        <w:t>粉料由</w:t>
      </w:r>
      <w:r>
        <w:rPr>
          <w:rFonts w:hint="eastAsia" w:eastAsia="宋体" w:cs="Times New Roman"/>
          <w:b w:val="0"/>
          <w:bCs/>
          <w:color w:val="000000" w:themeColor="text1"/>
          <w:lang w:val="sq-AL" w:eastAsia="zh-CN"/>
          <w14:textFill>
            <w14:solidFill>
              <w14:schemeClr w14:val="tx1"/>
            </w14:solidFill>
          </w14:textFill>
        </w:rPr>
        <w:t>密封罐车</w:t>
      </w:r>
      <w:r>
        <w:rPr>
          <w:rFonts w:hint="eastAsia" w:ascii="Times New Roman" w:hAnsi="Times New Roman" w:cs="Times New Roman"/>
          <w:b w:val="0"/>
          <w:bCs/>
          <w:color w:val="000000" w:themeColor="text1"/>
          <w:lang w:val="sq-AL"/>
          <w14:textFill>
            <w14:solidFill>
              <w14:schemeClr w14:val="tx1"/>
            </w14:solidFill>
          </w14:textFill>
        </w:rPr>
        <w:t>运至厂区内卸至粉仓顶部。</w:t>
      </w:r>
    </w:p>
    <w:p>
      <w:pPr>
        <w:shd w:val="clear" w:color="auto" w:fill="auto"/>
        <w:spacing w:line="360" w:lineRule="auto"/>
        <w:ind w:firstLine="480" w:firstLineChars="200"/>
        <w:rPr>
          <w:rFonts w:hint="default" w:ascii="Times New Roman" w:hAnsi="Times New Roman" w:cs="Times New Roman"/>
          <w:b w:val="0"/>
          <w:bCs/>
          <w:color w:val="000000" w:themeColor="text1"/>
          <w:lang w:val="sq-AL"/>
          <w14:textFill>
            <w14:solidFill>
              <w14:schemeClr w14:val="tx1"/>
            </w14:solidFill>
          </w14:textFill>
        </w:rPr>
      </w:pPr>
      <w:r>
        <w:rPr>
          <w:rFonts w:hint="eastAsia" w:ascii="Times New Roman" w:hAnsi="Times New Roman" w:cs="Times New Roman"/>
          <w:b w:val="0"/>
          <w:bCs/>
          <w:color w:val="000000" w:themeColor="text1"/>
          <w:lang w:val="sq-AL"/>
          <w14:textFill>
            <w14:solidFill>
              <w14:schemeClr w14:val="tx1"/>
            </w14:solidFill>
          </w14:textFill>
        </w:rPr>
        <w:t>（4）CFB-FGD脱硫</w:t>
      </w:r>
      <w:r>
        <w:rPr>
          <w:rFonts w:hint="default" w:ascii="Times New Roman" w:hAnsi="Times New Roman" w:cs="Times New Roman"/>
          <w:b w:val="0"/>
          <w:bCs/>
          <w:color w:val="000000" w:themeColor="text1"/>
          <w:lang w:val="sq-AL"/>
          <w14:textFill>
            <w14:solidFill>
              <w14:schemeClr w14:val="tx1"/>
            </w14:solidFill>
          </w14:textFill>
        </w:rPr>
        <w:t>烟气脱硫副产</w:t>
      </w:r>
      <w:r>
        <w:rPr>
          <w:rFonts w:hint="eastAsia" w:ascii="Times New Roman" w:hAnsi="Times New Roman" w:cs="Times New Roman"/>
          <w:b w:val="0"/>
          <w:bCs/>
          <w:color w:val="000000" w:themeColor="text1"/>
          <w:lang w:val="sq-AL"/>
          <w14:textFill>
            <w14:solidFill>
              <w14:schemeClr w14:val="tx1"/>
            </w14:solidFill>
          </w14:textFill>
        </w:rPr>
        <w:t>品</w:t>
      </w:r>
      <w:r>
        <w:rPr>
          <w:rFonts w:hint="default" w:ascii="Times New Roman" w:hAnsi="Times New Roman" w:cs="Times New Roman"/>
          <w:b w:val="0"/>
          <w:bCs/>
          <w:color w:val="000000" w:themeColor="text1"/>
          <w:lang w:val="sq-AL"/>
          <w14:textFill>
            <w14:solidFill>
              <w14:schemeClr w14:val="tx1"/>
            </w14:solidFill>
          </w14:textFill>
        </w:rPr>
        <w:t>处置</w:t>
      </w:r>
    </w:p>
    <w:p>
      <w:pPr>
        <w:shd w:val="clear" w:color="auto" w:fill="auto"/>
        <w:spacing w:line="360" w:lineRule="auto"/>
        <w:ind w:firstLine="480" w:firstLineChars="200"/>
        <w:rPr>
          <w:rFonts w:hint="default" w:ascii="Times New Roman" w:hAnsi="Times New Roman" w:cs="Times New Roman"/>
          <w:b w:val="0"/>
          <w:bCs/>
          <w:color w:val="000000" w:themeColor="text1"/>
          <w:lang w:val="sq-AL"/>
          <w14:textFill>
            <w14:solidFill>
              <w14:schemeClr w14:val="tx1"/>
            </w14:solidFill>
          </w14:textFill>
        </w:rPr>
      </w:pPr>
      <w:r>
        <w:rPr>
          <w:rFonts w:hint="default" w:ascii="Times New Roman" w:hAnsi="Times New Roman" w:cs="Times New Roman"/>
          <w:b w:val="0"/>
          <w:bCs/>
          <w:color w:val="000000" w:themeColor="text1"/>
          <w:lang w:val="sq-AL"/>
          <w14:textFill>
            <w14:solidFill>
              <w14:schemeClr w14:val="tx1"/>
            </w14:solidFill>
          </w14:textFill>
        </w:rPr>
        <w:t>副产物是一种干态的混合物，它包含飞灰及消石灰反应后产生的各种钙基化合物，主要成分为CaSO4·1/2H2O，CaSO3·1/2H2O、少量未完全反应的吸收剂Ca(OH)2及杂质等。由气力输送至灰库。可以用来回填、筑路，制作垃圾场防渗层、防噪隔音墙、免烧砖、海涂围垦、水泥混合材等。</w:t>
      </w:r>
    </w:p>
    <w:p>
      <w:pPr>
        <w:shd w:val="clear" w:color="auto" w:fill="auto"/>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lang w:val="sq-AL"/>
          <w14:textFill>
            <w14:solidFill>
              <w14:schemeClr w14:val="tx1"/>
            </w14:solidFill>
          </w14:textFill>
        </w:rPr>
        <w:t>（5）CFB-FGD脱硫工程设想</w:t>
      </w:r>
    </w:p>
    <w:p>
      <w:pPr>
        <w:spacing w:line="360" w:lineRule="auto"/>
        <w:ind w:firstLine="480" w:firstLineChars="200"/>
        <w:rPr>
          <w:rFonts w:hint="eastAsia" w:ascii="宋体" w:hAnsi="宋体" w:eastAsia="宋体"/>
          <w:b w:val="0"/>
          <w:bCs/>
          <w:color w:val="000000" w:themeColor="text1"/>
          <w:lang w:val="en-US" w:eastAsia="zh-CN"/>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脱硫系统设计基础参数（炉内脱硫90%后，每台炉）</w:t>
      </w:r>
      <w:r>
        <w:rPr>
          <w:rFonts w:hint="default" w:ascii="Times New Roman" w:hAnsi="Times New Roman" w:eastAsia="宋体" w:cs="Times New Roman"/>
          <w:b w:val="0"/>
          <w:bCs/>
          <w:color w:val="000000" w:themeColor="text1"/>
          <w:lang w:eastAsia="zh-CN"/>
          <w14:textFill>
            <w14:solidFill>
              <w14:schemeClr w14:val="tx1"/>
            </w14:solidFill>
          </w14:textFill>
        </w:rPr>
        <w:t>见表</w:t>
      </w:r>
      <w:r>
        <w:rPr>
          <w:rFonts w:hint="default" w:ascii="Times New Roman" w:hAnsi="Times New Roman" w:eastAsia="宋体" w:cs="Times New Roman"/>
          <w:b w:val="0"/>
          <w:bCs/>
          <w:color w:val="000000" w:themeColor="text1"/>
          <w:lang w:val="en-US" w:eastAsia="zh-CN"/>
          <w14:textFill>
            <w14:solidFill>
              <w14:schemeClr w14:val="tx1"/>
            </w14:solidFill>
          </w14:textFill>
        </w:rPr>
        <w:t>2.2-3</w:t>
      </w:r>
      <w:r>
        <w:rPr>
          <w:rFonts w:hint="eastAsia" w:ascii="宋体" w:hAnsi="宋体" w:eastAsia="宋体"/>
          <w:b w:val="0"/>
          <w:bCs/>
          <w:color w:val="000000" w:themeColor="text1"/>
          <w:lang w:val="en-US"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val="0"/>
        <w:snapToGrid w:val="0"/>
        <w:spacing w:before="157" w:beforeLines="50" w:line="240" w:lineRule="auto"/>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表2.2-3</w:t>
      </w:r>
      <w:r>
        <w:rPr>
          <w:rFonts w:hint="default" w:ascii="Times New Roman" w:hAnsi="Times New Roman" w:eastAsia="黑体" w:cs="Times New Roman"/>
          <w:b w:val="0"/>
          <w:bCs/>
          <w:color w:val="000000" w:themeColor="text1"/>
          <w:sz w:val="21"/>
          <w:szCs w:val="21"/>
          <w14:textFill>
            <w14:solidFill>
              <w14:schemeClr w14:val="tx1"/>
            </w14:solidFill>
          </w14:textFill>
        </w:rPr>
        <w:t>脱硫系统设计基础参数</w:t>
      </w:r>
    </w:p>
    <w:tbl>
      <w:tblPr>
        <w:tblStyle w:val="21"/>
        <w:tblW w:w="8522" w:type="dxa"/>
        <w:tblInd w:w="0" w:type="dxa"/>
        <w:tblLayout w:type="fixed"/>
        <w:tblCellMar>
          <w:top w:w="0" w:type="dxa"/>
          <w:left w:w="108" w:type="dxa"/>
          <w:bottom w:w="0" w:type="dxa"/>
          <w:right w:w="108" w:type="dxa"/>
        </w:tblCellMar>
      </w:tblPr>
      <w:tblGrid>
        <w:gridCol w:w="4403"/>
        <w:gridCol w:w="1316"/>
        <w:gridCol w:w="1584"/>
        <w:gridCol w:w="1219"/>
      </w:tblGrid>
      <w:tr>
        <w:tblPrEx>
          <w:tblLayout w:type="fixed"/>
          <w:tblCellMar>
            <w:top w:w="0" w:type="dxa"/>
            <w:left w:w="108" w:type="dxa"/>
            <w:bottom w:w="0" w:type="dxa"/>
            <w:right w:w="108" w:type="dxa"/>
          </w:tblCellMar>
        </w:tblPrEx>
        <w:trPr>
          <w:trHeight w:val="285" w:hRule="atLeast"/>
          <w:tblHeader/>
        </w:trPr>
        <w:tc>
          <w:tcPr>
            <w:tcW w:w="440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项目</w:t>
            </w:r>
          </w:p>
        </w:tc>
        <w:tc>
          <w:tcPr>
            <w:tcW w:w="131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单位</w:t>
            </w:r>
          </w:p>
        </w:tc>
        <w:tc>
          <w:tcPr>
            <w:tcW w:w="1584"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130t/h锅炉</w:t>
            </w:r>
          </w:p>
        </w:tc>
        <w:tc>
          <w:tcPr>
            <w:tcW w:w="121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220t/h锅炉</w:t>
            </w:r>
          </w:p>
        </w:tc>
      </w:tr>
      <w:tr>
        <w:tblPrEx>
          <w:tblLayout w:type="fixed"/>
          <w:tblCellMar>
            <w:top w:w="0" w:type="dxa"/>
            <w:left w:w="108" w:type="dxa"/>
            <w:bottom w:w="0" w:type="dxa"/>
            <w:right w:w="108" w:type="dxa"/>
          </w:tblCellMar>
        </w:tblPrEx>
        <w:trPr>
          <w:trHeight w:val="285" w:hRule="atLeast"/>
        </w:trPr>
        <w:tc>
          <w:tcPr>
            <w:tcW w:w="440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脱硫入口过剩空气系数</w:t>
            </w:r>
          </w:p>
        </w:tc>
        <w:tc>
          <w:tcPr>
            <w:tcW w:w="131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w:t>
            </w:r>
          </w:p>
        </w:tc>
        <w:tc>
          <w:tcPr>
            <w:tcW w:w="1584"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1.3</w:t>
            </w:r>
          </w:p>
        </w:tc>
        <w:tc>
          <w:tcPr>
            <w:tcW w:w="121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1.3</w:t>
            </w:r>
          </w:p>
        </w:tc>
      </w:tr>
      <w:tr>
        <w:tblPrEx>
          <w:tblLayout w:type="fixed"/>
          <w:tblCellMar>
            <w:top w:w="0" w:type="dxa"/>
            <w:left w:w="108" w:type="dxa"/>
            <w:bottom w:w="0" w:type="dxa"/>
            <w:right w:w="108" w:type="dxa"/>
          </w:tblCellMar>
        </w:tblPrEx>
        <w:trPr>
          <w:trHeight w:val="315" w:hRule="atLeast"/>
        </w:trPr>
        <w:tc>
          <w:tcPr>
            <w:tcW w:w="440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脱硫入口烟气流量（标，干态）</w:t>
            </w:r>
          </w:p>
        </w:tc>
        <w:tc>
          <w:tcPr>
            <w:tcW w:w="1316"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Nm</w:t>
            </w:r>
            <w:r>
              <w:rPr>
                <w:rFonts w:hint="default" w:ascii="Times New Roman" w:hAnsi="Times New Roman"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cs="Times New Roman"/>
                <w:b w:val="0"/>
                <w:bCs/>
                <w:color w:val="000000" w:themeColor="text1"/>
                <w:sz w:val="21"/>
                <w:szCs w:val="21"/>
                <w14:textFill>
                  <w14:solidFill>
                    <w14:schemeClr w14:val="tx1"/>
                  </w14:solidFill>
                </w14:textFill>
              </w:rPr>
              <w:t>/h</w:t>
            </w:r>
          </w:p>
        </w:tc>
        <w:tc>
          <w:tcPr>
            <w:tcW w:w="1584"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158000</w:t>
            </w:r>
          </w:p>
        </w:tc>
        <w:tc>
          <w:tcPr>
            <w:tcW w:w="1219"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267400</w:t>
            </w:r>
          </w:p>
        </w:tc>
      </w:tr>
      <w:tr>
        <w:tblPrEx>
          <w:tblLayout w:type="fixed"/>
          <w:tblCellMar>
            <w:top w:w="0" w:type="dxa"/>
            <w:left w:w="108" w:type="dxa"/>
            <w:bottom w:w="0" w:type="dxa"/>
            <w:right w:w="108" w:type="dxa"/>
          </w:tblCellMar>
        </w:tblPrEx>
        <w:trPr>
          <w:trHeight w:val="285" w:hRule="atLeast"/>
        </w:trPr>
        <w:tc>
          <w:tcPr>
            <w:tcW w:w="440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脱硫入口烟气流量（标，湿态）</w:t>
            </w:r>
          </w:p>
        </w:tc>
        <w:tc>
          <w:tcPr>
            <w:tcW w:w="1316"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Nm</w:t>
            </w:r>
            <w:r>
              <w:rPr>
                <w:rFonts w:hint="default" w:ascii="Times New Roman" w:hAnsi="Times New Roman"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cs="Times New Roman"/>
                <w:b w:val="0"/>
                <w:bCs/>
                <w:color w:val="000000" w:themeColor="text1"/>
                <w:sz w:val="21"/>
                <w:szCs w:val="21"/>
                <w14:textFill>
                  <w14:solidFill>
                    <w14:schemeClr w14:val="tx1"/>
                  </w14:solidFill>
                </w14:textFill>
              </w:rPr>
              <w:t>/h</w:t>
            </w:r>
          </w:p>
        </w:tc>
        <w:tc>
          <w:tcPr>
            <w:tcW w:w="1584"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185200</w:t>
            </w:r>
          </w:p>
        </w:tc>
        <w:tc>
          <w:tcPr>
            <w:tcW w:w="1219"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313500</w:t>
            </w:r>
          </w:p>
        </w:tc>
      </w:tr>
      <w:tr>
        <w:tblPrEx>
          <w:tblLayout w:type="fixed"/>
          <w:tblCellMar>
            <w:top w:w="0" w:type="dxa"/>
            <w:left w:w="108" w:type="dxa"/>
            <w:bottom w:w="0" w:type="dxa"/>
            <w:right w:w="108" w:type="dxa"/>
          </w:tblCellMar>
        </w:tblPrEx>
        <w:trPr>
          <w:trHeight w:val="315" w:hRule="atLeast"/>
        </w:trPr>
        <w:tc>
          <w:tcPr>
            <w:tcW w:w="440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脱硫入口烟气温度</w:t>
            </w:r>
          </w:p>
        </w:tc>
        <w:tc>
          <w:tcPr>
            <w:tcW w:w="1316"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w:t>
            </w:r>
          </w:p>
        </w:tc>
        <w:tc>
          <w:tcPr>
            <w:tcW w:w="1584"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135</w:t>
            </w:r>
          </w:p>
        </w:tc>
        <w:tc>
          <w:tcPr>
            <w:tcW w:w="1219"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135</w:t>
            </w:r>
          </w:p>
        </w:tc>
      </w:tr>
      <w:tr>
        <w:tblPrEx>
          <w:tblLayout w:type="fixed"/>
          <w:tblCellMar>
            <w:top w:w="0" w:type="dxa"/>
            <w:left w:w="108" w:type="dxa"/>
            <w:bottom w:w="0" w:type="dxa"/>
            <w:right w:w="108" w:type="dxa"/>
          </w:tblCellMar>
        </w:tblPrEx>
        <w:trPr>
          <w:trHeight w:val="315" w:hRule="atLeast"/>
        </w:trPr>
        <w:tc>
          <w:tcPr>
            <w:tcW w:w="440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脱硫入口烟气流量（湿态）</w:t>
            </w:r>
          </w:p>
        </w:tc>
        <w:tc>
          <w:tcPr>
            <w:tcW w:w="1316"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m</w:t>
            </w:r>
            <w:r>
              <w:rPr>
                <w:rFonts w:hint="default" w:ascii="Times New Roman" w:hAnsi="Times New Roman"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cs="Times New Roman"/>
                <w:b w:val="0"/>
                <w:bCs/>
                <w:color w:val="000000" w:themeColor="text1"/>
                <w:sz w:val="21"/>
                <w:szCs w:val="21"/>
                <w14:textFill>
                  <w14:solidFill>
                    <w14:schemeClr w14:val="tx1"/>
                  </w14:solidFill>
                </w14:textFill>
              </w:rPr>
              <w:t>/h</w:t>
            </w:r>
          </w:p>
        </w:tc>
        <w:tc>
          <w:tcPr>
            <w:tcW w:w="1584"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324000</w:t>
            </w:r>
          </w:p>
        </w:tc>
        <w:tc>
          <w:tcPr>
            <w:tcW w:w="1219"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548300</w:t>
            </w:r>
          </w:p>
        </w:tc>
      </w:tr>
      <w:tr>
        <w:tblPrEx>
          <w:tblLayout w:type="fixed"/>
          <w:tblCellMar>
            <w:top w:w="0" w:type="dxa"/>
            <w:left w:w="108" w:type="dxa"/>
            <w:bottom w:w="0" w:type="dxa"/>
            <w:right w:w="108" w:type="dxa"/>
          </w:tblCellMar>
        </w:tblPrEx>
        <w:trPr>
          <w:trHeight w:val="315" w:hRule="atLeast"/>
        </w:trPr>
        <w:tc>
          <w:tcPr>
            <w:tcW w:w="440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CFB锅炉出口SO</w:t>
            </w:r>
            <w:r>
              <w:rPr>
                <w:rFonts w:hint="default" w:ascii="Times New Roman" w:hAnsi="Times New Roman" w:cs="Times New Roman"/>
                <w:b w:val="0"/>
                <w:bCs/>
                <w:color w:val="000000" w:themeColor="text1"/>
                <w:sz w:val="21"/>
                <w:szCs w:val="21"/>
                <w:vertAlign w:val="subscript"/>
                <w14:textFill>
                  <w14:solidFill>
                    <w14:schemeClr w14:val="tx1"/>
                  </w14:solidFill>
                </w14:textFill>
              </w:rPr>
              <w:t>2</w:t>
            </w:r>
            <w:r>
              <w:rPr>
                <w:rFonts w:hint="default" w:ascii="Times New Roman" w:hAnsi="Times New Roman" w:cs="Times New Roman"/>
                <w:b w:val="0"/>
                <w:bCs/>
                <w:color w:val="000000" w:themeColor="text1"/>
                <w:sz w:val="21"/>
                <w:szCs w:val="21"/>
                <w14:textFill>
                  <w14:solidFill>
                    <w14:schemeClr w14:val="tx1"/>
                  </w14:solidFill>
                </w14:textFill>
              </w:rPr>
              <w:t>排放浓度(干烟气，6%O</w:t>
            </w:r>
            <w:r>
              <w:rPr>
                <w:rFonts w:hint="eastAsia" w:ascii="Times New Roman" w:hAnsi="Times New Roman" w:eastAsia="宋体" w:cs="Times New Roman"/>
                <w:b w:val="0"/>
                <w:bCs/>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b w:val="0"/>
                <w:bCs/>
                <w:color w:val="000000" w:themeColor="text1"/>
                <w:sz w:val="21"/>
                <w:szCs w:val="21"/>
                <w14:textFill>
                  <w14:solidFill>
                    <w14:schemeClr w14:val="tx1"/>
                  </w14:solidFill>
                </w14:textFill>
              </w:rPr>
              <w:t>）</w:t>
            </w:r>
          </w:p>
        </w:tc>
        <w:tc>
          <w:tcPr>
            <w:tcW w:w="1316"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mg/Nm</w:t>
            </w:r>
            <w:r>
              <w:rPr>
                <w:rFonts w:hint="default" w:ascii="Times New Roman" w:hAnsi="Times New Roman" w:cs="Times New Roman"/>
                <w:b w:val="0"/>
                <w:bCs/>
                <w:color w:val="000000" w:themeColor="text1"/>
                <w:sz w:val="21"/>
                <w:szCs w:val="21"/>
                <w:vertAlign w:val="superscript"/>
                <w14:textFill>
                  <w14:solidFill>
                    <w14:schemeClr w14:val="tx1"/>
                  </w14:solidFill>
                </w14:textFill>
              </w:rPr>
              <w:t>3</w:t>
            </w:r>
          </w:p>
        </w:tc>
        <w:tc>
          <w:tcPr>
            <w:tcW w:w="1584"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300</w:t>
            </w:r>
          </w:p>
        </w:tc>
        <w:tc>
          <w:tcPr>
            <w:tcW w:w="1219"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300</w:t>
            </w:r>
          </w:p>
        </w:tc>
      </w:tr>
      <w:tr>
        <w:tblPrEx>
          <w:tblLayout w:type="fixed"/>
          <w:tblCellMar>
            <w:top w:w="0" w:type="dxa"/>
            <w:left w:w="108" w:type="dxa"/>
            <w:bottom w:w="0" w:type="dxa"/>
            <w:right w:w="108" w:type="dxa"/>
          </w:tblCellMar>
        </w:tblPrEx>
        <w:trPr>
          <w:trHeight w:val="315" w:hRule="atLeast"/>
        </w:trPr>
        <w:tc>
          <w:tcPr>
            <w:tcW w:w="440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需要二级脱硫效率</w:t>
            </w:r>
          </w:p>
        </w:tc>
        <w:tc>
          <w:tcPr>
            <w:tcW w:w="1316"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w:t>
            </w:r>
          </w:p>
        </w:tc>
        <w:tc>
          <w:tcPr>
            <w:tcW w:w="1584"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90</w:t>
            </w:r>
          </w:p>
        </w:tc>
        <w:tc>
          <w:tcPr>
            <w:tcW w:w="1219" w:type="dxa"/>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90</w:t>
            </w:r>
          </w:p>
        </w:tc>
      </w:tr>
    </w:tbl>
    <w:p>
      <w:pPr>
        <w:pStyle w:val="6"/>
        <w:keepNext w:val="0"/>
        <w:keepLines w:val="0"/>
        <w:pageBreakBefore w:val="0"/>
        <w:widowControl w:val="0"/>
        <w:shd w:val="clear" w:color="auto" w:fill="auto"/>
        <w:kinsoku/>
        <w:wordWrap/>
        <w:overflowPunct w:val="0"/>
        <w:topLinePunct w:val="0"/>
        <w:autoSpaceDE/>
        <w:autoSpaceDN/>
        <w:bidi w:val="0"/>
        <w:adjustRightInd/>
        <w:snapToGrid/>
        <w:spacing w:before="313" w:beforeLines="100" w:after="0" w:line="360" w:lineRule="auto"/>
        <w:textAlignment w:val="auto"/>
        <w:outlineLvl w:val="3"/>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2.2.2.5脱硫工艺系统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cs="Times New Roman"/>
          <w:b w:val="0"/>
          <w:bCs/>
          <w:color w:val="000000" w:themeColor="text1"/>
          <w:sz w:val="24"/>
          <w:szCs w:val="24"/>
          <w14:textFill>
            <w14:solidFill>
              <w14:schemeClr w14:val="tx1"/>
            </w14:solidFill>
          </w14:textFill>
        </w:rPr>
        <w:t>脱硫除尘岛主要由脱硫吸收塔系统、布袋除尘器、脱硫灰循环系统、吸收剂制备及供应系统、烟气系统、工艺水系统、流化风系统、仪控系统等组成。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cs="Times New Roman"/>
          <w:b w:val="0"/>
          <w:bCs/>
          <w:color w:val="000000" w:themeColor="text1"/>
          <w:sz w:val="24"/>
          <w:szCs w:val="24"/>
          <w14:textFill>
            <w14:solidFill>
              <w14:schemeClr w14:val="tx1"/>
            </w14:solidFill>
          </w14:textFill>
        </w:rPr>
        <w:t>锅炉排出的烟气，从底部进入脱硫塔，烟气经脱硫塔底文丘里结构加速后与加入的吸收剂、循环灰及水发生反应，除去烟气中的SO</w:t>
      </w:r>
      <w:r>
        <w:rPr>
          <w:rFonts w:hint="default" w:ascii="Times New Roman" w:hAnsi="Times New Roman" w:cs="Times New Roman"/>
          <w:b w:val="0"/>
          <w:bCs/>
          <w:color w:val="000000" w:themeColor="text1"/>
          <w:sz w:val="24"/>
          <w:szCs w:val="24"/>
          <w:vertAlign w:val="subscript"/>
          <w14:textFill>
            <w14:solidFill>
              <w14:schemeClr w14:val="tx1"/>
            </w14:solidFill>
          </w14:textFill>
        </w:rPr>
        <w:t>x</w:t>
      </w:r>
      <w:r>
        <w:rPr>
          <w:rFonts w:hint="default" w:ascii="Times New Roman" w:hAnsi="Times New Roman" w:cs="Times New Roman"/>
          <w:b w:val="0"/>
          <w:bCs/>
          <w:color w:val="000000" w:themeColor="text1"/>
          <w:sz w:val="24"/>
          <w:szCs w:val="24"/>
          <w14:textFill>
            <w14:solidFill>
              <w14:schemeClr w14:val="tx1"/>
            </w14:solidFill>
          </w14:textFill>
        </w:rPr>
        <w:t>等气体。烟气中夹带的吸收剂和脱硫灰，在通过脱硫塔下部的文丘里管时，受到气流的加速而悬浮起来，形成激烈的湍动状态，使颗粒与烟气之间具有很大的相对滑落速度，颗粒反应界面不断摩擦、碰撞更新，从而极大地强化了气固间的传热、传质。同时为了达到最佳的反应温度，通过向脱硫塔内喷水，使烟气温度冷却到75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cs="Times New Roman"/>
          <w:b w:val="0"/>
          <w:bCs/>
          <w:color w:val="000000" w:themeColor="text1"/>
          <w:sz w:val="24"/>
          <w:szCs w:val="24"/>
          <w14:textFill>
            <w14:solidFill>
              <w14:schemeClr w14:val="tx1"/>
            </w14:solidFill>
          </w14:textFill>
        </w:rPr>
        <w:t>携带大量吸收剂和反应产物的烟气从脱硫塔顶部侧向下行进入脱硫除尘器，进行气固分离，经气固分离后的烟气含尘量不超过5mg/Nm</w:t>
      </w:r>
      <w:r>
        <w:rPr>
          <w:rFonts w:hint="default" w:ascii="Times New Roman" w:hAnsi="Times New Roman" w:cs="Times New Roman"/>
          <w:b w:val="0"/>
          <w:bCs/>
          <w:color w:val="000000" w:themeColor="text1"/>
          <w:sz w:val="24"/>
          <w:szCs w:val="24"/>
          <w:vertAlign w:val="superscript"/>
          <w14:textFill>
            <w14:solidFill>
              <w14:schemeClr w14:val="tx1"/>
            </w14:solidFill>
          </w14:textFill>
        </w:rPr>
        <w:t>3</w:t>
      </w:r>
      <w:r>
        <w:rPr>
          <w:rFonts w:hint="default" w:ascii="Times New Roman" w:hAnsi="Times New Roman" w:cs="Times New Roman"/>
          <w:b w:val="0"/>
          <w:bCs/>
          <w:color w:val="000000" w:themeColor="text1"/>
          <w:sz w:val="24"/>
          <w:szCs w:val="24"/>
          <w14:textFill>
            <w14:solidFill>
              <w14:schemeClr w14:val="tx1"/>
            </w14:solidFill>
          </w14:textFill>
        </w:rPr>
        <w:t>。为了降低吸收剂的耗量，大部分收集到的细灰及反应混合物返回脱硫塔进一步反应，只有一小部分被认为不再具有吸收能力的较粗颗粒被作为脱硫副产物排到电厂脱硫灰库。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cs="Times New Roman"/>
          <w:b w:val="0"/>
          <w:bCs/>
          <w:color w:val="000000" w:themeColor="text1"/>
          <w:sz w:val="24"/>
          <w:szCs w:val="24"/>
          <w14:textFill>
            <w14:solidFill>
              <w14:schemeClr w14:val="tx1"/>
            </w14:solidFill>
          </w14:textFill>
        </w:rPr>
        <w:t>最后经除尘器净化后的烟气经引风机排入烟囱。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cs="Times New Roman"/>
          <w:b w:val="0"/>
          <w:bCs/>
          <w:color w:val="000000" w:themeColor="text1"/>
          <w:sz w:val="24"/>
          <w:szCs w:val="24"/>
          <w14:textFill>
            <w14:solidFill>
              <w14:schemeClr w14:val="tx1"/>
            </w14:solidFill>
          </w14:textFill>
        </w:rPr>
        <w:t>FGD装置布置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cs="Times New Roman"/>
          <w:b w:val="0"/>
          <w:bCs/>
          <w:color w:val="000000" w:themeColor="text1"/>
          <w:sz w:val="24"/>
          <w:szCs w:val="24"/>
          <w14:textFill>
            <w14:solidFill>
              <w14:schemeClr w14:val="tx1"/>
            </w14:solidFill>
          </w14:textFill>
        </w:rPr>
        <w:t>本工程脱硫场地布置在CFB锅炉出口与引风机之间，采用一炉一塔的布置方式，与CFB锅炉及引风机串联布置。锅炉排出的烟气，从底部进入脱硫塔，脱硫后的烟气经过脱硫除尘器后由引风机排往烟囱。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cs="Times New Roman"/>
          <w:b w:val="0"/>
          <w:bCs/>
          <w:color w:val="000000" w:themeColor="text1"/>
          <w:sz w:val="24"/>
          <w:szCs w:val="24"/>
          <w14:textFill>
            <w14:solidFill>
              <w14:schemeClr w14:val="tx1"/>
            </w14:solidFill>
          </w14:textFill>
        </w:rPr>
        <w:t>脱硫除尘岛的主要构筑物有</w:t>
      </w:r>
      <w:r>
        <w:rPr>
          <w:rFonts w:hint="eastAsia" w:eastAsia="宋体" w:cs="Times New Roman"/>
          <w:b w:val="0"/>
          <w:bCs/>
          <w:color w:val="000000" w:themeColor="text1"/>
          <w:sz w:val="24"/>
          <w:szCs w:val="24"/>
          <w:lang w:eastAsia="zh-CN"/>
          <w14:textFill>
            <w14:solidFill>
              <w14:schemeClr w14:val="tx1"/>
            </w14:solidFill>
          </w14:textFill>
        </w:rPr>
        <w:t>石灰石粉仓</w:t>
      </w:r>
      <w:r>
        <w:rPr>
          <w:rFonts w:hint="default" w:ascii="Times New Roman" w:hAnsi="Times New Roman" w:cs="Times New Roman"/>
          <w:b w:val="0"/>
          <w:bCs/>
          <w:color w:val="000000" w:themeColor="text1"/>
          <w:sz w:val="24"/>
          <w:szCs w:val="24"/>
          <w14:textFill>
            <w14:solidFill>
              <w14:schemeClr w14:val="tx1"/>
            </w14:solidFill>
          </w14:textFill>
        </w:rPr>
        <w:t>、消石灰仓、吸收塔、除尘器和脱硫除尘控制楼等。</w:t>
      </w:r>
      <w:r>
        <w:rPr>
          <w:rFonts w:hint="eastAsia" w:eastAsia="宋体" w:cs="Times New Roman"/>
          <w:b w:val="0"/>
          <w:bCs/>
          <w:color w:val="000000" w:themeColor="text1"/>
          <w:sz w:val="24"/>
          <w:szCs w:val="24"/>
          <w:lang w:eastAsia="zh-CN"/>
          <w14:textFill>
            <w14:solidFill>
              <w14:schemeClr w14:val="tx1"/>
            </w14:solidFill>
          </w14:textFill>
        </w:rPr>
        <w:t>石灰石粉仓</w:t>
      </w:r>
      <w:r>
        <w:rPr>
          <w:rFonts w:hint="default" w:ascii="Times New Roman" w:hAnsi="Times New Roman" w:cs="Times New Roman"/>
          <w:b w:val="0"/>
          <w:bCs/>
          <w:color w:val="000000" w:themeColor="text1"/>
          <w:sz w:val="24"/>
          <w:szCs w:val="24"/>
          <w14:textFill>
            <w14:solidFill>
              <w14:schemeClr w14:val="tx1"/>
            </w14:solidFill>
          </w14:textFill>
        </w:rPr>
        <w:t>、消石灰仓、脱硫塔、脱硫除尘器均采用钢支架支撑。各主要工艺生产装置和辅助设施围绕脱硫塔，按工艺要求集中布置，各设备的平面和空间组合最大限度地节省用地。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cs="Times New Roman"/>
          <w:b w:val="0"/>
          <w:bCs/>
          <w:color w:val="000000" w:themeColor="text1"/>
          <w:sz w:val="24"/>
          <w:szCs w:val="24"/>
          <w14:textFill>
            <w14:solidFill>
              <w14:schemeClr w14:val="tx1"/>
            </w14:solidFill>
          </w14:textFill>
        </w:rPr>
        <w:t>吸收剂制备系统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cs="Times New Roman"/>
          <w:b w:val="0"/>
          <w:bCs/>
          <w:color w:val="000000" w:themeColor="text1"/>
          <w:sz w:val="24"/>
          <w:szCs w:val="24"/>
          <w14:textFill>
            <w14:solidFill>
              <w14:schemeClr w14:val="tx1"/>
            </w14:solidFill>
          </w14:textFill>
        </w:rPr>
        <w:t>CFB炉内喷入石灰石粉，煅烧生成生石灰（CaO），由于炉内喷钙按钙硫摩尔比2.0喷入，而实际发生化学反应为1.0，故还有剩余1.0几乎全随飞灰流出锅炉尾部，这为二级脱硫直接提供了无价之便。</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2"/>
        <w:rPr>
          <w:rFonts w:hint="default"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2.2.3</w:t>
      </w:r>
      <w:r>
        <w:rPr>
          <w:rFonts w:hint="default"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烟气脱硝工艺系统及设备</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3"/>
        <w:rPr>
          <w:rFonts w:hint="default"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2.2.3.</w:t>
      </w:r>
      <w:r>
        <w:rPr>
          <w:rFonts w:hint="default"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1脱硝工艺系统</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煤燃烧过程中产生的氮氧化物主要是一氧化氮(NO)和二氧化氮(NO</w:t>
      </w:r>
      <w:r>
        <w:rPr>
          <w:rFonts w:hint="default" w:ascii="Times New Roman" w:hAnsi="Times New Roman" w:cs="Times New Roman"/>
          <w:b w:val="0"/>
          <w:bCs/>
          <w:color w:val="000000" w:themeColor="text1"/>
          <w:vertAlign w:val="subscript"/>
          <w14:textFill>
            <w14:solidFill>
              <w14:schemeClr w14:val="tx1"/>
            </w14:solidFill>
          </w14:textFill>
        </w:rPr>
        <w:t>2</w:t>
      </w:r>
      <w:r>
        <w:rPr>
          <w:rFonts w:hint="default" w:ascii="Times New Roman" w:hAnsi="Times New Roman" w:cs="Times New Roman"/>
          <w:b w:val="0"/>
          <w:bCs/>
          <w:color w:val="000000" w:themeColor="text1"/>
          <w14:textFill>
            <w14:solidFill>
              <w14:schemeClr w14:val="tx1"/>
            </w14:solidFill>
          </w14:textFill>
        </w:rPr>
        <w:t>)，这两种统称为氮氧化物(NOx)，在煤燃烧过程中氮氧化物的生成量和排放量与煤的燃烧方式，特别是燃烧温度和过量空气系数等燃烧条件有关。</w:t>
      </w:r>
    </w:p>
    <w:p>
      <w:pPr>
        <w:spacing w:line="360" w:lineRule="auto"/>
        <w:ind w:firstLine="480" w:firstLineChars="200"/>
        <w:rPr>
          <w:rFonts w:hint="default" w:ascii="Times New Roman" w:hAnsi="Times New Roman" w:cs="Times New Roman"/>
          <w:b w:val="0"/>
          <w:bCs/>
          <w:color w:val="000000" w:themeColor="text1"/>
          <w:lang w:val="en-GB"/>
          <w14:textFill>
            <w14:solidFill>
              <w14:schemeClr w14:val="tx1"/>
            </w14:solidFill>
          </w14:textFill>
        </w:rPr>
      </w:pPr>
      <w:r>
        <w:rPr>
          <w:rFonts w:hint="default" w:ascii="Times New Roman" w:hAnsi="Times New Roman" w:cs="Times New Roman"/>
          <w:b w:val="0"/>
          <w:bCs/>
          <w:color w:val="000000" w:themeColor="text1"/>
          <w:lang w:val="en-GB"/>
          <w14:textFill>
            <w14:solidFill>
              <w14:schemeClr w14:val="tx1"/>
            </w14:solidFill>
          </w14:textFill>
        </w:rPr>
        <w:t>烟气脱硝工艺的选择应根据具体的锅炉型式和负荷、烟气条件和NOx浓度、需要达到的效率、还原剂供给条件、场地条件和预热器等因素综合考虑，以达到最佳的技术经济性能。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pacing w:val="0"/>
          <w:w w:val="100"/>
          <w:kern w:val="0"/>
          <w:position w:val="0"/>
          <w:sz w:val="24"/>
          <w:szCs w:val="24"/>
          <w:lang w:val="en-US" w:eastAsia="zh-CN" w:bidi="ar"/>
          <w14:textFill>
            <w14:solidFill>
              <w14:schemeClr w14:val="tx1"/>
            </w14:solidFill>
          </w14:textFill>
        </w:rPr>
      </w:pPr>
      <w:r>
        <w:rPr>
          <w:rFonts w:hint="eastAsia" w:ascii="宋体" w:hAnsi="宋体" w:eastAsia="宋体" w:cs="宋体"/>
          <w:color w:val="000000" w:themeColor="text1"/>
          <w:spacing w:val="0"/>
          <w:w w:val="100"/>
          <w:kern w:val="0"/>
          <w:position w:val="0"/>
          <w:sz w:val="24"/>
          <w:szCs w:val="24"/>
          <w:lang w:val="en-US" w:eastAsia="zh-CN" w:bidi="ar"/>
          <w14:textFill>
            <w14:solidFill>
              <w14:schemeClr w14:val="tx1"/>
            </w14:solidFill>
          </w14:textFill>
        </w:rPr>
        <w:t>本项目采用采用</w:t>
      </w:r>
      <w:r>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NH</w:t>
      </w:r>
      <w:r>
        <w:rPr>
          <w:rFonts w:hint="default" w:ascii="Times New Roman" w:hAnsi="Times New Roman" w:eastAsia="宋体" w:cs="Times New Roman"/>
          <w:color w:val="000000" w:themeColor="text1"/>
          <w:spacing w:val="0"/>
          <w:w w:val="100"/>
          <w:kern w:val="0"/>
          <w:position w:val="0"/>
          <w:sz w:val="24"/>
          <w:szCs w:val="24"/>
          <w:vertAlign w:val="subscript"/>
          <w:lang w:val="en-US" w:eastAsia="zh-CN" w:bidi="ar"/>
          <w14:textFill>
            <w14:solidFill>
              <w14:schemeClr w14:val="tx1"/>
            </w14:solidFill>
          </w14:textFill>
        </w:rPr>
        <w:t>3</w:t>
      </w:r>
      <w:r>
        <w:rPr>
          <w:rFonts w:hint="eastAsia" w:ascii="宋体" w:hAnsi="宋体" w:eastAsia="宋体" w:cs="宋体"/>
          <w:color w:val="000000" w:themeColor="text1"/>
          <w:spacing w:val="0"/>
          <w:w w:val="100"/>
          <w:kern w:val="0"/>
          <w:position w:val="0"/>
          <w:sz w:val="24"/>
          <w:szCs w:val="24"/>
          <w:lang w:val="en-US" w:eastAsia="zh-CN" w:bidi="ar"/>
          <w14:textFill>
            <w14:solidFill>
              <w14:schemeClr w14:val="tx1"/>
            </w14:solidFill>
          </w14:textFill>
        </w:rPr>
        <w:t>作为还原剂，在温度为</w:t>
      </w:r>
      <w:r>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900</w:t>
      </w:r>
      <w:r>
        <w:rPr>
          <w:rFonts w:hint="eastAsia" w:ascii="宋体" w:hAnsi="宋体" w:eastAsia="宋体" w:cs="宋体"/>
          <w:color w:val="000000" w:themeColor="text1"/>
          <w:spacing w:val="0"/>
          <w:w w:val="100"/>
          <w:kern w:val="0"/>
          <w:positio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1100</w:t>
      </w:r>
      <w:r>
        <w:rPr>
          <w:rFonts w:hint="eastAsia" w:ascii="宋体" w:hAnsi="宋体" w:eastAsia="宋体" w:cs="宋体"/>
          <w:color w:val="000000" w:themeColor="text1"/>
          <w:spacing w:val="0"/>
          <w:w w:val="100"/>
          <w:kern w:val="0"/>
          <w:position w:val="0"/>
          <w:sz w:val="24"/>
          <w:szCs w:val="24"/>
          <w:lang w:val="en-US" w:eastAsia="zh-CN" w:bidi="ar"/>
          <w14:textFill>
            <w14:solidFill>
              <w14:schemeClr w14:val="tx1"/>
            </w14:solidFill>
          </w14:textFill>
        </w:rPr>
        <w:t>℃的范围内，还原</w:t>
      </w:r>
      <w:r>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NOx</w:t>
      </w:r>
      <w:r>
        <w:rPr>
          <w:rFonts w:hint="eastAsia" w:ascii="宋体" w:hAnsi="宋体" w:eastAsia="宋体" w:cs="宋体"/>
          <w:color w:val="000000" w:themeColor="text1"/>
          <w:spacing w:val="0"/>
          <w:w w:val="100"/>
          <w:kern w:val="0"/>
          <w:position w:val="0"/>
          <w:sz w:val="24"/>
          <w:szCs w:val="24"/>
          <w:lang w:val="en-US" w:eastAsia="zh-CN" w:bidi="ar"/>
          <w14:textFill>
            <w14:solidFill>
              <w14:schemeClr w14:val="tx1"/>
            </w14:solidFill>
          </w14:textFill>
        </w:rPr>
        <w:t>的化学反应方程式主要为：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4NH</w:t>
      </w:r>
      <w:r>
        <w:rPr>
          <w:rFonts w:hint="default" w:ascii="Times New Roman" w:hAnsi="Times New Roman" w:eastAsia="宋体" w:cs="Times New Roman"/>
          <w:color w:val="000000" w:themeColor="text1"/>
          <w:spacing w:val="0"/>
          <w:w w:val="100"/>
          <w:kern w:val="0"/>
          <w:positio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+ 4NO+O</w:t>
      </w:r>
      <w:r>
        <w:rPr>
          <w:rFonts w:hint="default" w:ascii="Times New Roman" w:hAnsi="Times New Roman" w:eastAsia="宋体" w:cs="Times New Roman"/>
          <w:color w:val="000000" w:themeColor="text1"/>
          <w:spacing w:val="0"/>
          <w:w w:val="100"/>
          <w:kern w:val="0"/>
          <w:position w:val="0"/>
          <w:sz w:val="24"/>
          <w:szCs w:val="24"/>
          <w:vertAlign w:val="subscript"/>
          <w:lang w:val="en-US" w:eastAsia="zh-CN" w:bidi="ar"/>
          <w14:textFill>
            <w14:solidFill>
              <w14:schemeClr w14:val="tx1"/>
            </w14:solidFill>
          </w14:textFill>
        </w:rPr>
        <w:t>2</w:t>
      </w:r>
      <w:r>
        <w:rPr>
          <w:rFonts w:hint="eastAsia" w:ascii="宋体" w:hAnsi="宋体" w:eastAsia="宋体" w:cs="宋体"/>
          <w:color w:val="000000" w:themeColor="text1"/>
          <w:spacing w:val="0"/>
          <w:w w:val="100"/>
          <w:kern w:val="0"/>
          <w:positio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4N</w:t>
      </w:r>
      <w:r>
        <w:rPr>
          <w:rFonts w:hint="default" w:ascii="Times New Roman" w:hAnsi="Times New Roman" w:eastAsia="宋体" w:cs="Times New Roman"/>
          <w:color w:val="000000" w:themeColor="text1"/>
          <w:spacing w:val="0"/>
          <w:w w:val="100"/>
          <w:kern w:val="0"/>
          <w:positio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 xml:space="preserve">+6H2O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4NH</w:t>
      </w:r>
      <w:r>
        <w:rPr>
          <w:rFonts w:hint="default" w:ascii="Times New Roman" w:hAnsi="Times New Roman" w:eastAsia="宋体" w:cs="Times New Roman"/>
          <w:color w:val="000000" w:themeColor="text1"/>
          <w:spacing w:val="0"/>
          <w:w w:val="100"/>
          <w:kern w:val="0"/>
          <w:positio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+ 2NO+2O</w:t>
      </w:r>
      <w:r>
        <w:rPr>
          <w:rFonts w:hint="default" w:ascii="Times New Roman" w:hAnsi="Times New Roman" w:eastAsia="宋体" w:cs="Times New Roman"/>
          <w:color w:val="000000" w:themeColor="text1"/>
          <w:spacing w:val="0"/>
          <w:w w:val="100"/>
          <w:kern w:val="0"/>
          <w:position w:val="0"/>
          <w:sz w:val="24"/>
          <w:szCs w:val="24"/>
          <w:vertAlign w:val="subscript"/>
          <w:lang w:val="en-US" w:eastAsia="zh-CN" w:bidi="ar"/>
          <w14:textFill>
            <w14:solidFill>
              <w14:schemeClr w14:val="tx1"/>
            </w14:solidFill>
          </w14:textFill>
        </w:rPr>
        <w:t>2</w:t>
      </w:r>
      <w:r>
        <w:rPr>
          <w:rFonts w:hint="eastAsia" w:ascii="宋体" w:hAnsi="宋体" w:eastAsia="宋体" w:cs="宋体"/>
          <w:color w:val="000000" w:themeColor="text1"/>
          <w:spacing w:val="0"/>
          <w:w w:val="100"/>
          <w:kern w:val="0"/>
          <w:positio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3N</w:t>
      </w:r>
      <w:r>
        <w:rPr>
          <w:rFonts w:hint="default" w:ascii="Times New Roman" w:hAnsi="Times New Roman" w:eastAsia="宋体" w:cs="Times New Roman"/>
          <w:color w:val="000000" w:themeColor="text1"/>
          <w:spacing w:val="0"/>
          <w:w w:val="100"/>
          <w:kern w:val="0"/>
          <w:positio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 xml:space="preserve">+6H2O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themeColor="text1"/>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8NH</w:t>
      </w:r>
      <w:r>
        <w:rPr>
          <w:rFonts w:hint="default" w:ascii="Times New Roman" w:hAnsi="Times New Roman" w:eastAsia="宋体" w:cs="Times New Roman"/>
          <w:color w:val="000000" w:themeColor="text1"/>
          <w:spacing w:val="0"/>
          <w:w w:val="100"/>
          <w:kern w:val="0"/>
          <w:positio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+ 6NO</w:t>
      </w:r>
      <w:r>
        <w:rPr>
          <w:rFonts w:hint="default" w:ascii="Times New Roman" w:hAnsi="Times New Roman" w:eastAsia="宋体" w:cs="Times New Roman"/>
          <w:color w:val="000000" w:themeColor="text1"/>
          <w:spacing w:val="0"/>
          <w:w w:val="100"/>
          <w:kern w:val="0"/>
          <w:position w:val="0"/>
          <w:sz w:val="24"/>
          <w:szCs w:val="24"/>
          <w:vertAlign w:val="subscript"/>
          <w:lang w:val="en-US" w:eastAsia="zh-CN" w:bidi="ar"/>
          <w14:textFill>
            <w14:solidFill>
              <w14:schemeClr w14:val="tx1"/>
            </w14:solidFill>
          </w14:textFill>
        </w:rPr>
        <w:t>2</w:t>
      </w:r>
      <w:r>
        <w:rPr>
          <w:rFonts w:hint="eastAsia" w:ascii="宋体" w:hAnsi="宋体" w:eastAsia="宋体" w:cs="宋体"/>
          <w:color w:val="000000" w:themeColor="text1"/>
          <w:spacing w:val="0"/>
          <w:w w:val="100"/>
          <w:kern w:val="0"/>
          <w:positio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7N2 +12H</w:t>
      </w:r>
      <w:r>
        <w:rPr>
          <w:rFonts w:hint="default" w:ascii="Times New Roman" w:hAnsi="Times New Roman" w:eastAsia="宋体" w:cs="Times New Roman"/>
          <w:color w:val="000000" w:themeColor="text1"/>
          <w:spacing w:val="0"/>
          <w:w w:val="100"/>
          <w:kern w:val="0"/>
          <w:positio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 xml:space="preserve">O </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SNCR系统将细小的还原剂溶液雾滴喷入炉膛中并使其均匀分布，SNCR系统是一个炉内的燃烧后脱硝反应，还原剂溶液雾滴在炉膛内相应温度窗口区域的精细分布程度是该系统性能的重要影响因素。系统储存一定浓度的还原剂溶液，利用电厂提供的稀释水将还原剂溶液进一步稀释到预设的浓度，并将它循环输送到炉侧，并通过计量模块精确计量脱硝反应所需的还原剂溶液被输送到喷枪。喷枪利用机械雾化或携带风将所需的还原剂溶液喷入炉膛中。在系统优化和调试期间，每支枪的雾化性能和流速等还要根据锅炉的实际运行负荷和NOx浓度进行进一步的调整以更好的满足系统要</w:t>
      </w:r>
      <w:r>
        <w:rPr>
          <w:rFonts w:hint="eastAsia" w:ascii="Times New Roman" w:hAnsi="Times New Roman" w:eastAsia="宋体" w:cs="Times New Roman"/>
          <w:color w:val="000000" w:themeColor="text1"/>
          <w:spacing w:val="0"/>
          <w:w w:val="100"/>
          <w:kern w:val="0"/>
          <w:position w:val="0"/>
          <w:sz w:val="24"/>
          <w:szCs w:val="24"/>
          <w:lang w:val="en-US" w:eastAsia="zh-CN" w:bidi="ar"/>
          <w14:textFill>
            <w14:solidFill>
              <w14:schemeClr w14:val="tx1"/>
            </w14:solidFill>
          </w14:textFill>
        </w:rPr>
        <w:t>。</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2.2.3.</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2脱硝剂消耗量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本工程脱硝工艺采用非催化还原(SNCR)烟气脱硝技术，外购氨水（浓度20%）作为脱硝还原剂，按锅炉额度负荷工况全烟气脱硝，脱硝效率大于60%，脱硝后烟气NOx含量≤50mg/Nm</w:t>
      </w:r>
      <w:r>
        <w:rPr>
          <w:rFonts w:hint="default" w:ascii="Times New Roman" w:hAnsi="Times New Roman" w:cs="Times New Roman"/>
          <w:b w:val="0"/>
          <w:bCs/>
          <w:color w:val="000000" w:themeColor="text1"/>
          <w:vertAlign w:val="superscript"/>
          <w14:textFill>
            <w14:solidFill>
              <w14:schemeClr w14:val="tx1"/>
            </w14:solidFill>
          </w14:textFill>
        </w:rPr>
        <w:t>3</w:t>
      </w:r>
      <w:r>
        <w:rPr>
          <w:rFonts w:hint="default" w:ascii="Times New Roman" w:hAnsi="Times New Roman" w:cs="Times New Roman"/>
          <w:b w:val="0"/>
          <w:bCs/>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本工程氨水耗量，见下表</w:t>
      </w:r>
      <w:r>
        <w:rPr>
          <w:rFonts w:hint="default" w:ascii="Times New Roman" w:hAnsi="Times New Roman" w:eastAsia="宋体" w:cs="Times New Roman"/>
          <w:b w:val="0"/>
          <w:bCs/>
          <w:color w:val="000000" w:themeColor="text1"/>
          <w:lang w:val="en-US" w:eastAsia="zh-CN"/>
          <w14:textFill>
            <w14:solidFill>
              <w14:schemeClr w14:val="tx1"/>
            </w14:solidFill>
          </w14:textFill>
        </w:rPr>
        <w:t>2.2-4</w:t>
      </w:r>
      <w:r>
        <w:rPr>
          <w:rFonts w:hint="default" w:ascii="Times New Roman" w:hAnsi="Times New Roman" w:cs="Times New Roman"/>
          <w:b w:val="0"/>
          <w:bCs/>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b w:val="0"/>
          <w:bCs/>
          <w:color w:val="000000" w:themeColor="text1"/>
          <w:sz w:val="21"/>
          <w:szCs w:val="21"/>
          <w14:textFill>
            <w14:solidFill>
              <w14:schemeClr w14:val="tx1"/>
            </w14:solidFill>
          </w14:textFill>
        </w:rPr>
      </w:pPr>
      <w:r>
        <w:rPr>
          <w:rFonts w:hint="default" w:ascii="Times New Roman" w:hAnsi="Times New Roman" w:eastAsia="黑体" w:cs="Times New Roman"/>
          <w:b w:val="0"/>
          <w:bCs/>
          <w:color w:val="000000" w:themeColor="text1"/>
          <w:sz w:val="21"/>
          <w:szCs w:val="21"/>
          <w:lang w:eastAsia="zh-CN"/>
          <w14:textFill>
            <w14:solidFill>
              <w14:schemeClr w14:val="tx1"/>
            </w14:solidFill>
          </w14:textFill>
        </w:rPr>
        <w:t>表</w:t>
      </w:r>
      <w:r>
        <w:rPr>
          <w:rFonts w:hint="default" w:ascii="Times New Roman" w:hAnsi="Times New Roman" w:eastAsia="黑体" w:cs="Times New Roman"/>
          <w:b w:val="0"/>
          <w:bCs/>
          <w:color w:val="000000" w:themeColor="text1"/>
          <w:sz w:val="21"/>
          <w:szCs w:val="21"/>
          <w:lang w:val="en-US" w:eastAsia="zh-CN"/>
          <w14:textFill>
            <w14:solidFill>
              <w14:schemeClr w14:val="tx1"/>
            </w14:solidFill>
          </w14:textFill>
        </w:rPr>
        <w:t>2.2-4</w:t>
      </w:r>
      <w:r>
        <w:rPr>
          <w:rFonts w:hint="default" w:ascii="Times New Roman" w:hAnsi="Times New Roman" w:eastAsia="黑体" w:cs="Times New Roman"/>
          <w:b w:val="0"/>
          <w:bCs/>
          <w:color w:val="000000" w:themeColor="text1"/>
          <w:sz w:val="21"/>
          <w:szCs w:val="21"/>
          <w14:textFill>
            <w14:solidFill>
              <w14:schemeClr w14:val="tx1"/>
            </w14:solidFill>
          </w14:textFill>
        </w:rPr>
        <w:t>氨水耗量表</w:t>
      </w:r>
    </w:p>
    <w:tbl>
      <w:tblPr>
        <w:tblStyle w:val="2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1640"/>
        <w:gridCol w:w="1791"/>
        <w:gridCol w:w="1791"/>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煤种</w:t>
            </w:r>
          </w:p>
        </w:tc>
        <w:tc>
          <w:tcPr>
            <w:tcW w:w="164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锅炉容量t/h</w:t>
            </w:r>
          </w:p>
        </w:tc>
        <w:tc>
          <w:tcPr>
            <w:tcW w:w="179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小时耗量kg/h</w:t>
            </w:r>
          </w:p>
        </w:tc>
        <w:tc>
          <w:tcPr>
            <w:tcW w:w="179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日耗量t/d</w:t>
            </w:r>
          </w:p>
        </w:tc>
        <w:tc>
          <w:tcPr>
            <w:tcW w:w="179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年耗量t/a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150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设计煤种</w:t>
            </w:r>
          </w:p>
        </w:tc>
        <w:tc>
          <w:tcPr>
            <w:tcW w:w="164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2×130</w:t>
            </w:r>
          </w:p>
        </w:tc>
        <w:tc>
          <w:tcPr>
            <w:tcW w:w="179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2×29.3</w:t>
            </w:r>
          </w:p>
        </w:tc>
        <w:tc>
          <w:tcPr>
            <w:tcW w:w="179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2×644.6</w:t>
            </w:r>
          </w:p>
        </w:tc>
        <w:tc>
          <w:tcPr>
            <w:tcW w:w="179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w:t>
            </w:r>
            <w:r>
              <w:rPr>
                <w:rFonts w:hint="eastAsia" w:eastAsia="宋体" w:cs="Times New Roman"/>
                <w:b w:val="0"/>
                <w:bCs/>
                <w:color w:val="000000" w:themeColor="text1"/>
                <w:sz w:val="21"/>
                <w:szCs w:val="21"/>
                <w:lang w:val="en-US" w:eastAsia="zh-CN"/>
                <w14:textFill>
                  <w14:solidFill>
                    <w14:schemeClr w14:val="tx1"/>
                  </w14:solidFill>
                </w14:textFill>
              </w:rPr>
              <w:t xml:space="preserve">161.15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50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p>
        </w:tc>
        <w:tc>
          <w:tcPr>
            <w:tcW w:w="164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1×220</w:t>
            </w:r>
          </w:p>
        </w:tc>
        <w:tc>
          <w:tcPr>
            <w:tcW w:w="179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49.6</w:t>
            </w:r>
          </w:p>
        </w:tc>
        <w:tc>
          <w:tcPr>
            <w:tcW w:w="179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1091.2</w:t>
            </w:r>
          </w:p>
        </w:tc>
        <w:tc>
          <w:tcPr>
            <w:tcW w:w="179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eastAsia="宋体" w:cs="Times New Roman"/>
                <w:b w:val="0"/>
                <w:bCs/>
                <w:color w:val="000000" w:themeColor="text1"/>
                <w:sz w:val="21"/>
                <w:szCs w:val="21"/>
                <w:lang w:val="en-US" w:eastAsia="zh-CN"/>
                <w14:textFill>
                  <w14:solidFill>
                    <w14:schemeClr w14:val="tx1"/>
                  </w14:solidFill>
                </w14:textFill>
              </w:rPr>
              <w:t>272.8</w:t>
            </w:r>
          </w:p>
        </w:tc>
      </w:tr>
    </w:tbl>
    <w:p>
      <w:pPr>
        <w:pStyle w:val="33"/>
        <w:keepNext w:val="0"/>
        <w:keepLines w:val="0"/>
        <w:pageBreakBefore w:val="0"/>
        <w:widowControl w:val="0"/>
        <w:shd w:val="clear" w:color="auto" w:fill="auto"/>
        <w:kinsoku/>
        <w:wordWrap/>
        <w:overflowPunct/>
        <w:topLinePunct w:val="0"/>
        <w:autoSpaceDE/>
        <w:autoSpaceDN/>
        <w:bidi w:val="0"/>
        <w:adjustRightInd/>
        <w:snapToGrid/>
        <w:spacing w:before="313" w:beforeLines="100" w:after="0" w:line="360" w:lineRule="auto"/>
        <w:ind w:left="0" w:right="0" w:firstLine="0"/>
        <w:jc w:val="both"/>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2.2.3.</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3还原剂运输</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color w:val="000000" w:themeColor="text1"/>
          <w:lang w:val="zh-CN" w:eastAsia="zh-CN"/>
          <w14:textFill>
            <w14:solidFill>
              <w14:schemeClr w14:val="tx1"/>
            </w14:solidFill>
          </w14:textFill>
        </w:rPr>
      </w:pPr>
      <w:r>
        <w:rPr>
          <w:rFonts w:hint="eastAsia" w:ascii="Times New Roman" w:hAnsi="Times New Roman" w:cs="Times New Roman"/>
          <w:b w:val="0"/>
          <w:bCs/>
          <w:color w:val="000000" w:themeColor="text1"/>
          <w14:textFill>
            <w14:solidFill>
              <w14:schemeClr w14:val="tx1"/>
            </w14:solidFill>
          </w14:textFill>
        </w:rPr>
        <w:t>新上</w:t>
      </w:r>
      <w:r>
        <w:rPr>
          <w:rFonts w:hint="default" w:ascii="Times New Roman" w:hAnsi="Times New Roman" w:cs="Times New Roman"/>
          <w:b w:val="0"/>
          <w:bCs/>
          <w:color w:val="000000" w:themeColor="text1"/>
          <w14:textFill>
            <w14:solidFill>
              <w14:schemeClr w14:val="tx1"/>
            </w14:solidFill>
          </w14:textFill>
        </w:rPr>
        <w:t>氨水储存系统，</w:t>
      </w:r>
      <w:r>
        <w:rPr>
          <w:rFonts w:hint="eastAsia" w:ascii="Times New Roman" w:hAnsi="Times New Roman" w:cs="Times New Roman"/>
          <w:b w:val="0"/>
          <w:bCs/>
          <w:color w:val="000000" w:themeColor="text1"/>
          <w14:textFill>
            <w14:solidFill>
              <w14:schemeClr w14:val="tx1"/>
            </w14:solidFill>
          </w14:textFill>
        </w:rPr>
        <w:t>设置1座氨水储罐，</w:t>
      </w:r>
      <w:r>
        <w:rPr>
          <w:rFonts w:hint="default" w:ascii="Times New Roman" w:hAnsi="Times New Roman" w:cs="Times New Roman"/>
          <w:b w:val="0"/>
          <w:bCs/>
          <w:color w:val="000000" w:themeColor="text1"/>
          <w14:textFill>
            <w14:solidFill>
              <w14:schemeClr w14:val="tx1"/>
            </w14:solidFill>
          </w14:textFill>
        </w:rPr>
        <w:t>两台氨水输送泵。输送泵（1用1备）在一定压力下向SNCR系统提供氨水。通过计量分配系统，可以实现流量自动控制。系统启动前现根据模拟数据预设每个喷嘴流量（开关调门），投运后在现场根据测试结果进一步优化调整，系统投运后用调试数据修正自控参数以确保高效脱硝和低氨逃逸</w:t>
      </w:r>
      <w:r>
        <w:rPr>
          <w:rFonts w:hint="eastAsia" w:ascii="Times New Roman" w:hAnsi="Times New Roman" w:cs="Times New Roman"/>
          <w:b w:val="0"/>
          <w:bCs/>
          <w:color w:val="000000" w:themeColor="text1"/>
          <w:lang w:val="zh-CN" w:eastAsia="zh-CN"/>
          <w14:textFill>
            <w14:solidFill>
              <w14:schemeClr w14:val="tx1"/>
            </w14:solidFill>
          </w14:textFill>
        </w:rPr>
        <w:t xml:space="preserve">。 </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2.2.3.</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4脱硝系统设备</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本工程脱硝系统设备见表</w:t>
      </w:r>
      <w:r>
        <w:rPr>
          <w:rFonts w:hint="eastAsia" w:ascii="Times New Roman" w:hAnsi="Times New Roman" w:eastAsia="宋体" w:cs="Times New Roman"/>
          <w:color w:val="000000" w:themeColor="text1"/>
          <w:spacing w:val="0"/>
          <w:w w:val="100"/>
          <w:position w:val="0"/>
          <w:sz w:val="24"/>
          <w:szCs w:val="24"/>
          <w:u w:val="none"/>
          <w:lang w:val="en-US" w:eastAsia="en-US" w:bidi="zh-CN"/>
          <w14:textFill>
            <w14:solidFill>
              <w14:schemeClr w14:val="tx1"/>
            </w14:solidFill>
          </w14:textFill>
        </w:rPr>
        <w:t>2.</w:t>
      </w:r>
      <w: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2-4。</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2.2-4</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ab/>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本工程脱硝系统主要设备一览表（三台炉）</w:t>
      </w:r>
    </w:p>
    <w:tbl>
      <w:tblPr>
        <w:tblStyle w:val="21"/>
        <w:tblW w:w="8326" w:type="dxa"/>
        <w:jc w:val="center"/>
        <w:tblInd w:w="0" w:type="dxa"/>
        <w:tblLayout w:type="fixed"/>
        <w:tblCellMar>
          <w:top w:w="0" w:type="dxa"/>
          <w:left w:w="10" w:type="dxa"/>
          <w:bottom w:w="0" w:type="dxa"/>
          <w:right w:w="10" w:type="dxa"/>
        </w:tblCellMar>
      </w:tblPr>
      <w:tblGrid>
        <w:gridCol w:w="764"/>
        <w:gridCol w:w="1"/>
        <w:gridCol w:w="1409"/>
        <w:gridCol w:w="8"/>
        <w:gridCol w:w="4005"/>
        <w:gridCol w:w="1"/>
        <w:gridCol w:w="651"/>
        <w:gridCol w:w="1"/>
        <w:gridCol w:w="646"/>
        <w:gridCol w:w="8"/>
        <w:gridCol w:w="832"/>
      </w:tblGrid>
      <w:tr>
        <w:tblPrEx>
          <w:tblLayout w:type="fixed"/>
          <w:tblCellMar>
            <w:top w:w="0" w:type="dxa"/>
            <w:left w:w="10" w:type="dxa"/>
            <w:bottom w:w="0" w:type="dxa"/>
            <w:right w:w="10" w:type="dxa"/>
          </w:tblCellMar>
        </w:tblPrEx>
        <w:trPr>
          <w:trHeight w:val="331" w:hRule="exact"/>
          <w:jc w:val="center"/>
        </w:trPr>
        <w:tc>
          <w:tcPr>
            <w:tcW w:w="765" w:type="dxa"/>
            <w:gridSpan w:val="2"/>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序号</w:t>
            </w:r>
          </w:p>
        </w:tc>
        <w:tc>
          <w:tcPr>
            <w:tcW w:w="1417" w:type="dxa"/>
            <w:gridSpan w:val="2"/>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名称</w:t>
            </w:r>
          </w:p>
        </w:tc>
        <w:tc>
          <w:tcPr>
            <w:tcW w:w="4006" w:type="dxa"/>
            <w:gridSpan w:val="2"/>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规格型号</w:t>
            </w:r>
          </w:p>
        </w:tc>
        <w:tc>
          <w:tcPr>
            <w:tcW w:w="651"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单位</w:t>
            </w:r>
          </w:p>
        </w:tc>
        <w:tc>
          <w:tcPr>
            <w:tcW w:w="655" w:type="dxa"/>
            <w:gridSpan w:val="3"/>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数量</w:t>
            </w:r>
          </w:p>
        </w:tc>
        <w:tc>
          <w:tcPr>
            <w:tcW w:w="832" w:type="dxa"/>
            <w:tcBorders>
              <w:top w:val="single" w:color="auto" w:sz="4" w:space="0"/>
              <w:left w:val="single" w:color="auto" w:sz="4" w:space="0"/>
              <w:righ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备注</w:t>
            </w:r>
          </w:p>
        </w:tc>
      </w:tr>
      <w:tr>
        <w:tblPrEx>
          <w:tblLayout w:type="fixed"/>
          <w:tblCellMar>
            <w:top w:w="0" w:type="dxa"/>
            <w:left w:w="10" w:type="dxa"/>
            <w:bottom w:w="0" w:type="dxa"/>
            <w:right w:w="10" w:type="dxa"/>
          </w:tblCellMar>
        </w:tblPrEx>
        <w:trPr>
          <w:trHeight w:val="322" w:hRule="exact"/>
          <w:jc w:val="center"/>
        </w:trPr>
        <w:tc>
          <w:tcPr>
            <w:tcW w:w="765"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561" w:type="dxa"/>
            <w:gridSpan w:val="9"/>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工艺系统</w:t>
            </w:r>
          </w:p>
        </w:tc>
      </w:tr>
      <w:tr>
        <w:tblPrEx>
          <w:tblLayout w:type="fixed"/>
          <w:tblCellMar>
            <w:top w:w="0" w:type="dxa"/>
            <w:left w:w="10" w:type="dxa"/>
            <w:bottom w:w="0" w:type="dxa"/>
            <w:right w:w="10" w:type="dxa"/>
          </w:tblCellMar>
        </w:tblPrEx>
        <w:trPr>
          <w:trHeight w:val="326" w:hRule="exact"/>
          <w:jc w:val="center"/>
        </w:trPr>
        <w:tc>
          <w:tcPr>
            <w:tcW w:w="765" w:type="dxa"/>
            <w:gridSpan w:val="2"/>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7561" w:type="dxa"/>
            <w:gridSpan w:val="9"/>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氨区系统（氨的制备、供应系统设备）</w:t>
            </w:r>
          </w:p>
        </w:tc>
      </w:tr>
      <w:tr>
        <w:tblPrEx>
          <w:tblLayout w:type="fixed"/>
          <w:tblCellMar>
            <w:top w:w="0" w:type="dxa"/>
            <w:left w:w="10" w:type="dxa"/>
            <w:bottom w:w="0" w:type="dxa"/>
            <w:right w:w="10" w:type="dxa"/>
          </w:tblCellMar>
        </w:tblPrEx>
        <w:trPr>
          <w:trHeight w:val="681" w:hRule="exact"/>
          <w:jc w:val="center"/>
        </w:trPr>
        <w:tc>
          <w:tcPr>
            <w:tcW w:w="76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w:t>
            </w:r>
          </w:p>
        </w:tc>
        <w:tc>
          <w:tcPr>
            <w:tcW w:w="1417"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储氨罐</w:t>
            </w:r>
          </w:p>
        </w:tc>
        <w:tc>
          <w:tcPr>
            <w:tcW w:w="4006"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卧式罐，容量</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8m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en-US" w:bidi="en-US"/>
                <w14:textFill>
                  <w14:solidFill>
                    <w14:schemeClr w14:val="tx1"/>
                  </w14:solidFill>
                </w14:textFill>
              </w:rPr>
              <w:t>3</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设计压力：</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2.2MPa</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设计温度</w:t>
            </w:r>
            <w:r>
              <w:rPr>
                <w:rStyle w:val="38"/>
                <w:rFonts w:hint="eastAsia" w:ascii="Times New Roman" w:hAnsi="Times New Roman" w:eastAsia="宋体" w:cs="Times New Roman"/>
                <w:b w:val="0"/>
                <w:bCs w:val="0"/>
                <w:i w:val="0"/>
                <w:iCs w:val="0"/>
                <w:smallCaps w:val="0"/>
                <w:strike w:val="0"/>
                <w:color w:val="000000" w:themeColor="text1"/>
                <w:sz w:val="21"/>
                <w:szCs w:val="21"/>
                <w:lang w:eastAsia="zh-CN"/>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-40</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50°C。</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材质</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16MnDR</w:t>
            </w:r>
          </w:p>
        </w:tc>
        <w:tc>
          <w:tcPr>
            <w:tcW w:w="65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台</w:t>
            </w:r>
          </w:p>
        </w:tc>
        <w:tc>
          <w:tcPr>
            <w:tcW w:w="655"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32" w:type="dxa"/>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666" w:hRule="exact"/>
          <w:jc w:val="center"/>
        </w:trPr>
        <w:tc>
          <w:tcPr>
            <w:tcW w:w="76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w:t>
            </w:r>
          </w:p>
        </w:tc>
        <w:tc>
          <w:tcPr>
            <w:tcW w:w="1417"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液氨蒸发槽</w:t>
            </w:r>
          </w:p>
        </w:tc>
        <w:tc>
          <w:tcPr>
            <w:tcW w:w="4006"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型式：蒸汽加热；蒸发能力：</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65kg/h</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外形尺寸</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C1600</w:t>
            </w:r>
            <w:r>
              <w:rPr>
                <w:rStyle w:val="38"/>
                <w:rFonts w:hint="default" w:ascii="Arial" w:hAnsi="Arial" w:eastAsia="宋体" w:cs="Arial"/>
                <w:b w:val="0"/>
                <w:bCs w:val="0"/>
                <w:i w:val="0"/>
                <w:iCs w:val="0"/>
                <w:smallCaps w:val="0"/>
                <w:strike w:val="0"/>
                <w:color w:val="000000" w:themeColor="text1"/>
                <w:sz w:val="21"/>
                <w:szCs w:val="21"/>
                <w:lang w:val="en-US" w:eastAsia="en-US"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3000</w:t>
            </w:r>
          </w:p>
        </w:tc>
        <w:tc>
          <w:tcPr>
            <w:tcW w:w="65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台</w:t>
            </w:r>
          </w:p>
        </w:tc>
        <w:tc>
          <w:tcPr>
            <w:tcW w:w="655"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832" w:type="dxa"/>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571" w:hRule="exact"/>
          <w:jc w:val="center"/>
        </w:trPr>
        <w:tc>
          <w:tcPr>
            <w:tcW w:w="76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(3)</w:t>
            </w:r>
          </w:p>
        </w:tc>
        <w:tc>
          <w:tcPr>
            <w:tcW w:w="1417"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氨气缓冲槽</w:t>
            </w:r>
          </w:p>
        </w:tc>
        <w:tc>
          <w:tcPr>
            <w:tcW w:w="4006"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立式罐，容量</w:t>
            </w:r>
            <w:r>
              <w:rPr>
                <w:rStyle w:val="38"/>
                <w:rFonts w:hint="eastAsia" w:ascii="Times New Roman" w:hAnsi="Times New Roman" w:eastAsia="宋体" w:cs="Times New Roman"/>
                <w:b w:val="0"/>
                <w:bCs w:val="0"/>
                <w:i w:val="0"/>
                <w:iCs w:val="0"/>
                <w:smallCaps w:val="0"/>
                <w:strike w:val="0"/>
                <w:color w:val="000000" w:themeColor="text1"/>
                <w:sz w:val="21"/>
                <w:szCs w:val="21"/>
                <w:lang w:eastAsia="zh-CN"/>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2.0m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en-US" w:bidi="en-US"/>
                <w14:textFill>
                  <w14:solidFill>
                    <w14:schemeClr w14:val="tx1"/>
                  </w14:solidFill>
                </w14:textFill>
              </w:rPr>
              <w:t>3</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设计压力：</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1.0</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MPa，</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设计温度：</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50°C</w:t>
            </w:r>
          </w:p>
        </w:tc>
        <w:tc>
          <w:tcPr>
            <w:tcW w:w="65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台</w:t>
            </w:r>
          </w:p>
        </w:tc>
        <w:tc>
          <w:tcPr>
            <w:tcW w:w="655"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832" w:type="dxa"/>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576" w:hRule="exact"/>
          <w:jc w:val="center"/>
        </w:trPr>
        <w:tc>
          <w:tcPr>
            <w:tcW w:w="76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(4)</w:t>
            </w:r>
          </w:p>
        </w:tc>
        <w:tc>
          <w:tcPr>
            <w:tcW w:w="1417"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氨气稀释槽</w:t>
            </w:r>
          </w:p>
        </w:tc>
        <w:tc>
          <w:tcPr>
            <w:tcW w:w="4006" w:type="dxa"/>
            <w:gridSpan w:val="2"/>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型式：立式，容量：</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3m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en-US" w:bidi="en-US"/>
                <w14:textFill>
                  <w14:solidFill>
                    <w14:schemeClr w14:val="tx1"/>
                  </w14:solidFill>
                </w14:textFill>
              </w:rPr>
              <w:t>3</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运行压力：常压，设计温度：常温</w:t>
            </w:r>
          </w:p>
        </w:tc>
        <w:tc>
          <w:tcPr>
            <w:tcW w:w="65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台</w:t>
            </w:r>
          </w:p>
        </w:tc>
        <w:tc>
          <w:tcPr>
            <w:tcW w:w="655"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32" w:type="dxa"/>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646" w:hRule="exact"/>
          <w:jc w:val="center"/>
        </w:trPr>
        <w:tc>
          <w:tcPr>
            <w:tcW w:w="76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(5)</w:t>
            </w:r>
          </w:p>
        </w:tc>
        <w:tc>
          <w:tcPr>
            <w:tcW w:w="1417"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卸料压缩机</w:t>
            </w:r>
          </w:p>
        </w:tc>
        <w:tc>
          <w:tcPr>
            <w:tcW w:w="4006"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往复式，流量：</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30m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en-US" w:bidi="en-US"/>
                <w14:textFill>
                  <w14:solidFill>
                    <w14:schemeClr w14:val="tx1"/>
                  </w14:solidFill>
                </w14:textFill>
              </w:rPr>
              <w:t>3</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/h</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出口压力</w:t>
            </w:r>
            <w:r>
              <w:rPr>
                <w:rStyle w:val="38"/>
                <w:rFonts w:hint="eastAsia" w:ascii="Times New Roman" w:hAnsi="Times New Roman" w:eastAsia="宋体" w:cs="Times New Roman"/>
                <w:b w:val="0"/>
                <w:bCs w:val="0"/>
                <w:i w:val="0"/>
                <w:iCs w:val="0"/>
                <w:smallCaps w:val="0"/>
                <w:strike w:val="0"/>
                <w:color w:val="000000" w:themeColor="text1"/>
                <w:sz w:val="21"/>
                <w:szCs w:val="21"/>
                <w:lang w:eastAsia="zh-CN"/>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2.4MPa</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 xml:space="preserve"> </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防爆电机，电机功率：</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18. 5kw</w:t>
            </w:r>
          </w:p>
        </w:tc>
        <w:tc>
          <w:tcPr>
            <w:tcW w:w="65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台</w:t>
            </w:r>
          </w:p>
        </w:tc>
        <w:tc>
          <w:tcPr>
            <w:tcW w:w="655"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32" w:type="dxa"/>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638" w:hRule="exact"/>
          <w:jc w:val="center"/>
        </w:trPr>
        <w:tc>
          <w:tcPr>
            <w:tcW w:w="76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(6)</w:t>
            </w:r>
          </w:p>
        </w:tc>
        <w:tc>
          <w:tcPr>
            <w:tcW w:w="1417"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废水泵</w:t>
            </w:r>
          </w:p>
        </w:tc>
        <w:tc>
          <w:tcPr>
            <w:tcW w:w="4006"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液下式，流量</w:t>
            </w:r>
            <w:r>
              <w:rPr>
                <w:rStyle w:val="38"/>
                <w:rFonts w:hint="eastAsia" w:ascii="Times New Roman" w:hAnsi="Times New Roman" w:eastAsia="宋体" w:cs="Times New Roman"/>
                <w:b w:val="0"/>
                <w:bCs w:val="0"/>
                <w:i w:val="0"/>
                <w:iCs w:val="0"/>
                <w:smallCaps w:val="0"/>
                <w:strike w:val="0"/>
                <w:color w:val="000000" w:themeColor="text1"/>
                <w:sz w:val="21"/>
                <w:szCs w:val="21"/>
                <w:lang w:eastAsia="zh-CN"/>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5mVh</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扬程</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40m，</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电机功率:</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7.5kw</w:t>
            </w:r>
          </w:p>
        </w:tc>
        <w:tc>
          <w:tcPr>
            <w:tcW w:w="65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台</w:t>
            </w:r>
          </w:p>
        </w:tc>
        <w:tc>
          <w:tcPr>
            <w:tcW w:w="655"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32" w:type="dxa"/>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643" w:hRule="exact"/>
          <w:jc w:val="center"/>
        </w:trPr>
        <w:tc>
          <w:tcPr>
            <w:tcW w:w="765" w:type="dxa"/>
            <w:gridSpan w:val="2"/>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(7)</w:t>
            </w:r>
          </w:p>
        </w:tc>
        <w:tc>
          <w:tcPr>
            <w:tcW w:w="1417" w:type="dxa"/>
            <w:gridSpan w:val="2"/>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液氨输送泵</w:t>
            </w:r>
          </w:p>
        </w:tc>
        <w:tc>
          <w:tcPr>
            <w:tcW w:w="4006" w:type="dxa"/>
            <w:gridSpan w:val="2"/>
            <w:tcBorders>
              <w:top w:val="single" w:color="auto" w:sz="4" w:space="0"/>
              <w:left w:val="single" w:color="auto" w:sz="4" w:space="0"/>
              <w:bottom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液下式，流量：</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lmVh</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扬程</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40m，</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电机功率：</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7. 5kw</w:t>
            </w:r>
          </w:p>
        </w:tc>
        <w:tc>
          <w:tcPr>
            <w:tcW w:w="651"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台</w:t>
            </w:r>
          </w:p>
        </w:tc>
        <w:tc>
          <w:tcPr>
            <w:tcW w:w="655" w:type="dxa"/>
            <w:gridSpan w:val="3"/>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832"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36" w:hRule="exact"/>
          <w:jc w:val="center"/>
        </w:trPr>
        <w:tc>
          <w:tcPr>
            <w:tcW w:w="764"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7562" w:type="dxa"/>
            <w:gridSpan w:val="10"/>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SCR</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区系统</w:t>
            </w:r>
          </w:p>
        </w:tc>
      </w:tr>
      <w:tr>
        <w:tblPrEx>
          <w:tblLayout w:type="fixed"/>
          <w:tblCellMar>
            <w:top w:w="0" w:type="dxa"/>
            <w:left w:w="10" w:type="dxa"/>
            <w:bottom w:w="0" w:type="dxa"/>
            <w:right w:w="10" w:type="dxa"/>
          </w:tblCellMar>
        </w:tblPrEx>
        <w:trPr>
          <w:trHeight w:val="317" w:hRule="exact"/>
          <w:jc w:val="center"/>
        </w:trPr>
        <w:tc>
          <w:tcPr>
            <w:tcW w:w="764"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 xml:space="preserve">2. </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41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SCR</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区设备</w:t>
            </w:r>
          </w:p>
        </w:tc>
        <w:tc>
          <w:tcPr>
            <w:tcW w:w="4013" w:type="dxa"/>
            <w:gridSpan w:val="2"/>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53" w:type="dxa"/>
            <w:gridSpan w:val="3"/>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40" w:type="dxa"/>
            <w:gridSpan w:val="2"/>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638" w:hRule="exact"/>
          <w:jc w:val="center"/>
        </w:trPr>
        <w:tc>
          <w:tcPr>
            <w:tcW w:w="76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Co</w:t>
            </w:r>
          </w:p>
        </w:tc>
        <w:tc>
          <w:tcPr>
            <w:tcW w:w="1410"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氨气、空气混 合器</w:t>
            </w:r>
          </w:p>
        </w:tc>
        <w:tc>
          <w:tcPr>
            <w:tcW w:w="4013"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管道混合型，流量：</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1250m</w:t>
            </w:r>
            <w:r>
              <w:rPr>
                <w:rStyle w:val="38"/>
                <w:rFonts w:hint="eastAsia" w:ascii="Times New Roman" w:hAnsi="Times New Roman" w:eastAsia="宋体" w:cs="Times New Roman"/>
                <w:b w:val="0"/>
                <w:bCs w:val="0"/>
                <w:i w:val="0"/>
                <w:iCs w:val="0"/>
                <w:smallCaps w:val="0"/>
                <w:strike w:val="0"/>
                <w:color w:val="000000" w:themeColor="text1"/>
                <w:sz w:val="21"/>
                <w:szCs w:val="21"/>
                <w:vertAlign w:val="superscript"/>
                <w:lang w:val="en-US" w:eastAsia="zh-CN" w:bidi="en-US"/>
                <w14:textFill>
                  <w14:solidFill>
                    <w14:schemeClr w14:val="tx1"/>
                  </w14:solidFill>
                </w14:textFill>
              </w:rPr>
              <w:t>3</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/h</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设计温度：150</w:t>
            </w:r>
            <w:r>
              <w:rPr>
                <w:rStyle w:val="38"/>
                <w:rFonts w:hint="eastAsia" w:ascii="Times New Roman" w:hAnsi="Times New Roman" w:eastAsia="宋体" w:cs="Times New Roman"/>
                <w:b w:val="0"/>
                <w:bCs w:val="0"/>
                <w:i w:val="0"/>
                <w:iCs w:val="0"/>
                <w:smallCaps w:val="0"/>
                <w:strike w:val="0"/>
                <w:color w:val="000000" w:themeColor="text1"/>
                <w:sz w:val="21"/>
                <w:szCs w:val="21"/>
                <w:lang w:eastAsia="zh-CN"/>
                <w14:textFill>
                  <w14:solidFill>
                    <w14:schemeClr w14:val="tx1"/>
                  </w14:solidFill>
                </w14:textFill>
              </w:rPr>
              <w:t>℃</w:t>
            </w:r>
            <w:r>
              <w:rPr>
                <w:rStyle w:val="38"/>
                <w:rFonts w:hint="default" w:ascii="Times New Roman" w:hAnsi="Times New Roman" w:eastAsia="宋体" w:cs="Times New Roman"/>
                <w:b w:val="0"/>
                <w:bCs w:val="0"/>
                <w:i/>
                <w:iCs/>
                <w:smallCaps w:val="0"/>
                <w:strike w:val="0"/>
                <w:color w:val="000000" w:themeColor="text1"/>
                <w:sz w:val="21"/>
                <w:szCs w:val="21"/>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设计压力：</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0.6MPa</w:t>
            </w:r>
          </w:p>
        </w:tc>
        <w:tc>
          <w:tcPr>
            <w:tcW w:w="653"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套</w:t>
            </w:r>
          </w:p>
        </w:tc>
        <w:tc>
          <w:tcPr>
            <w:tcW w:w="64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840" w:type="dxa"/>
            <w:gridSpan w:val="2"/>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634" w:hRule="exact"/>
          <w:jc w:val="center"/>
        </w:trPr>
        <w:tc>
          <w:tcPr>
            <w:tcW w:w="76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w:t>
            </w:r>
          </w:p>
        </w:tc>
        <w:tc>
          <w:tcPr>
            <w:tcW w:w="141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稀释风机</w:t>
            </w:r>
          </w:p>
        </w:tc>
        <w:tc>
          <w:tcPr>
            <w:tcW w:w="4013"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离心式，流量：</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1250m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en-US" w:bidi="en-US"/>
                <w14:textFill>
                  <w14:solidFill>
                    <w14:schemeClr w14:val="tx1"/>
                  </w14:solidFill>
                </w14:textFill>
              </w:rPr>
              <w:t>3</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/h</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出口压力</w:t>
            </w:r>
            <w:r>
              <w:rPr>
                <w:rStyle w:val="38"/>
                <w:rFonts w:hint="eastAsia" w:ascii="Times New Roman" w:hAnsi="Times New Roman" w:eastAsia="宋体" w:cs="Times New Roman"/>
                <w:b w:val="0"/>
                <w:bCs w:val="0"/>
                <w:i w:val="0"/>
                <w:iCs w:val="0"/>
                <w:smallCaps w:val="0"/>
                <w:strike w:val="0"/>
                <w:color w:val="000000" w:themeColor="text1"/>
                <w:sz w:val="21"/>
                <w:szCs w:val="21"/>
                <w:lang w:eastAsia="zh-CN"/>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5000Pa</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 xml:space="preserve"> </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电机功率：</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30kw</w:t>
            </w:r>
          </w:p>
        </w:tc>
        <w:tc>
          <w:tcPr>
            <w:tcW w:w="653"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台</w:t>
            </w:r>
          </w:p>
        </w:tc>
        <w:tc>
          <w:tcPr>
            <w:tcW w:w="64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w:t>
            </w:r>
          </w:p>
        </w:tc>
        <w:tc>
          <w:tcPr>
            <w:tcW w:w="840" w:type="dxa"/>
            <w:gridSpan w:val="2"/>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638" w:hRule="exact"/>
          <w:jc w:val="center"/>
        </w:trPr>
        <w:tc>
          <w:tcPr>
            <w:tcW w:w="76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(3)</w:t>
            </w:r>
          </w:p>
        </w:tc>
        <w:tc>
          <w:tcPr>
            <w:tcW w:w="141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空气压缩罐</w:t>
            </w:r>
          </w:p>
        </w:tc>
        <w:tc>
          <w:tcPr>
            <w:tcW w:w="4013"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&lt;Z</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1200</w:t>
            </w:r>
            <w:r>
              <w:rPr>
                <w:rStyle w:val="38"/>
                <w:rFonts w:hint="default" w:ascii="Arial" w:hAnsi="Arial" w:eastAsia="宋体" w:cs="Arial"/>
                <w:b w:val="0"/>
                <w:bCs w:val="0"/>
                <w:i w:val="0"/>
                <w:iCs w:val="0"/>
                <w:smallCaps w:val="0"/>
                <w:strike w:val="0"/>
                <w:color w:val="000000" w:themeColor="text1"/>
                <w:sz w:val="21"/>
                <w:szCs w:val="21"/>
                <w:lang w:val="en-US" w:eastAsia="en-US"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3000</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V=2m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en-US" w:bidi="en-US"/>
                <w14:textFill>
                  <w14:solidFill>
                    <w14:schemeClr w14:val="tx1"/>
                  </w14:solidFill>
                </w14:textFill>
              </w:rPr>
              <w:t>3</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设计压力</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0.8MPa</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设计温度：</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50°C</w:t>
            </w:r>
          </w:p>
        </w:tc>
        <w:tc>
          <w:tcPr>
            <w:tcW w:w="653"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个</w:t>
            </w:r>
          </w:p>
        </w:tc>
        <w:tc>
          <w:tcPr>
            <w:tcW w:w="64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840" w:type="dxa"/>
            <w:gridSpan w:val="2"/>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17" w:hRule="exact"/>
          <w:jc w:val="center"/>
        </w:trPr>
        <w:tc>
          <w:tcPr>
            <w:tcW w:w="764"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2.2</w:t>
            </w:r>
          </w:p>
        </w:tc>
        <w:tc>
          <w:tcPr>
            <w:tcW w:w="7562" w:type="dxa"/>
            <w:gridSpan w:val="10"/>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SCR</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反应器</w:t>
            </w:r>
          </w:p>
        </w:tc>
      </w:tr>
      <w:tr>
        <w:tblPrEx>
          <w:tblLayout w:type="fixed"/>
          <w:tblCellMar>
            <w:top w:w="0" w:type="dxa"/>
            <w:left w:w="10" w:type="dxa"/>
            <w:bottom w:w="0" w:type="dxa"/>
            <w:right w:w="10" w:type="dxa"/>
          </w:tblCellMar>
        </w:tblPrEx>
        <w:trPr>
          <w:trHeight w:val="317" w:hRule="exact"/>
          <w:jc w:val="center"/>
        </w:trPr>
        <w:tc>
          <w:tcPr>
            <w:tcW w:w="76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w:t>
            </w:r>
          </w:p>
        </w:tc>
        <w:tc>
          <w:tcPr>
            <w:tcW w:w="141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壳体</w:t>
            </w:r>
          </w:p>
        </w:tc>
        <w:tc>
          <w:tcPr>
            <w:tcW w:w="4013" w:type="dxa"/>
            <w:gridSpan w:val="2"/>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Q345</w:t>
            </w:r>
          </w:p>
        </w:tc>
        <w:tc>
          <w:tcPr>
            <w:tcW w:w="653" w:type="dxa"/>
            <w:gridSpan w:val="3"/>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套</w:t>
            </w:r>
          </w:p>
        </w:tc>
        <w:tc>
          <w:tcPr>
            <w:tcW w:w="64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840" w:type="dxa"/>
            <w:gridSpan w:val="2"/>
            <w:vMerge w:val="restart"/>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31" w:hRule="exact"/>
          <w:jc w:val="center"/>
        </w:trPr>
        <w:tc>
          <w:tcPr>
            <w:tcW w:w="76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w:t>
            </w:r>
          </w:p>
        </w:tc>
        <w:tc>
          <w:tcPr>
            <w:tcW w:w="141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内部支撑结构</w:t>
            </w:r>
          </w:p>
        </w:tc>
        <w:tc>
          <w:tcPr>
            <w:tcW w:w="4013" w:type="dxa"/>
            <w:gridSpan w:val="2"/>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53" w:type="dxa"/>
            <w:gridSpan w:val="3"/>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40" w:type="dxa"/>
            <w:gridSpan w:val="2"/>
            <w:vMerge w:val="continue"/>
            <w:tcBorders>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22" w:hRule="exact"/>
          <w:jc w:val="center"/>
        </w:trPr>
        <w:tc>
          <w:tcPr>
            <w:tcW w:w="764" w:type="dxa"/>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(3)</w:t>
            </w:r>
          </w:p>
        </w:tc>
        <w:tc>
          <w:tcPr>
            <w:tcW w:w="1410"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催化剂</w:t>
            </w:r>
          </w:p>
        </w:tc>
        <w:tc>
          <w:tcPr>
            <w:tcW w:w="4013"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蜂窝式</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 xml:space="preserve">cells </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(孔) 20每炉约</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65m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en-US" w:bidi="en-US"/>
                <w14:textFill>
                  <w14:solidFill>
                    <w14:schemeClr w14:val="tx1"/>
                  </w14:solidFill>
                </w14:textFill>
              </w:rPr>
              <w:t>3</w:t>
            </w:r>
          </w:p>
        </w:tc>
        <w:tc>
          <w:tcPr>
            <w:tcW w:w="653" w:type="dxa"/>
            <w:gridSpan w:val="3"/>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套</w:t>
            </w:r>
          </w:p>
        </w:tc>
        <w:tc>
          <w:tcPr>
            <w:tcW w:w="646" w:type="dxa"/>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840" w:type="dxa"/>
            <w:gridSpan w:val="2"/>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22" w:hRule="exact"/>
          <w:jc w:val="center"/>
        </w:trPr>
        <w:tc>
          <w:tcPr>
            <w:tcW w:w="764" w:type="dxa"/>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(4)</w:t>
            </w:r>
          </w:p>
        </w:tc>
        <w:tc>
          <w:tcPr>
            <w:tcW w:w="1410"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整流装置</w:t>
            </w:r>
          </w:p>
        </w:tc>
        <w:tc>
          <w:tcPr>
            <w:tcW w:w="4013"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Q345</w:t>
            </w:r>
          </w:p>
        </w:tc>
        <w:tc>
          <w:tcPr>
            <w:tcW w:w="653" w:type="dxa"/>
            <w:gridSpan w:val="3"/>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套</w:t>
            </w:r>
          </w:p>
        </w:tc>
        <w:tc>
          <w:tcPr>
            <w:tcW w:w="646" w:type="dxa"/>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840" w:type="dxa"/>
            <w:gridSpan w:val="2"/>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22" w:hRule="exact"/>
          <w:jc w:val="center"/>
        </w:trPr>
        <w:tc>
          <w:tcPr>
            <w:tcW w:w="764" w:type="dxa"/>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(5)</w:t>
            </w:r>
          </w:p>
        </w:tc>
        <w:tc>
          <w:tcPr>
            <w:tcW w:w="1410"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密封装置</w:t>
            </w:r>
          </w:p>
        </w:tc>
        <w:tc>
          <w:tcPr>
            <w:tcW w:w="4013"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催化剂密封系统，</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Q345</w:t>
            </w:r>
          </w:p>
        </w:tc>
        <w:tc>
          <w:tcPr>
            <w:tcW w:w="653" w:type="dxa"/>
            <w:gridSpan w:val="3"/>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套</w:t>
            </w:r>
          </w:p>
        </w:tc>
        <w:tc>
          <w:tcPr>
            <w:tcW w:w="646" w:type="dxa"/>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840" w:type="dxa"/>
            <w:gridSpan w:val="2"/>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26" w:hRule="exact"/>
          <w:jc w:val="center"/>
        </w:trPr>
        <w:tc>
          <w:tcPr>
            <w:tcW w:w="76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(6)</w:t>
            </w:r>
          </w:p>
        </w:tc>
        <w:tc>
          <w:tcPr>
            <w:tcW w:w="141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流场模拟</w:t>
            </w:r>
          </w:p>
        </w:tc>
        <w:tc>
          <w:tcPr>
            <w:tcW w:w="4013" w:type="dxa"/>
            <w:gridSpan w:val="2"/>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53"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套</w:t>
            </w:r>
          </w:p>
        </w:tc>
        <w:tc>
          <w:tcPr>
            <w:tcW w:w="646"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40" w:type="dxa"/>
            <w:gridSpan w:val="2"/>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17" w:hRule="exact"/>
          <w:jc w:val="center"/>
        </w:trPr>
        <w:tc>
          <w:tcPr>
            <w:tcW w:w="764" w:type="dxa"/>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2.3</w:t>
            </w:r>
          </w:p>
        </w:tc>
        <w:tc>
          <w:tcPr>
            <w:tcW w:w="7562" w:type="dxa"/>
            <w:gridSpan w:val="10"/>
            <w:tcBorders>
              <w:top w:val="single" w:color="auto" w:sz="4" w:space="0"/>
              <w:left w:val="single" w:color="auto" w:sz="4" w:space="0"/>
              <w:righ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催化剂装卸系统</w:t>
            </w:r>
          </w:p>
        </w:tc>
      </w:tr>
      <w:tr>
        <w:tblPrEx>
          <w:tblLayout w:type="fixed"/>
          <w:tblCellMar>
            <w:top w:w="0" w:type="dxa"/>
            <w:left w:w="10" w:type="dxa"/>
            <w:bottom w:w="0" w:type="dxa"/>
            <w:right w:w="10" w:type="dxa"/>
          </w:tblCellMar>
        </w:tblPrEx>
        <w:trPr>
          <w:trHeight w:val="638" w:hRule="exact"/>
          <w:jc w:val="center"/>
        </w:trPr>
        <w:tc>
          <w:tcPr>
            <w:tcW w:w="76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w:t>
            </w:r>
          </w:p>
        </w:tc>
        <w:tc>
          <w:tcPr>
            <w:tcW w:w="1410"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催化剂安装电 动葫芦</w:t>
            </w:r>
          </w:p>
        </w:tc>
        <w:tc>
          <w:tcPr>
            <w:tcW w:w="4013"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起重量：</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2t/h</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起升高度：</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45m</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电动机功率：</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7.5kw</w:t>
            </w:r>
          </w:p>
        </w:tc>
        <w:tc>
          <w:tcPr>
            <w:tcW w:w="653" w:type="dxa"/>
            <w:gridSpan w:val="3"/>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组合</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件</w:t>
            </w:r>
          </w:p>
        </w:tc>
        <w:tc>
          <w:tcPr>
            <w:tcW w:w="64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840" w:type="dxa"/>
            <w:gridSpan w:val="2"/>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634" w:hRule="exact"/>
          <w:jc w:val="center"/>
        </w:trPr>
        <w:tc>
          <w:tcPr>
            <w:tcW w:w="76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w:t>
            </w:r>
          </w:p>
        </w:tc>
        <w:tc>
          <w:tcPr>
            <w:tcW w:w="1410"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催化剂安装电 动葫芦</w:t>
            </w:r>
          </w:p>
        </w:tc>
        <w:tc>
          <w:tcPr>
            <w:tcW w:w="4013"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起重量：</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2t/h</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起升高度：</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5m，</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电动机功率：</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5.5kw</w:t>
            </w:r>
          </w:p>
        </w:tc>
        <w:tc>
          <w:tcPr>
            <w:tcW w:w="653" w:type="dxa"/>
            <w:gridSpan w:val="3"/>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组合</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件</w:t>
            </w:r>
          </w:p>
        </w:tc>
        <w:tc>
          <w:tcPr>
            <w:tcW w:w="64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840" w:type="dxa"/>
            <w:gridSpan w:val="2"/>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634" w:hRule="exact"/>
          <w:jc w:val="center"/>
        </w:trPr>
        <w:tc>
          <w:tcPr>
            <w:tcW w:w="76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(3)</w:t>
            </w:r>
          </w:p>
        </w:tc>
        <w:tc>
          <w:tcPr>
            <w:tcW w:w="1410" w:type="dxa"/>
            <w:gridSpan w:val="2"/>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催化剂装卸小 车</w:t>
            </w:r>
          </w:p>
        </w:tc>
        <w:tc>
          <w:tcPr>
            <w:tcW w:w="4013"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起重量：</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2t/h</w:t>
            </w:r>
          </w:p>
        </w:tc>
        <w:tc>
          <w:tcPr>
            <w:tcW w:w="653" w:type="dxa"/>
            <w:gridSpan w:val="3"/>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组合</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件</w:t>
            </w:r>
          </w:p>
        </w:tc>
        <w:tc>
          <w:tcPr>
            <w:tcW w:w="64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840" w:type="dxa"/>
            <w:gridSpan w:val="2"/>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22" w:hRule="exact"/>
          <w:jc w:val="center"/>
        </w:trPr>
        <w:tc>
          <w:tcPr>
            <w:tcW w:w="764" w:type="dxa"/>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 xml:space="preserve">2. </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1410"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吹灰系统</w:t>
            </w:r>
          </w:p>
        </w:tc>
        <w:tc>
          <w:tcPr>
            <w:tcW w:w="4013" w:type="dxa"/>
            <w:gridSpan w:val="2"/>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53" w:type="dxa"/>
            <w:gridSpan w:val="3"/>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40" w:type="dxa"/>
            <w:gridSpan w:val="2"/>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26" w:hRule="exact"/>
          <w:jc w:val="center"/>
        </w:trPr>
        <w:tc>
          <w:tcPr>
            <w:tcW w:w="76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w:t>
            </w:r>
          </w:p>
        </w:tc>
        <w:tc>
          <w:tcPr>
            <w:tcW w:w="141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声波吹灰器</w:t>
            </w:r>
          </w:p>
        </w:tc>
        <w:tc>
          <w:tcPr>
            <w:tcW w:w="4013"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DC—</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75</w:t>
            </w:r>
          </w:p>
        </w:tc>
        <w:tc>
          <w:tcPr>
            <w:tcW w:w="653"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套</w:t>
            </w:r>
          </w:p>
        </w:tc>
        <w:tc>
          <w:tcPr>
            <w:tcW w:w="646"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w:t>
            </w:r>
          </w:p>
        </w:tc>
        <w:tc>
          <w:tcPr>
            <w:tcW w:w="840" w:type="dxa"/>
            <w:gridSpan w:val="2"/>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22" w:hRule="exact"/>
          <w:jc w:val="center"/>
        </w:trPr>
        <w:tc>
          <w:tcPr>
            <w:tcW w:w="764" w:type="dxa"/>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2.5</w:t>
            </w:r>
          </w:p>
        </w:tc>
        <w:tc>
          <w:tcPr>
            <w:tcW w:w="1410" w:type="dxa"/>
            <w:gridSpan w:val="2"/>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氨喷射系统</w:t>
            </w:r>
          </w:p>
        </w:tc>
        <w:tc>
          <w:tcPr>
            <w:tcW w:w="4013" w:type="dxa"/>
            <w:gridSpan w:val="2"/>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53" w:type="dxa"/>
            <w:gridSpan w:val="3"/>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40" w:type="dxa"/>
            <w:gridSpan w:val="2"/>
            <w:tcBorders>
              <w:top w:val="single" w:color="auto" w:sz="4" w:space="0"/>
              <w:left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336" w:hRule="exact"/>
          <w:jc w:val="center"/>
        </w:trPr>
        <w:tc>
          <w:tcPr>
            <w:tcW w:w="764" w:type="dxa"/>
            <w:tcBorders>
              <w:top w:val="single" w:color="auto" w:sz="4" w:space="0"/>
              <w:left w:val="single" w:color="auto" w:sz="4" w:space="0"/>
              <w:bottom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w:t>
            </w:r>
          </w:p>
        </w:tc>
        <w:tc>
          <w:tcPr>
            <w:tcW w:w="1410" w:type="dxa"/>
            <w:gridSpan w:val="2"/>
            <w:tcBorders>
              <w:top w:val="single" w:color="auto" w:sz="4" w:space="0"/>
              <w:left w:val="single" w:color="auto" w:sz="4" w:space="0"/>
              <w:bottom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氨喷射格栅</w:t>
            </w:r>
          </w:p>
        </w:tc>
        <w:tc>
          <w:tcPr>
            <w:tcW w:w="4013" w:type="dxa"/>
            <w:gridSpan w:val="2"/>
            <w:tcBorders>
              <w:top w:val="single" w:color="auto" w:sz="4" w:space="0"/>
              <w:left w:val="single" w:color="auto" w:sz="4" w:space="0"/>
              <w:bottom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AIG+</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混合器，材质</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Q345</w:t>
            </w:r>
          </w:p>
        </w:tc>
        <w:tc>
          <w:tcPr>
            <w:tcW w:w="653" w:type="dxa"/>
            <w:gridSpan w:val="3"/>
            <w:tcBorders>
              <w:top w:val="single" w:color="auto" w:sz="4" w:space="0"/>
              <w:left w:val="single" w:color="auto" w:sz="4" w:space="0"/>
              <w:bottom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套</w:t>
            </w:r>
          </w:p>
        </w:tc>
        <w:tc>
          <w:tcPr>
            <w:tcW w:w="646" w:type="dxa"/>
            <w:tcBorders>
              <w:top w:val="single" w:color="auto" w:sz="4" w:space="0"/>
              <w:left w:val="single" w:color="auto" w:sz="4" w:space="0"/>
              <w:bottom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840"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bl>
    <w:p>
      <w:pPr>
        <w:pStyle w:val="33"/>
        <w:keepNext w:val="0"/>
        <w:keepLines w:val="0"/>
        <w:pageBreakBefore w:val="0"/>
        <w:widowControl w:val="0"/>
        <w:shd w:val="clear" w:color="auto" w:fill="auto"/>
        <w:kinsoku/>
        <w:wordWrap/>
        <w:overflowPunct/>
        <w:topLinePunct w:val="0"/>
        <w:autoSpaceDE/>
        <w:autoSpaceDN/>
        <w:bidi w:val="0"/>
        <w:adjustRightInd/>
        <w:snapToGrid/>
        <w:spacing w:before="313" w:beforeLines="100" w:after="0" w:line="360" w:lineRule="auto"/>
        <w:ind w:left="0" w:right="0" w:firstLine="0"/>
        <w:jc w:val="both"/>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2.2.3.</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5还原剂储存制备</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氨水（</w:t>
      </w:r>
      <w:r>
        <w:rPr>
          <w:rFonts w:hint="eastAsia" w:ascii="Times New Roman" w:hAnsi="Times New Roman" w:eastAsia="宋体" w:cs="Times New Roman"/>
          <w:color w:val="000000" w:themeColor="text1"/>
          <w:spacing w:val="0"/>
          <w:w w:val="100"/>
          <w:position w:val="0"/>
          <w:sz w:val="24"/>
          <w:szCs w:val="24"/>
          <w:u w:val="none"/>
          <w:lang w:val="en-US" w:eastAsia="zh-CN" w:bidi="zh-CN"/>
          <w14:textFill>
            <w14:solidFill>
              <w14:schemeClr w14:val="tx1"/>
            </w14:solidFill>
          </w14:textFill>
        </w:rPr>
        <w:t>20%</w:t>
      </w:r>
      <w: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）供应、储存、制备系统包括：液氨卸料压缩机、液氨储罐、液氨泵、液氨蒸发器、氨稳压罐、氨稀释罐、废水泵、废水池及氨气泄露检测器、报警系统、水喷淋系统、安全系统等。</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液氨由供货厂家用专用液氨槽车运送到电厂，利用液氨卸料压缩机将液氨由槽车输入液氨储罐内，用液氨泵将储槽屮的液氨输送到液氨蒸发器内蒸发为氨气，经氨气稳压罐来控制一定的压力及其流量，然后与稀释空气在混合器中混合均匀，再送至炉后脱硝反应器前。氨气系统紧急排放的氨气则排入氨气稀释罐中，经水的吸收排入废水池，经废水泵送至电厂工业废水处理系统处理，经处理后回用。</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u w:val="none"/>
          <w:lang w:val="en-US" w:eastAsia="en-US" w:bidi="zh-CN"/>
          <w14:textFill>
            <w14:solidFill>
              <w14:schemeClr w14:val="tx1"/>
            </w14:solidFill>
          </w14:textFill>
        </w:rPr>
        <w:t>（1）</w:t>
      </w:r>
      <w: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卸料压缩机</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液氨由槽车运送到电厂制氨车间，压缩机抽取液氨储罐顶气相氨，经分离器后，进 入压缩机压缩，压缩机出口气体氨打入槽车顶部将槽车底部液氨压入氨储罐，完成液氨卸载过程。液氨卸完后，将软管内剩液氨排入氨稀释罐。氨储罐设有压力报警，液面指示报警，高液位报警，并连锁氨进口快速切断阀，快速切断阀可手控，也可电控，以适应突变情况。</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u w:val="none"/>
          <w:lang w:val="en-US" w:eastAsia="en-US" w:bidi="zh-CN"/>
          <w14:textFill>
            <w14:solidFill>
              <w14:schemeClr w14:val="tx1"/>
            </w14:solidFill>
          </w14:textFill>
        </w:rPr>
        <w:t>（2）</w:t>
      </w:r>
      <w: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液氨储罐</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三台炉在氨储罐区设置二个</w:t>
      </w:r>
      <w:r>
        <w:rPr>
          <w:rFonts w:hint="eastAsia" w:ascii="Times New Roman" w:hAnsi="Times New Roman" w:eastAsia="宋体" w:cs="Times New Roman"/>
          <w:color w:val="000000" w:themeColor="text1"/>
          <w:spacing w:val="0"/>
          <w:w w:val="100"/>
          <w:position w:val="0"/>
          <w:sz w:val="24"/>
          <w:szCs w:val="24"/>
          <w:u w:val="none"/>
          <w:lang w:val="en-US" w:eastAsia="en-US" w:bidi="zh-CN"/>
          <w14:textFill>
            <w14:solidFill>
              <w14:schemeClr w14:val="tx1"/>
            </w14:solidFill>
          </w14:textFill>
        </w:rPr>
        <w:t>8</w:t>
      </w:r>
      <w: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m</w:t>
      </w:r>
      <w:r>
        <w:rPr>
          <w:rFonts w:hint="eastAsia" w:ascii="Times New Roman" w:hAnsi="Times New Roman" w:eastAsia="宋体" w:cs="Times New Roman"/>
          <w:color w:val="000000" w:themeColor="text1"/>
          <w:spacing w:val="0"/>
          <w:w w:val="100"/>
          <w:position w:val="0"/>
          <w:sz w:val="24"/>
          <w:szCs w:val="24"/>
          <w:u w:val="none"/>
          <w:vertAlign w:val="superscript"/>
          <w:lang w:val="en-US" w:eastAsia="en-US" w:bidi="zh-CN"/>
          <w14:textFill>
            <w14:solidFill>
              <w14:schemeClr w14:val="tx1"/>
            </w14:solidFill>
          </w14:textFill>
        </w:rPr>
        <w:t>3</w:t>
      </w:r>
      <w: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氨储罐，液氨储罐的容量按照按三台炉BMCR工况， 在设计条件下每天运行20小时，连续运行7天的消耗量考虑。</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2.2.4</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燃料供应系统</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color w:val="000000" w:themeColor="text1"/>
          <w14:textFill>
            <w14:solidFill>
              <w14:schemeClr w14:val="tx1"/>
            </w14:solidFill>
          </w14:textFill>
        </w:rPr>
      </w:pPr>
      <w:r>
        <w:rPr>
          <w:rFonts w:hint="default" w:ascii="Times New Roman" w:hAnsi="Times New Roman" w:cs="Times New Roman"/>
          <w:b w:val="0"/>
          <w:color w:val="000000" w:themeColor="text1"/>
          <w14:textFill>
            <w14:solidFill>
              <w14:schemeClr w14:val="tx1"/>
            </w14:solidFill>
          </w14:textFill>
        </w:rPr>
        <w:t>本工程建设2×130t/h水煤浆锅炉+1×25MW高温高压背压汽轮机组及1×220t/h水煤浆锅炉+1×25MW高温高压背压汽轮机组所需水煤浆60.42万t（折合原煤42.3万t）。</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2.2.4.</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1燃料水煤浆供应</w:t>
      </w:r>
    </w:p>
    <w:p>
      <w:pPr>
        <w:keepNext w:val="0"/>
        <w:keepLines w:val="0"/>
        <w:pageBreakBefore w:val="0"/>
        <w:widowControl w:val="0"/>
        <w:shd w:val="clear" w:color="auto" w:fill="auto"/>
        <w:kinsoku/>
        <w:wordWrap w:val="0"/>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color w:val="000000" w:themeColor="text1"/>
          <w14:textFill>
            <w14:solidFill>
              <w14:schemeClr w14:val="tx1"/>
            </w14:solidFill>
          </w14:textFill>
        </w:rPr>
      </w:pPr>
      <w:r>
        <w:rPr>
          <w:rFonts w:hint="eastAsia" w:ascii="Times New Roman" w:hAnsi="Times New Roman" w:cs="Times New Roman"/>
          <w:b w:val="0"/>
          <w:color w:val="000000" w:themeColor="text1"/>
          <w14:textFill>
            <w14:solidFill>
              <w14:schemeClr w14:val="tx1"/>
            </w14:solidFill>
          </w14:textFill>
        </w:rPr>
        <w:t>由新疆正恒清洁能源有限公司水煤浆生产基地提供浆体燃料，年产水煤浆200万t,生产能力为4×25万t的生产线和2×50万t的生产线,单条生产线小时产浆量分别为</w:t>
      </w:r>
      <w:r>
        <w:rPr>
          <w:rFonts w:hint="default" w:ascii="Times New Roman" w:hAnsi="Times New Roman" w:cs="Times New Roman"/>
          <w:b w:val="0"/>
          <w:color w:val="000000" w:themeColor="text1"/>
          <w14:textFill>
            <w14:solidFill>
              <w14:schemeClr w14:val="tx1"/>
            </w14:solidFill>
          </w14:textFill>
        </w:rPr>
        <w:t>25</w:t>
      </w:r>
      <w:r>
        <w:rPr>
          <w:rFonts w:hint="eastAsia" w:ascii="Times New Roman" w:hAnsi="Times New Roman" w:cs="Times New Roman"/>
          <w:b w:val="0"/>
          <w:color w:val="000000" w:themeColor="text1"/>
          <w14:textFill>
            <w14:solidFill>
              <w14:schemeClr w14:val="tx1"/>
            </w14:solidFill>
          </w14:textFill>
        </w:rPr>
        <w:t>t/h和</w:t>
      </w:r>
      <w:r>
        <w:rPr>
          <w:rFonts w:hint="default" w:ascii="Times New Roman" w:hAnsi="Times New Roman" w:cs="Times New Roman"/>
          <w:b w:val="0"/>
          <w:color w:val="000000" w:themeColor="text1"/>
          <w14:textFill>
            <w14:solidFill>
              <w14:schemeClr w14:val="tx1"/>
            </w14:solidFill>
          </w14:textFill>
        </w:rPr>
        <w:t>50</w:t>
      </w:r>
      <w:r>
        <w:rPr>
          <w:rFonts w:hint="eastAsia" w:ascii="Times New Roman" w:hAnsi="Times New Roman" w:cs="Times New Roman"/>
          <w:b w:val="0"/>
          <w:color w:val="000000" w:themeColor="text1"/>
          <w14:textFill>
            <w14:solidFill>
              <w14:schemeClr w14:val="tx1"/>
            </w14:solidFill>
          </w14:textFill>
        </w:rPr>
        <w:t>t/h，本工程投产时，新疆正恒清洁能源有限公司水煤浆生产基地的产能完全能够满足本工程60.42万t（折合原煤42.3万t）年的水煤浆需求。</w:t>
      </w:r>
    </w:p>
    <w:p>
      <w:pPr>
        <w:keepNext w:val="0"/>
        <w:keepLines w:val="0"/>
        <w:pageBreakBefore w:val="0"/>
        <w:widowControl w:val="0"/>
        <w:shd w:val="clear" w:color="auto" w:fill="auto"/>
        <w:kinsoku/>
        <w:wordWrap w:val="0"/>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color w:val="000000" w:themeColor="text1"/>
          <w:lang w:val="zh-CN" w:eastAsia="zh-CN"/>
          <w14:textFill>
            <w14:solidFill>
              <w14:schemeClr w14:val="tx1"/>
            </w14:solidFill>
          </w14:textFill>
        </w:rPr>
      </w:pPr>
      <w:r>
        <w:rPr>
          <w:rFonts w:hint="eastAsia" w:ascii="Times New Roman" w:hAnsi="Times New Roman" w:cs="Times New Roman"/>
          <w:b w:val="0"/>
          <w:color w:val="000000" w:themeColor="text1"/>
          <w14:textFill>
            <w14:solidFill>
              <w14:schemeClr w14:val="tx1"/>
            </w14:solidFill>
          </w14:textFill>
        </w:rPr>
        <w:t>新疆正恒清洁能源有限公司水煤浆中心位于克拉玛依高新技术产业开发区内，距离热动力中心厂址约3</w:t>
      </w:r>
      <w:r>
        <w:rPr>
          <w:rFonts w:hint="eastAsia" w:eastAsia="宋体" w:cs="Times New Roman"/>
          <w:b w:val="0"/>
          <w:color w:val="000000" w:themeColor="text1"/>
          <w:lang w:val="en-US" w:eastAsia="zh-CN"/>
          <w14:textFill>
            <w14:solidFill>
              <w14:schemeClr w14:val="tx1"/>
            </w14:solidFill>
          </w14:textFill>
        </w:rPr>
        <w:t>km</w:t>
      </w:r>
      <w:r>
        <w:rPr>
          <w:rFonts w:hint="eastAsia" w:ascii="Times New Roman" w:hAnsi="Times New Roman" w:cs="Times New Roman"/>
          <w:b w:val="0"/>
          <w:color w:val="000000" w:themeColor="text1"/>
          <w14:textFill>
            <w14:solidFill>
              <w14:schemeClr w14:val="tx1"/>
            </w14:solidFill>
          </w14:textFill>
        </w:rPr>
        <w:t>，新疆正恒清洁能源有限公司水煤浆生产基地制备的合格浆液通过罐车运输至热动力中心储浆罐，热动力中心厂区设置三座1500m³储浆罐，再由供浆泵通过管道送至本期工程锅炉燃料口。</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2.2.4.</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2水煤浆成浆实验监测结果</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Times New Roman" w:cs="Times New Roman"/>
          <w:b w:val="0"/>
          <w:color w:val="000000" w:themeColor="text1"/>
          <w:spacing w:val="0"/>
          <w:w w:val="100"/>
          <w:position w:val="0"/>
          <w:sz w:val="24"/>
          <w:szCs w:val="24"/>
          <w:u w:val="none"/>
          <w:lang w:val="zh-CN" w:eastAsia="zh-CN" w:bidi="zh-CN"/>
          <w14:textFill>
            <w14:solidFill>
              <w14:schemeClr w14:val="tx1"/>
            </w14:solidFill>
          </w14:textFill>
        </w:rPr>
      </w:pPr>
      <w:r>
        <w:rPr>
          <w:rFonts w:hint="default" w:ascii="Times New Roman" w:hAnsi="Times New Roman" w:eastAsia="Times New Roman" w:cs="Times New Roman"/>
          <w:b w:val="0"/>
          <w:color w:val="000000" w:themeColor="text1"/>
          <w:spacing w:val="0"/>
          <w:w w:val="100"/>
          <w:position w:val="0"/>
          <w:sz w:val="24"/>
          <w:szCs w:val="24"/>
          <w:u w:val="none"/>
          <w:lang w:val="zh-CN" w:eastAsia="zh-CN" w:bidi="zh-CN"/>
          <w14:textFill>
            <w14:solidFill>
              <w14:schemeClr w14:val="tx1"/>
            </w14:solidFill>
          </w14:textFill>
        </w:rPr>
        <w:t>新疆正恒清洁能源公司制浆生产基地选用和什托洛盖屯南煤矿进行成浆实验，检测结果：成浆浓度63.25%、粘度1060mp.s、粒度（200目通筛率）82.71%、成浆热值3850大卡。以上检测数据符合水煤浆国家标准GB/T18855-2008对悬浮流化高效水煤浆锅炉的燃烧技术的要求。</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2.2.4.</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3水煤浆的构成</w:t>
      </w:r>
    </w:p>
    <w:p>
      <w:pPr>
        <w:pStyle w:val="42"/>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Times New Roman" w:cs="Times New Roman"/>
          <w:b w:val="0"/>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Times New Roman" w:cs="Times New Roman"/>
          <w:b w:val="0"/>
          <w:color w:val="000000" w:themeColor="text1"/>
          <w:spacing w:val="0"/>
          <w:w w:val="100"/>
          <w:position w:val="0"/>
          <w:sz w:val="24"/>
          <w:szCs w:val="24"/>
          <w:u w:val="none"/>
          <w:lang w:val="zh-CN" w:eastAsia="zh-CN" w:bidi="zh-CN"/>
          <w14:textFill>
            <w14:solidFill>
              <w14:schemeClr w14:val="tx1"/>
            </w14:solidFill>
          </w14:textFill>
        </w:rPr>
        <w:t>水煤浆是由65</w:t>
      </w:r>
      <w:r>
        <w:rPr>
          <w:rFonts w:hint="eastAsia" w:ascii="Times New Roman" w:hAnsi="Times New Roman" w:eastAsia="Times New Roman" w:cs="Times New Roman"/>
          <w:b w:val="0"/>
          <w:color w:val="000000" w:themeColor="text1"/>
          <w:spacing w:val="0"/>
          <w:w w:val="100"/>
          <w:position w:val="0"/>
          <w:sz w:val="24"/>
          <w:szCs w:val="24"/>
          <w:u w:val="none"/>
          <w:lang w:val="en-US" w:eastAsia="zh-CN" w:bidi="zh-CN"/>
          <w14:textFill>
            <w14:solidFill>
              <w14:schemeClr w14:val="tx1"/>
            </w14:solidFill>
          </w14:textFill>
        </w:rPr>
        <w:t>%</w:t>
      </w:r>
      <w:r>
        <w:rPr>
          <w:rFonts w:hint="eastAsia" w:ascii="Times New Roman" w:hAnsi="Times New Roman" w:eastAsia="Times New Roman" w:cs="Times New Roman"/>
          <w:b w:val="0"/>
          <w:color w:val="000000" w:themeColor="text1"/>
          <w:spacing w:val="0"/>
          <w:w w:val="100"/>
          <w:position w:val="0"/>
          <w:sz w:val="24"/>
          <w:szCs w:val="24"/>
          <w:u w:val="none"/>
          <w:lang w:val="zh-CN" w:eastAsia="zh-CN" w:bidi="zh-CN"/>
          <w14:textFill>
            <w14:solidFill>
              <w14:schemeClr w14:val="tx1"/>
            </w14:solidFill>
          </w14:textFill>
        </w:rPr>
        <w:t>-70</w:t>
      </w:r>
      <w:r>
        <w:rPr>
          <w:rFonts w:hint="eastAsia" w:ascii="Times New Roman" w:hAnsi="Times New Roman" w:eastAsia="Times New Roman" w:cs="Times New Roman"/>
          <w:b w:val="0"/>
          <w:color w:val="000000" w:themeColor="text1"/>
          <w:spacing w:val="0"/>
          <w:w w:val="100"/>
          <w:position w:val="0"/>
          <w:sz w:val="24"/>
          <w:szCs w:val="24"/>
          <w:u w:val="none"/>
          <w:lang w:val="en-US" w:eastAsia="zh-CN" w:bidi="zh-CN"/>
          <w14:textFill>
            <w14:solidFill>
              <w14:schemeClr w14:val="tx1"/>
            </w14:solidFill>
          </w14:textFill>
        </w:rPr>
        <w:t>%</w:t>
      </w:r>
      <w:r>
        <w:rPr>
          <w:rFonts w:hint="eastAsia" w:ascii="Times New Roman" w:hAnsi="Times New Roman" w:eastAsia="Times New Roman" w:cs="Times New Roman"/>
          <w:b w:val="0"/>
          <w:color w:val="000000" w:themeColor="text1"/>
          <w:spacing w:val="0"/>
          <w:w w:val="100"/>
          <w:position w:val="0"/>
          <w:sz w:val="24"/>
          <w:szCs w:val="24"/>
          <w:u w:val="none"/>
          <w:lang w:val="zh-CN" w:eastAsia="zh-CN" w:bidi="zh-CN"/>
          <w14:textFill>
            <w14:solidFill>
              <w14:schemeClr w14:val="tx1"/>
            </w14:solidFill>
          </w14:textFill>
        </w:rPr>
        <w:t>的原煤(煤泥、煤矸石、污泥)30</w:t>
      </w:r>
      <w:r>
        <w:rPr>
          <w:rFonts w:hint="eastAsia" w:ascii="Times New Roman" w:hAnsi="Times New Roman" w:eastAsia="Times New Roman" w:cs="Times New Roman"/>
          <w:b w:val="0"/>
          <w:color w:val="000000" w:themeColor="text1"/>
          <w:spacing w:val="0"/>
          <w:w w:val="100"/>
          <w:position w:val="0"/>
          <w:sz w:val="24"/>
          <w:szCs w:val="24"/>
          <w:u w:val="none"/>
          <w:lang w:val="en-US" w:eastAsia="zh-CN" w:bidi="zh-CN"/>
          <w14:textFill>
            <w14:solidFill>
              <w14:schemeClr w14:val="tx1"/>
            </w14:solidFill>
          </w14:textFill>
        </w:rPr>
        <w:t>%</w:t>
      </w:r>
      <w:r>
        <w:rPr>
          <w:rFonts w:hint="eastAsia" w:ascii="Times New Roman" w:hAnsi="Times New Roman" w:eastAsia="Times New Roman" w:cs="Times New Roman"/>
          <w:b w:val="0"/>
          <w:color w:val="000000" w:themeColor="text1"/>
          <w:spacing w:val="0"/>
          <w:w w:val="100"/>
          <w:position w:val="0"/>
          <w:sz w:val="24"/>
          <w:szCs w:val="24"/>
          <w:u w:val="none"/>
          <w:lang w:val="zh-CN" w:eastAsia="zh-CN" w:bidi="zh-CN"/>
          <w14:textFill>
            <w14:solidFill>
              <w14:schemeClr w14:val="tx1"/>
            </w14:solidFill>
          </w14:textFill>
        </w:rPr>
        <w:t>-34</w:t>
      </w:r>
      <w:r>
        <w:rPr>
          <w:rFonts w:hint="eastAsia" w:ascii="Times New Roman" w:hAnsi="Times New Roman" w:eastAsia="Times New Roman" w:cs="Times New Roman"/>
          <w:b w:val="0"/>
          <w:color w:val="000000" w:themeColor="text1"/>
          <w:spacing w:val="0"/>
          <w:w w:val="100"/>
          <w:position w:val="0"/>
          <w:sz w:val="24"/>
          <w:szCs w:val="24"/>
          <w:u w:val="none"/>
          <w:lang w:val="en-US" w:eastAsia="zh-CN" w:bidi="zh-CN"/>
          <w14:textFill>
            <w14:solidFill>
              <w14:schemeClr w14:val="tx1"/>
            </w14:solidFill>
          </w14:textFill>
        </w:rPr>
        <w:t>%</w:t>
      </w:r>
      <w:r>
        <w:rPr>
          <w:rFonts w:hint="eastAsia" w:ascii="Times New Roman" w:hAnsi="Times New Roman" w:eastAsia="Times New Roman" w:cs="Times New Roman"/>
          <w:b w:val="0"/>
          <w:color w:val="000000" w:themeColor="text1"/>
          <w:spacing w:val="0"/>
          <w:w w:val="100"/>
          <w:position w:val="0"/>
          <w:sz w:val="24"/>
          <w:szCs w:val="24"/>
          <w:u w:val="none"/>
          <w:lang w:val="zh-CN" w:eastAsia="zh-CN" w:bidi="zh-CN"/>
          <w14:textFill>
            <w14:solidFill>
              <w14:schemeClr w14:val="tx1"/>
            </w14:solidFill>
          </w14:textFill>
        </w:rPr>
        <w:t>的水（中水）和1</w:t>
      </w:r>
      <w:r>
        <w:rPr>
          <w:rFonts w:hint="eastAsia" w:ascii="Times New Roman" w:hAnsi="Times New Roman" w:eastAsia="Times New Roman" w:cs="Times New Roman"/>
          <w:b w:val="0"/>
          <w:color w:val="000000" w:themeColor="text1"/>
          <w:spacing w:val="0"/>
          <w:w w:val="100"/>
          <w:position w:val="0"/>
          <w:sz w:val="24"/>
          <w:szCs w:val="24"/>
          <w:u w:val="none"/>
          <w:lang w:val="en-US" w:eastAsia="zh-CN" w:bidi="zh-CN"/>
          <w14:textFill>
            <w14:solidFill>
              <w14:schemeClr w14:val="tx1"/>
            </w14:solidFill>
          </w14:textFill>
        </w:rPr>
        <w:t>%</w:t>
      </w:r>
      <w:r>
        <w:rPr>
          <w:rFonts w:hint="eastAsia" w:ascii="Times New Roman" w:hAnsi="Times New Roman" w:eastAsia="Times New Roman" w:cs="Times New Roman"/>
          <w:b w:val="0"/>
          <w:color w:val="000000" w:themeColor="text1"/>
          <w:spacing w:val="0"/>
          <w:w w:val="100"/>
          <w:position w:val="0"/>
          <w:sz w:val="24"/>
          <w:szCs w:val="24"/>
          <w:u w:val="none"/>
          <w:lang w:val="zh-CN" w:eastAsia="zh-CN" w:bidi="zh-CN"/>
          <w14:textFill>
            <w14:solidFill>
              <w14:schemeClr w14:val="tx1"/>
            </w14:solidFill>
          </w14:textFill>
        </w:rPr>
        <w:t>的化学添加剂构成的浆体燃料。</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2.2.4.</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4煤质</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ascii="Times New Roman" w:hAnsi="Times New Roman" w:eastAsia="宋体" w:cs="Times New Roman"/>
          <w:color w:val="000000" w:themeColor="text1"/>
          <w:spacing w:val="0"/>
          <w:w w:val="10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本项目所用水煤浆检验报告如下表</w:t>
      </w:r>
      <w:r>
        <w:rPr>
          <w:rFonts w:hint="eastAsia" w:ascii="Times New Roman" w:hAnsi="Times New Roman" w:eastAsia="宋体" w:cs="Times New Roman"/>
          <w:color w:val="000000" w:themeColor="text1"/>
          <w:spacing w:val="0"/>
          <w:w w:val="100"/>
          <w:position w:val="0"/>
          <w:sz w:val="24"/>
          <w:szCs w:val="24"/>
          <w:u w:val="none"/>
          <w:lang w:val="en-US" w:eastAsia="zh-CN" w:bidi="zh-CN"/>
          <w14:textFill>
            <w14:solidFill>
              <w14:schemeClr w14:val="tx1"/>
            </w14:solidFill>
          </w14:textFill>
        </w:rPr>
        <w:t>2.2-5。</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2.2-5</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ab/>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水煤浆煤质资料表</w:t>
      </w:r>
    </w:p>
    <w:tbl>
      <w:tblPr>
        <w:tblStyle w:val="2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9"/>
        <w:gridCol w:w="1462"/>
        <w:gridCol w:w="1201"/>
        <w:gridCol w:w="3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2799"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项目</w:t>
            </w:r>
          </w:p>
        </w:tc>
        <w:tc>
          <w:tcPr>
            <w:tcW w:w="1462"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符号</w:t>
            </w:r>
          </w:p>
        </w:tc>
        <w:tc>
          <w:tcPr>
            <w:tcW w:w="1201"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单位</w:t>
            </w:r>
          </w:p>
        </w:tc>
        <w:tc>
          <w:tcPr>
            <w:tcW w:w="3484"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设计煤种数据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2799"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收到基碳</w:t>
            </w:r>
          </w:p>
        </w:tc>
        <w:tc>
          <w:tcPr>
            <w:tcW w:w="1462"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Car</w:t>
            </w:r>
          </w:p>
        </w:tc>
        <w:tc>
          <w:tcPr>
            <w:tcW w:w="1201"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3484"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2799"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收到基氢</w:t>
            </w:r>
          </w:p>
        </w:tc>
        <w:tc>
          <w:tcPr>
            <w:tcW w:w="1462"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Har</w:t>
            </w:r>
          </w:p>
        </w:tc>
        <w:tc>
          <w:tcPr>
            <w:tcW w:w="1201"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3484"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2799"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收到基氧</w:t>
            </w:r>
          </w:p>
        </w:tc>
        <w:tc>
          <w:tcPr>
            <w:tcW w:w="1462"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Oar</w:t>
            </w:r>
          </w:p>
        </w:tc>
        <w:tc>
          <w:tcPr>
            <w:tcW w:w="1201"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3484"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2799"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收到基氮</w:t>
            </w:r>
          </w:p>
        </w:tc>
        <w:tc>
          <w:tcPr>
            <w:tcW w:w="1462"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Nar</w:t>
            </w:r>
          </w:p>
        </w:tc>
        <w:tc>
          <w:tcPr>
            <w:tcW w:w="1201"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3484"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2799"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收到基硫</w:t>
            </w:r>
          </w:p>
        </w:tc>
        <w:tc>
          <w:tcPr>
            <w:tcW w:w="1462"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Sar</w:t>
            </w:r>
          </w:p>
        </w:tc>
        <w:tc>
          <w:tcPr>
            <w:tcW w:w="1201"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3484"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2799"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收到基灰份</w:t>
            </w:r>
          </w:p>
        </w:tc>
        <w:tc>
          <w:tcPr>
            <w:tcW w:w="1462"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Aar</w:t>
            </w:r>
          </w:p>
        </w:tc>
        <w:tc>
          <w:tcPr>
            <w:tcW w:w="1201"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3484"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2799"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收到基水份</w:t>
            </w:r>
          </w:p>
        </w:tc>
        <w:tc>
          <w:tcPr>
            <w:tcW w:w="1462"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Mar</w:t>
            </w:r>
          </w:p>
        </w:tc>
        <w:tc>
          <w:tcPr>
            <w:tcW w:w="1201"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3484"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rPr>
        <w:tc>
          <w:tcPr>
            <w:tcW w:w="2799"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干燥无灰基挥发分</w:t>
            </w:r>
          </w:p>
        </w:tc>
        <w:tc>
          <w:tcPr>
            <w:tcW w:w="1462"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Vdaf</w:t>
            </w:r>
          </w:p>
        </w:tc>
        <w:tc>
          <w:tcPr>
            <w:tcW w:w="1201"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3484"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2799"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收到基低位发热量</w:t>
            </w:r>
          </w:p>
        </w:tc>
        <w:tc>
          <w:tcPr>
            <w:tcW w:w="1462"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Qnet.ar</w:t>
            </w:r>
          </w:p>
        </w:tc>
        <w:tc>
          <w:tcPr>
            <w:tcW w:w="1201"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KJ/kg</w:t>
            </w:r>
          </w:p>
        </w:tc>
        <w:tc>
          <w:tcPr>
            <w:tcW w:w="3484"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13100</w:t>
            </w:r>
          </w:p>
        </w:tc>
      </w:tr>
    </w:tbl>
    <w:p>
      <w:pPr>
        <w:pStyle w:val="33"/>
        <w:keepNext w:val="0"/>
        <w:keepLines w:val="0"/>
        <w:pageBreakBefore w:val="0"/>
        <w:widowControl w:val="0"/>
        <w:shd w:val="clear" w:color="auto" w:fill="auto"/>
        <w:kinsoku/>
        <w:wordWrap/>
        <w:overflowPunct/>
        <w:topLinePunct w:val="0"/>
        <w:autoSpaceDE/>
        <w:autoSpaceDN/>
        <w:bidi w:val="0"/>
        <w:adjustRightInd/>
        <w:snapToGrid/>
        <w:spacing w:before="313" w:beforeLines="100" w:after="0" w:line="360" w:lineRule="auto"/>
        <w:ind w:left="0" w:right="0" w:firstLine="0"/>
        <w:jc w:val="both"/>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2.2.4.</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5燃料运输条件</w:t>
      </w:r>
    </w:p>
    <w:p>
      <w:pPr>
        <w:wordWrap w:val="0"/>
        <w:spacing w:line="360" w:lineRule="auto"/>
        <w:ind w:firstLine="480" w:firstLineChars="200"/>
        <w:jc w:val="both"/>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本期工程</w:t>
      </w:r>
      <w:r>
        <w:rPr>
          <w:rFonts w:hint="eastAsia" w:ascii="宋体" w:hAnsi="宋体"/>
          <w:color w:val="000000" w:themeColor="text1"/>
          <w14:textFill>
            <w14:solidFill>
              <w14:schemeClr w14:val="tx1"/>
            </w14:solidFill>
          </w14:textFill>
        </w:rPr>
        <w:t>煤源为新疆塔城地区和布克赛尔蒙古自治县和布克赛尔矿区煤矿，原煤经加工后制成水煤浆，通过浆罐储存、管道和汽车运输至热动力中心浆液罐内储存，再经供浆泵通过管道输送至锅炉进浆口，主厂房锅炉，热动力中心燃料—水煤浆由水煤浆生产基地通过管道或汽车运输至热动力中心锅炉供浆罐。</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2.2.4.</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6电厂水煤浆消耗量</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本项目运营期间水煤浆消耗情况见表</w:t>
      </w:r>
      <w:r>
        <w:rPr>
          <w:rFonts w:hint="eastAsia" w:ascii="Times New Roman" w:hAnsi="Times New Roman" w:eastAsia="宋体" w:cs="Times New Roman"/>
          <w:color w:val="000000" w:themeColor="text1"/>
          <w:spacing w:val="0"/>
          <w:w w:val="100"/>
          <w:position w:val="0"/>
          <w:sz w:val="24"/>
          <w:szCs w:val="24"/>
          <w:u w:val="none"/>
          <w:lang w:val="en-US" w:eastAsia="en-US" w:bidi="zh-CN"/>
          <w14:textFill>
            <w14:solidFill>
              <w14:schemeClr w14:val="tx1"/>
            </w14:solidFill>
          </w14:textFill>
        </w:rPr>
        <w:t>2.</w:t>
      </w:r>
      <w: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2-6。</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2.2-6</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ab/>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本项目水煤浆量消耗情况一览表</w:t>
      </w:r>
    </w:p>
    <w:tbl>
      <w:tblPr>
        <w:tblStyle w:val="21"/>
        <w:tblW w:w="8326" w:type="dxa"/>
        <w:jc w:val="center"/>
        <w:tblInd w:w="0" w:type="dxa"/>
        <w:tblLayout w:type="fixed"/>
        <w:tblCellMar>
          <w:top w:w="0" w:type="dxa"/>
          <w:left w:w="10" w:type="dxa"/>
          <w:bottom w:w="0" w:type="dxa"/>
          <w:right w:w="10" w:type="dxa"/>
        </w:tblCellMar>
      </w:tblPr>
      <w:tblGrid>
        <w:gridCol w:w="2086"/>
        <w:gridCol w:w="2082"/>
        <w:gridCol w:w="2077"/>
        <w:gridCol w:w="2081"/>
      </w:tblGrid>
      <w:tr>
        <w:tblPrEx>
          <w:tblLayout w:type="fixed"/>
          <w:tblCellMar>
            <w:top w:w="0" w:type="dxa"/>
            <w:left w:w="10" w:type="dxa"/>
            <w:bottom w:w="0" w:type="dxa"/>
            <w:right w:w="10" w:type="dxa"/>
          </w:tblCellMar>
        </w:tblPrEx>
        <w:trPr>
          <w:trHeight w:val="643" w:hRule="exact"/>
          <w:jc w:val="center"/>
        </w:trPr>
        <w:tc>
          <w:tcPr>
            <w:tcW w:w="4168"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right"/>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-8255</wp:posOffset>
                      </wp:positionV>
                      <wp:extent cx="2646045" cy="412750"/>
                      <wp:effectExtent l="635" t="4445" r="1270" b="20955"/>
                      <wp:wrapNone/>
                      <wp:docPr id="16" name="直接连接符 16"/>
                      <wp:cNvGraphicFramePr/>
                      <a:graphic xmlns:a="http://schemas.openxmlformats.org/drawingml/2006/main">
                        <a:graphicData uri="http://schemas.microsoft.com/office/word/2010/wordprocessingShape">
                          <wps:wsp>
                            <wps:cNvCnPr/>
                            <wps:spPr>
                              <a:xfrm>
                                <a:off x="1134110" y="6541135"/>
                                <a:ext cx="2646045" cy="412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7pt;margin-top:-0.65pt;height:32.5pt;width:208.35pt;z-index:251659264;mso-width-relative:page;mso-height-relative:page;" filled="f" stroked="t" coordsize="21600,21600" o:gfxdata="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G7T3vXAAAACAEAAA8AAAAAAAAA&#10;AQAgAAAAIgAAAGRycy9kb3ducmV2LnhtbFBLAQIUABQAAAAIAIdO4kB84gRx2QEAAHYDAAAOAAAA&#10;AAAAAAEAIAAAACYBAABkcnMvZTJvRG9jLnhtbFBLBQYAAAAABgAGAFkBAABxBQAAAAA=&#10;">
                      <v:fill on="f" focussize="0,0"/>
                      <v:stroke weight="0.5pt" color="#000000 [3213]" miterlimit="8" joinstyle="miter"/>
                      <v:imagedata o:title=""/>
                      <o:lock v:ext="edit" aspectratio="f"/>
                    </v:line>
                  </w:pict>
                </mc:Fallback>
              </mc:AlternateContent>
            </w: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en-US" w:eastAsia="zh-CN"/>
                <w14:textFill>
                  <w14:solidFill>
                    <w14:schemeClr w14:val="tx1"/>
                  </w14:solidFill>
                </w14:textFill>
              </w:rPr>
              <w:t>锅炉</w:t>
            </w: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t>容量</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pP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t>项目</w:t>
            </w:r>
          </w:p>
        </w:tc>
        <w:tc>
          <w:tcPr>
            <w:tcW w:w="207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pP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en-US" w:eastAsia="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en-US" w:eastAsia="zh-CN"/>
                <w14:textFill>
                  <w14:solidFill>
                    <w14:schemeClr w14:val="tx1"/>
                  </w14:solidFill>
                </w14:textFill>
              </w:rPr>
              <w:t>1×</w:t>
            </w: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en-US" w:eastAsia="en-US"/>
                <w14:textFill>
                  <w14:solidFill>
                    <w14:schemeClr w14:val="tx1"/>
                  </w14:solidFill>
                </w14:textFill>
              </w:rPr>
              <w:t xml:space="preserve">220t/h </w:t>
            </w: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t>锅炉）</w:t>
            </w:r>
          </w:p>
        </w:tc>
        <w:tc>
          <w:tcPr>
            <w:tcW w:w="2081"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pP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en-US" w:eastAsia="en-US"/>
                <w14:textFill>
                  <w14:solidFill>
                    <w14:schemeClr w14:val="tx1"/>
                  </w14:solidFill>
                </w14:textFill>
              </w:rPr>
              <w:t>（2</w:t>
            </w: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en-US" w:eastAsia="zh-CN"/>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en-US" w:eastAsia="en-US"/>
                <w14:textFill>
                  <w14:solidFill>
                    <w14:schemeClr w14:val="tx1"/>
                  </w14:solidFill>
                </w14:textFill>
              </w:rPr>
              <w:t xml:space="preserve">130t/h </w:t>
            </w: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t>锅炉）</w:t>
            </w:r>
          </w:p>
        </w:tc>
      </w:tr>
      <w:tr>
        <w:tblPrEx>
          <w:tblLayout w:type="fixed"/>
          <w:tblCellMar>
            <w:top w:w="0" w:type="dxa"/>
            <w:left w:w="10" w:type="dxa"/>
            <w:bottom w:w="0" w:type="dxa"/>
            <w:right w:w="10" w:type="dxa"/>
          </w:tblCellMar>
        </w:tblPrEx>
        <w:trPr>
          <w:trHeight w:val="398" w:hRule="exact"/>
          <w:jc w:val="center"/>
        </w:trPr>
        <w:tc>
          <w:tcPr>
            <w:tcW w:w="4168"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pP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t>锅炉台数</w:t>
            </w:r>
          </w:p>
        </w:tc>
        <w:tc>
          <w:tcPr>
            <w:tcW w:w="207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pP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t>1</w:t>
            </w:r>
          </w:p>
        </w:tc>
        <w:tc>
          <w:tcPr>
            <w:tcW w:w="2081"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pP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t>2</w:t>
            </w:r>
          </w:p>
        </w:tc>
      </w:tr>
      <w:tr>
        <w:tblPrEx>
          <w:tblLayout w:type="fixed"/>
          <w:tblCellMar>
            <w:top w:w="0" w:type="dxa"/>
            <w:left w:w="10" w:type="dxa"/>
            <w:bottom w:w="0" w:type="dxa"/>
            <w:right w:w="10" w:type="dxa"/>
          </w:tblCellMar>
        </w:tblPrEx>
        <w:trPr>
          <w:trHeight w:val="403" w:hRule="exact"/>
          <w:jc w:val="center"/>
        </w:trPr>
        <w:tc>
          <w:tcPr>
            <w:tcW w:w="208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pP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t>小时耗燃料量</w:t>
            </w: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en-US" w:eastAsia="en-US"/>
                <w14:textFill>
                  <w14:solidFill>
                    <w14:schemeClr w14:val="tx1"/>
                  </w14:solidFill>
                </w14:textFill>
              </w:rPr>
              <w:t>（t）</w:t>
            </w:r>
          </w:p>
        </w:tc>
        <w:tc>
          <w:tcPr>
            <w:tcW w:w="208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pP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t>设计燃料</w:t>
            </w:r>
          </w:p>
        </w:tc>
        <w:tc>
          <w:tcPr>
            <w:tcW w:w="2077"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en-US" w:eastAsia="zh-CN"/>
                <w14:textFill>
                  <w14:solidFill>
                    <w14:schemeClr w14:val="tx1"/>
                  </w14:solidFill>
                </w14:textFill>
              </w:rPr>
            </w:pPr>
            <w:r>
              <w:rPr>
                <w:rFonts w:hint="eastAsia" w:eastAsia="宋体" w:cs="Times New Roman"/>
                <w:b w:val="0"/>
                <w:color w:val="000000" w:themeColor="text1"/>
                <w:sz w:val="21"/>
                <w:szCs w:val="21"/>
                <w:lang w:val="en-US" w:eastAsia="zh-CN"/>
                <w14:textFill>
                  <w14:solidFill>
                    <w14:schemeClr w14:val="tx1"/>
                  </w14:solidFill>
                </w14:textFill>
              </w:rPr>
              <w:t>54.6</w:t>
            </w:r>
          </w:p>
        </w:tc>
        <w:tc>
          <w:tcPr>
            <w:tcW w:w="2081"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pPr>
            <w:r>
              <w:rPr>
                <w:rFonts w:hint="eastAsia" w:eastAsia="宋体" w:cs="Times New Roman"/>
                <w:b w:val="0"/>
                <w:color w:val="000000" w:themeColor="text1"/>
                <w:sz w:val="21"/>
                <w:szCs w:val="21"/>
                <w:lang w:val="en-US" w:eastAsia="zh-CN"/>
                <w14:textFill>
                  <w14:solidFill>
                    <w14:schemeClr w14:val="tx1"/>
                  </w14:solidFill>
                </w14:textFill>
              </w:rPr>
              <w:t>32.3</w:t>
            </w:r>
            <w:r>
              <w:rPr>
                <w:rFonts w:hint="default" w:ascii="Times New Roman" w:hAnsi="Times New Roman" w:cs="Times New Roman"/>
                <w:b w:val="0"/>
                <w:color w:val="000000" w:themeColor="text1"/>
                <w:sz w:val="21"/>
                <w:szCs w:val="21"/>
                <w14:textFill>
                  <w14:solidFill>
                    <w14:schemeClr w14:val="tx1"/>
                  </w14:solidFill>
                </w14:textFill>
              </w:rPr>
              <w:t>×2</w:t>
            </w:r>
          </w:p>
        </w:tc>
      </w:tr>
      <w:tr>
        <w:tblPrEx>
          <w:tblLayout w:type="fixed"/>
          <w:tblCellMar>
            <w:top w:w="0" w:type="dxa"/>
            <w:left w:w="10" w:type="dxa"/>
            <w:bottom w:w="0" w:type="dxa"/>
            <w:right w:w="10" w:type="dxa"/>
          </w:tblCellMar>
        </w:tblPrEx>
        <w:trPr>
          <w:trHeight w:val="398" w:hRule="exact"/>
          <w:jc w:val="center"/>
        </w:trPr>
        <w:tc>
          <w:tcPr>
            <w:tcW w:w="208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pP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t>曰耗燃料量</w:t>
            </w: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en-US" w:eastAsia="en-US"/>
                <w14:textFill>
                  <w14:solidFill>
                    <w14:schemeClr w14:val="tx1"/>
                  </w14:solidFill>
                </w14:textFill>
              </w:rPr>
              <w:t>（t）</w:t>
            </w:r>
          </w:p>
        </w:tc>
        <w:tc>
          <w:tcPr>
            <w:tcW w:w="208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pP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t>设计燃料</w:t>
            </w:r>
          </w:p>
        </w:tc>
        <w:tc>
          <w:tcPr>
            <w:tcW w:w="2077"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en-US" w:eastAsia="zh-CN"/>
                <w14:textFill>
                  <w14:solidFill>
                    <w14:schemeClr w14:val="tx1"/>
                  </w14:solidFill>
                </w14:textFill>
              </w:rPr>
            </w:pPr>
            <w:r>
              <w:rPr>
                <w:rFonts w:hint="eastAsia" w:eastAsia="宋体" w:cs="Times New Roman"/>
                <w:b w:val="0"/>
                <w:color w:val="000000" w:themeColor="text1"/>
                <w:sz w:val="21"/>
                <w:szCs w:val="21"/>
                <w:lang w:val="en-US" w:eastAsia="zh-CN"/>
                <w14:textFill>
                  <w14:solidFill>
                    <w14:schemeClr w14:val="tx1"/>
                  </w14:solidFill>
                </w14:textFill>
              </w:rPr>
              <w:t>1201.2</w:t>
            </w:r>
          </w:p>
        </w:tc>
        <w:tc>
          <w:tcPr>
            <w:tcW w:w="2081"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pPr>
            <w:r>
              <w:rPr>
                <w:rFonts w:hint="eastAsia" w:eastAsia="宋体" w:cs="Times New Roman"/>
                <w:b w:val="0"/>
                <w:color w:val="000000" w:themeColor="text1"/>
                <w:sz w:val="21"/>
                <w:szCs w:val="21"/>
                <w:lang w:val="en-US" w:eastAsia="zh-CN"/>
                <w14:textFill>
                  <w14:solidFill>
                    <w14:schemeClr w14:val="tx1"/>
                  </w14:solidFill>
                </w14:textFill>
              </w:rPr>
              <w:t>710.6</w:t>
            </w:r>
            <w:r>
              <w:rPr>
                <w:rFonts w:hint="default" w:ascii="Times New Roman" w:hAnsi="Times New Roman" w:cs="Times New Roman"/>
                <w:b w:val="0"/>
                <w:color w:val="000000" w:themeColor="text1"/>
                <w:sz w:val="21"/>
                <w:szCs w:val="21"/>
                <w14:textFill>
                  <w14:solidFill>
                    <w14:schemeClr w14:val="tx1"/>
                  </w14:solidFill>
                </w14:textFill>
              </w:rPr>
              <w:t>×2</w:t>
            </w:r>
          </w:p>
        </w:tc>
      </w:tr>
      <w:tr>
        <w:tblPrEx>
          <w:tblLayout w:type="fixed"/>
          <w:tblCellMar>
            <w:top w:w="0" w:type="dxa"/>
            <w:left w:w="10" w:type="dxa"/>
            <w:bottom w:w="0" w:type="dxa"/>
            <w:right w:w="10" w:type="dxa"/>
          </w:tblCellMar>
        </w:tblPrEx>
        <w:trPr>
          <w:trHeight w:val="425" w:hRule="exact"/>
          <w:jc w:val="center"/>
        </w:trPr>
        <w:tc>
          <w:tcPr>
            <w:tcW w:w="2086"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pP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t>年耗燃料量（万</w:t>
            </w: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en-US" w:eastAsia="en-US"/>
                <w14:textFill>
                  <w14:solidFill>
                    <w14:schemeClr w14:val="tx1"/>
                  </w14:solidFill>
                </w14:textFill>
              </w:rPr>
              <w:t>t）</w:t>
            </w:r>
          </w:p>
        </w:tc>
        <w:tc>
          <w:tcPr>
            <w:tcW w:w="2082"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pPr>
            <w:r>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t>设计燃料</w:t>
            </w:r>
          </w:p>
        </w:tc>
        <w:tc>
          <w:tcPr>
            <w:tcW w:w="2077" w:type="dxa"/>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en-US" w:eastAsia="zh-CN"/>
                <w14:textFill>
                  <w14:solidFill>
                    <w14:schemeClr w14:val="tx1"/>
                  </w14:solidFill>
                </w14:textFill>
              </w:rPr>
            </w:pPr>
            <w:r>
              <w:rPr>
                <w:rFonts w:hint="eastAsia" w:eastAsia="宋体" w:cs="Times New Roman"/>
                <w:b w:val="0"/>
                <w:color w:val="000000" w:themeColor="text1"/>
                <w:sz w:val="21"/>
                <w:szCs w:val="21"/>
                <w:lang w:val="en-US" w:eastAsia="zh-CN"/>
                <w14:textFill>
                  <w14:solidFill>
                    <w14:schemeClr w14:val="tx1"/>
                  </w14:solidFill>
                </w14:textFill>
              </w:rPr>
              <w:t>30.03</w:t>
            </w:r>
          </w:p>
        </w:tc>
        <w:tc>
          <w:tcPr>
            <w:tcW w:w="208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Style w:val="38"/>
                <w:rFonts w:hint="default" w:ascii="Times New Roman" w:hAnsi="Times New Roman" w:eastAsia="宋体" w:cs="Times New Roman"/>
                <w:b w:val="0"/>
                <w:bCs w:val="0"/>
                <w:i w:val="0"/>
                <w:iCs w:val="0"/>
                <w:smallCaps w:val="0"/>
                <w:strike w:val="0"/>
                <w:snapToGrid/>
                <w:color w:val="000000" w:themeColor="text1"/>
                <w:kern w:val="0"/>
                <w:sz w:val="21"/>
                <w:szCs w:val="21"/>
                <w:u w:val="none"/>
                <w:lang w:val="zh-CN" w:eastAsia="zh-CN"/>
                <w14:textFill>
                  <w14:solidFill>
                    <w14:schemeClr w14:val="tx1"/>
                  </w14:solidFill>
                </w14:textFill>
              </w:rPr>
            </w:pPr>
            <w:r>
              <w:rPr>
                <w:rFonts w:hint="eastAsia" w:eastAsia="宋体" w:cs="Times New Roman"/>
                <w:b w:val="0"/>
                <w:color w:val="000000" w:themeColor="text1"/>
                <w:sz w:val="21"/>
                <w:szCs w:val="21"/>
                <w:lang w:val="en-US" w:eastAsia="zh-CN"/>
                <w14:textFill>
                  <w14:solidFill>
                    <w14:schemeClr w14:val="tx1"/>
                  </w14:solidFill>
                </w14:textFill>
              </w:rPr>
              <w:t>17.77</w:t>
            </w:r>
            <w:r>
              <w:rPr>
                <w:rFonts w:hint="default" w:ascii="Times New Roman" w:hAnsi="Times New Roman" w:cs="Times New Roman"/>
                <w:b w:val="0"/>
                <w:color w:val="000000" w:themeColor="text1"/>
                <w:sz w:val="21"/>
                <w:szCs w:val="21"/>
                <w14:textFill>
                  <w14:solidFill>
                    <w14:schemeClr w14:val="tx1"/>
                  </w14:solidFill>
                </w14:textFill>
              </w:rPr>
              <w:t>×2</w:t>
            </w:r>
          </w:p>
        </w:tc>
      </w:tr>
    </w:tbl>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240" w:lineRule="auto"/>
        <w:ind w:firstLine="422" w:firstLineChars="200"/>
        <w:jc w:val="both"/>
        <w:textAlignment w:val="auto"/>
        <w:rPr>
          <w:rFonts w:hint="eastAsia" w:ascii="Times New Roman" w:hAnsi="Times New Roman" w:eastAsia="宋体" w:cs="Times New Roman"/>
          <w:b/>
          <w:bCs/>
          <w:color w:val="000000" w:themeColor="text1"/>
          <w:spacing w:val="0"/>
          <w:w w:val="100"/>
          <w:position w:val="0"/>
          <w:sz w:val="21"/>
          <w:szCs w:val="21"/>
          <w:u w:val="none"/>
          <w:lang w:val="zh-CN"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1"/>
          <w:szCs w:val="21"/>
          <w:u w:val="none"/>
          <w:lang w:val="zh-CN" w:eastAsia="zh-CN" w:bidi="zh-CN"/>
          <w14:textFill>
            <w14:solidFill>
              <w14:schemeClr w14:val="tx1"/>
            </w14:solidFill>
          </w14:textFill>
        </w:rPr>
        <w:t>注：①小时耗水煤浆量按锅炉连续蒸发量计算；日耗燃料量按</w:t>
      </w:r>
      <w:r>
        <w:rPr>
          <w:rFonts w:hint="eastAsia" w:ascii="Times New Roman" w:hAnsi="Times New Roman" w:eastAsia="宋体" w:cs="Times New Roman"/>
          <w:b/>
          <w:bCs/>
          <w:color w:val="000000" w:themeColor="text1"/>
          <w:spacing w:val="0"/>
          <w:w w:val="100"/>
          <w:position w:val="0"/>
          <w:sz w:val="21"/>
          <w:szCs w:val="21"/>
          <w:u w:val="none"/>
          <w:lang w:val="en-US" w:eastAsia="en-US" w:bidi="zh-CN"/>
          <w14:textFill>
            <w14:solidFill>
              <w14:schemeClr w14:val="tx1"/>
            </w14:solidFill>
          </w14:textFill>
        </w:rPr>
        <w:t>2</w:t>
      </w:r>
      <w:r>
        <w:rPr>
          <w:rFonts w:hint="eastAsia" w:eastAsia="宋体" w:cs="Times New Roman"/>
          <w:b/>
          <w:bCs/>
          <w:color w:val="000000" w:themeColor="text1"/>
          <w:spacing w:val="0"/>
          <w:w w:val="100"/>
          <w:position w:val="0"/>
          <w:sz w:val="21"/>
          <w:szCs w:val="21"/>
          <w:u w:val="none"/>
          <w:lang w:val="en-US" w:eastAsia="en-US" w:bidi="zh-CN"/>
          <w14:textFill>
            <w14:solidFill>
              <w14:schemeClr w14:val="tx1"/>
            </w14:solidFill>
          </w14:textFill>
        </w:rPr>
        <w:t>2</w:t>
      </w:r>
      <w:r>
        <w:rPr>
          <w:rFonts w:hint="eastAsia" w:ascii="Times New Roman" w:hAnsi="Times New Roman" w:eastAsia="宋体" w:cs="Times New Roman"/>
          <w:b/>
          <w:bCs/>
          <w:color w:val="000000" w:themeColor="text1"/>
          <w:spacing w:val="0"/>
          <w:w w:val="100"/>
          <w:position w:val="0"/>
          <w:sz w:val="21"/>
          <w:szCs w:val="21"/>
          <w:u w:val="none"/>
          <w:lang w:val="en-US" w:eastAsia="en-US" w:bidi="zh-CN"/>
          <w14:textFill>
            <w14:solidFill>
              <w14:schemeClr w14:val="tx1"/>
            </w14:solidFill>
          </w14:textFill>
        </w:rPr>
        <w:t>h</w:t>
      </w:r>
      <w:r>
        <w:rPr>
          <w:rFonts w:hint="eastAsia" w:ascii="Times New Roman" w:hAnsi="Times New Roman" w:eastAsia="宋体" w:cs="Times New Roman"/>
          <w:b/>
          <w:bCs/>
          <w:color w:val="000000" w:themeColor="text1"/>
          <w:spacing w:val="0"/>
          <w:w w:val="100"/>
          <w:position w:val="0"/>
          <w:sz w:val="21"/>
          <w:szCs w:val="21"/>
          <w:u w:val="none"/>
          <w:lang w:val="zh-CN" w:eastAsia="zh-CN" w:bidi="zh-CN"/>
          <w14:textFill>
            <w14:solidFill>
              <w14:schemeClr w14:val="tx1"/>
            </w14:solidFill>
          </w14:textFill>
        </w:rPr>
        <w:t>计;</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240" w:lineRule="auto"/>
        <w:ind w:firstLine="422" w:firstLineChars="200"/>
        <w:jc w:val="both"/>
        <w:textAlignment w:val="auto"/>
        <w:rPr>
          <w:rFonts w:hint="eastAsia" w:ascii="Times New Roman" w:hAnsi="Times New Roman" w:eastAsia="宋体" w:cs="Times New Roman"/>
          <w:b/>
          <w:bCs/>
          <w:color w:val="000000" w:themeColor="text1"/>
          <w:spacing w:val="0"/>
          <w:w w:val="100"/>
          <w:position w:val="0"/>
          <w:sz w:val="21"/>
          <w:szCs w:val="21"/>
          <w:u w:val="none"/>
          <w:lang w:val="zh-CN"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1"/>
          <w:szCs w:val="21"/>
          <w:u w:val="none"/>
          <w:lang w:val="zh-CN" w:eastAsia="zh-CN" w:bidi="zh-CN"/>
          <w14:textFill>
            <w14:solidFill>
              <w14:schemeClr w14:val="tx1"/>
            </w14:solidFill>
          </w14:textFill>
        </w:rPr>
        <w:t>②年耗水煤浆量按</w:t>
      </w:r>
      <w:r>
        <w:rPr>
          <w:rFonts w:hint="eastAsia" w:eastAsia="宋体" w:cs="Times New Roman"/>
          <w:b/>
          <w:bCs/>
          <w:color w:val="000000" w:themeColor="text1"/>
          <w:spacing w:val="0"/>
          <w:w w:val="100"/>
          <w:position w:val="0"/>
          <w:sz w:val="21"/>
          <w:szCs w:val="21"/>
          <w:u w:val="none"/>
          <w:lang w:val="en-US" w:eastAsia="en-US" w:bidi="zh-CN"/>
          <w14:textFill>
            <w14:solidFill>
              <w14:schemeClr w14:val="tx1"/>
            </w14:solidFill>
          </w14:textFill>
        </w:rPr>
        <w:t>5500</w:t>
      </w:r>
      <w:r>
        <w:rPr>
          <w:rFonts w:hint="eastAsia" w:ascii="Times New Roman" w:hAnsi="Times New Roman" w:eastAsia="宋体" w:cs="Times New Roman"/>
          <w:b/>
          <w:bCs/>
          <w:color w:val="000000" w:themeColor="text1"/>
          <w:spacing w:val="0"/>
          <w:w w:val="100"/>
          <w:position w:val="0"/>
          <w:sz w:val="21"/>
          <w:szCs w:val="21"/>
          <w:u w:val="none"/>
          <w:lang w:val="en-US" w:eastAsia="en-US" w:bidi="zh-CN"/>
          <w14:textFill>
            <w14:solidFill>
              <w14:schemeClr w14:val="tx1"/>
            </w14:solidFill>
          </w14:textFill>
        </w:rPr>
        <w:t>h</w:t>
      </w:r>
      <w:r>
        <w:rPr>
          <w:rFonts w:hint="eastAsia" w:ascii="Times New Roman" w:hAnsi="Times New Roman" w:eastAsia="宋体" w:cs="Times New Roman"/>
          <w:b/>
          <w:bCs/>
          <w:color w:val="000000" w:themeColor="text1"/>
          <w:spacing w:val="0"/>
          <w:w w:val="100"/>
          <w:position w:val="0"/>
          <w:sz w:val="21"/>
          <w:szCs w:val="21"/>
          <w:u w:val="none"/>
          <w:lang w:val="zh-CN" w:eastAsia="zh-CN" w:bidi="zh-CN"/>
          <w14:textFill>
            <w14:solidFill>
              <w14:schemeClr w14:val="tx1"/>
            </w14:solidFill>
          </w14:textFill>
        </w:rPr>
        <w:t>计。</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2.2.5</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热力系统</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t>2.2.5.1</w:t>
      </w: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主蒸汽系统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主蒸汽系统的功能是将锅炉生产的新蒸汽自过热器出口送出。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主蒸汽系统采用切换母管制系统，主蒸汽管道材料为12Cr1MoVG。主蒸汽流量测量采用流量喷嘴。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主蒸汽管道考虑有适当的疏水点和相应的疏水阀以保证机组在起动暖管和低负荷或故障条件下能及时疏尽管道中的冷凝水，防止水击事故的发生。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为保证外供蒸汽的可靠性，本工程在热电装置主厂房内设置的主蒸汽至外供蒸汽管道的减温减压器，减温水采用锅炉给水，用于保证当汽轮机检修或故障时外供蒸汽的需求。</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t>2.2.5.2高压给水系统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给水管道系统的功能是从除氧器下水口吸水并把给水送到锅炉省料器联箱进口。在这个输送过程中，给水被加热以提高循环热效率。给水管道按工作压力划分，从除氧器水箱出口到给水泵进口管道，称为低压给水管道；从给水泵出口到锅炉省料器的管道，称为高压给水管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本工程高压给水系统采用母管制，设置高压给水冷母管和高压给水热母管。从给水泵出口来的高压给水支管汇合成高压给水冷母管，然后分别接入2号高加给水进口。从1号高压出口来的高压给水支管汇合成高压给水热母管，然后分别接至锅炉省煤器入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给水操作平台布置在炉前8m平台。锅炉配3台变频电动给水泵，1台汽动给水泵，3台运行，1台备用。结合《小型火力发电厂设计规范》（GB50049-2011）中关于采用汽动给水泵的相关内容：当电厂不与电网连接或电网不可靠时，宜设置1台汽动给水泵；厂用低压蒸汽需常年经减温减压器供给的热电厂，可采用1台~2台经常运行的汽动给水泵；高压供热机组当有中压抽汽是，可供小背压及带动给水泵，小背压机的排汽再供除氧器或接至供热管网。本工程为高压供热机组，考虑电源的可靠性时，现阶段暂按照设置一台汽泵给水泵考虑。但汽动给水泵的设置会导致初投资以及运行维护成本的增加，给汽轮机的抽汽系统配置更加复杂，使主汽轮机的参数和配置复杂化。同时由于给水泵汽轮机的参数较主汽轮机的参数低，效率低，全厂的热经济性差。建议下个阶段在主机招标采购中对汽泵的配置与主机进一步配合讨论确定，现阶段暂按配置一台290t/h的汽动给水泵考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高压给水还提供锅炉过热器各级减温器的减温水，用以调节过热蒸汽温度。过热蒸汽喷水减温水来自锅炉给水操纵台后的主给水管道，分成两路，向两只喷水减温器供水。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给水操纵台负荷调节范围为：主回路为100%，另设75%、30%的小旁路用于低负荷及锅炉启动。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t>2.2.5.3低压给水系统</w:t>
      </w:r>
    </w:p>
    <w:p>
      <w:pPr>
        <w:spacing w:line="360" w:lineRule="auto"/>
        <w:ind w:firstLine="480" w:firstLineChars="200"/>
        <w:rPr>
          <w:rFonts w:ascii="宋体" w:hAnsi="宋体"/>
          <w:b w:val="0"/>
          <w:bCs/>
          <w:color w:val="000000" w:themeColor="text1"/>
          <w14:textFill>
            <w14:solidFill>
              <w14:schemeClr w14:val="tx1"/>
            </w14:solidFill>
          </w14:textFill>
        </w:rPr>
      </w:pPr>
      <w:r>
        <w:rPr>
          <w:rFonts w:hint="eastAsia" w:ascii="宋体" w:hAnsi="宋体"/>
          <w:b w:val="0"/>
          <w:bCs/>
          <w:color w:val="000000" w:themeColor="text1"/>
          <w14:textFill>
            <w14:solidFill>
              <w14:schemeClr w14:val="tx1"/>
            </w14:solidFill>
          </w14:textFill>
        </w:rPr>
        <w:t>低压给水采用母管制，分别接到给水泵入口的母管。每台给水泵用低压给水均接自低压给水母管，在每台给水泵入口前设有一只手动闸阀和一只滤网。滤网的作用是在机组初次投运或除氧器大修后的投运初期，防止安装或大修过程中可能积存在除氧器给水箱中或进水管内的异物进入泵内以保护给水泵。</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t>2.2.5.4补给水系统</w:t>
      </w:r>
    </w:p>
    <w:p>
      <w:pPr>
        <w:spacing w:line="360" w:lineRule="auto"/>
        <w:ind w:firstLine="480" w:firstLineChars="200"/>
        <w:rPr>
          <w:rFonts w:ascii="宋体" w:hAnsi="宋体"/>
          <w:b w:val="0"/>
          <w:bCs/>
          <w:color w:val="000000" w:themeColor="text1"/>
          <w14:textFill>
            <w14:solidFill>
              <w14:schemeClr w14:val="tx1"/>
            </w14:solidFill>
          </w14:textFill>
        </w:rPr>
      </w:pPr>
      <w:r>
        <w:rPr>
          <w:rFonts w:hint="eastAsia" w:ascii="宋体" w:hAnsi="宋体"/>
          <w:b w:val="0"/>
          <w:bCs/>
          <w:color w:val="000000" w:themeColor="text1"/>
          <w14:textFill>
            <w14:solidFill>
              <w14:schemeClr w14:val="tx1"/>
            </w14:solidFill>
          </w14:textFill>
        </w:rPr>
        <w:t>本工程低温的化学除盐水直接补充到除氧器，利用汽轮机排汽及主汽减温减压器出口的蒸汽来加热低温的除盐水。</w:t>
      </w:r>
    </w:p>
    <w:p>
      <w:pPr>
        <w:spacing w:line="360" w:lineRule="auto"/>
        <w:ind w:firstLine="480" w:firstLineChars="200"/>
        <w:rPr>
          <w:rFonts w:ascii="宋体" w:hAnsi="宋体"/>
          <w:b w:val="0"/>
          <w:bCs/>
          <w:color w:val="000000" w:themeColor="text1"/>
          <w14:textFill>
            <w14:solidFill>
              <w14:schemeClr w14:val="tx1"/>
            </w14:solidFill>
          </w14:textFill>
        </w:rPr>
      </w:pPr>
      <w:r>
        <w:rPr>
          <w:rFonts w:hint="eastAsia" w:ascii="宋体" w:hAnsi="宋体"/>
          <w:b w:val="0"/>
          <w:bCs/>
          <w:color w:val="000000" w:themeColor="text1"/>
          <w14:textFill>
            <w14:solidFill>
              <w14:schemeClr w14:val="tx1"/>
            </w14:solidFill>
          </w14:textFill>
        </w:rPr>
        <w:t>除氧器的补充水系统采用母管制。每台除氧器的正常补水管路上均设有电动调节阀，可自动调节适应不同工况下不同负荷所需的除盐水补水量。</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t>2.2.5.5工业水</w:t>
      </w:r>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给水泵、风机等设备均采用工业水冷却，回水至凉水塔冷却系统。冷却水设计水温：20℃；最高冷却水温度：33℃。</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t>2.2.5.6全厂排汽系统及噪声计算</w:t>
      </w:r>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除氧器的排汽引至屋顶或主厂房房外。</w:t>
      </w:r>
    </w:p>
    <w:p>
      <w:pPr>
        <w:spacing w:line="360" w:lineRule="auto"/>
        <w:ind w:firstLine="480" w:firstLineChars="200"/>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锅炉房的汽包安全阀排汽、过热器出口集箱的安全阀排汽、锅炉启动排汽出口全部设置了消音器，并引到锅炉轻型屋顶上方2.5m以上，距离消音器1</w:t>
      </w:r>
      <w:r>
        <w:rPr>
          <w:rFonts w:hint="eastAsia" w:ascii="Times New Roman" w:hAnsi="Times New Roman" w:eastAsia="宋体" w:cs="Times New Roman"/>
          <w:b w:val="0"/>
          <w:bCs/>
          <w:color w:val="000000" w:themeColor="text1"/>
          <w:lang w:val="en-US" w:eastAsia="zh-CN"/>
          <w14:textFill>
            <w14:solidFill>
              <w14:schemeClr w14:val="tx1"/>
            </w14:solidFill>
          </w14:textFill>
        </w:rPr>
        <w:t>m</w:t>
      </w:r>
      <w:r>
        <w:rPr>
          <w:rFonts w:hint="default" w:ascii="Times New Roman" w:hAnsi="Times New Roman" w:cs="Times New Roman"/>
          <w:b w:val="0"/>
          <w:bCs/>
          <w:color w:val="000000" w:themeColor="text1"/>
          <w14:textFill>
            <w14:solidFill>
              <w14:schemeClr w14:val="tx1"/>
            </w14:solidFill>
          </w14:textFill>
        </w:rPr>
        <w:t>处的最大噪音不超过85dB(A)。</w:t>
      </w:r>
      <w:r>
        <w:rPr>
          <w:rFonts w:hint="eastAsia" w:ascii="Times New Roman" w:hAnsi="Times New Roman" w:eastAsia="宋体" w:cs="Times New Roman"/>
          <w:b w:val="0"/>
          <w:bCs/>
          <w:color w:val="000000" w:themeColor="text1"/>
          <w:lang w:eastAsia="zh-CN"/>
          <w14:textFill>
            <w14:solidFill>
              <w14:schemeClr w14:val="tx1"/>
            </w14:solidFill>
          </w14:textFill>
        </w:rPr>
        <w:t>热力系统主要辅机见表</w:t>
      </w:r>
      <w:r>
        <w:rPr>
          <w:rFonts w:hint="eastAsia" w:ascii="Times New Roman" w:hAnsi="Times New Roman" w:eastAsia="宋体" w:cs="Times New Roman"/>
          <w:b w:val="0"/>
          <w:bCs/>
          <w:color w:val="000000" w:themeColor="text1"/>
          <w:lang w:val="en-US" w:eastAsia="zh-CN"/>
          <w14:textFill>
            <w14:solidFill>
              <w14:schemeClr w14:val="tx1"/>
            </w14:solidFill>
          </w14:textFill>
        </w:rPr>
        <w:t>2.2-7。</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黑体" w:cs="Times New Roman"/>
          <w:b w:val="0"/>
          <w:bCs/>
          <w:color w:val="000000" w:themeColor="text1"/>
          <w:sz w:val="21"/>
          <w:szCs w:val="21"/>
          <w14:textFill>
            <w14:solidFill>
              <w14:schemeClr w14:val="tx1"/>
            </w14:solidFill>
          </w14:textFill>
        </w:rPr>
      </w:pPr>
      <w:r>
        <w:rPr>
          <w:rFonts w:hint="default" w:ascii="Times New Roman" w:hAnsi="Times New Roman" w:eastAsia="黑体" w:cs="Times New Roman"/>
          <w:b w:val="0"/>
          <w:bCs/>
          <w:color w:val="000000" w:themeColor="text1"/>
          <w:sz w:val="21"/>
          <w:szCs w:val="21"/>
          <w:lang w:eastAsia="zh-CN"/>
          <w14:textFill>
            <w14:solidFill>
              <w14:schemeClr w14:val="tx1"/>
            </w14:solidFill>
          </w14:textFill>
        </w:rPr>
        <w:t>表</w:t>
      </w:r>
      <w:r>
        <w:rPr>
          <w:rFonts w:hint="default" w:ascii="Times New Roman" w:hAnsi="Times New Roman" w:eastAsia="黑体" w:cs="Times New Roman"/>
          <w:b w:val="0"/>
          <w:bCs/>
          <w:color w:val="000000" w:themeColor="text1"/>
          <w:sz w:val="21"/>
          <w:szCs w:val="21"/>
          <w:lang w:val="en-US" w:eastAsia="zh-CN"/>
          <w14:textFill>
            <w14:solidFill>
              <w14:schemeClr w14:val="tx1"/>
            </w14:solidFill>
          </w14:textFill>
        </w:rPr>
        <w:t>2.2-</w:t>
      </w:r>
      <w:r>
        <w:rPr>
          <w:rFonts w:hint="eastAsia" w:ascii="Times New Roman" w:hAnsi="Times New Roman" w:eastAsia="黑体" w:cs="Times New Roman"/>
          <w:b w:val="0"/>
          <w:bCs/>
          <w:color w:val="000000" w:themeColor="text1"/>
          <w:sz w:val="21"/>
          <w:szCs w:val="21"/>
          <w:lang w:val="en-US" w:eastAsia="zh-CN"/>
          <w14:textFill>
            <w14:solidFill>
              <w14:schemeClr w14:val="tx1"/>
            </w14:solidFill>
          </w14:textFill>
        </w:rPr>
        <w:t>7</w:t>
      </w:r>
      <w:r>
        <w:rPr>
          <w:rFonts w:hint="default" w:ascii="Times New Roman" w:hAnsi="Times New Roman" w:eastAsia="黑体" w:cs="Times New Roman"/>
          <w:b w:val="0"/>
          <w:bCs/>
          <w:color w:val="000000" w:themeColor="text1"/>
          <w:sz w:val="21"/>
          <w:szCs w:val="21"/>
          <w14:textFill>
            <w14:solidFill>
              <w14:schemeClr w14:val="tx1"/>
            </w14:solidFill>
          </w14:textFill>
        </w:rPr>
        <w:t>热力系统主要辅机表（3台锅炉）</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814"/>
        <w:gridCol w:w="5317"/>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9"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序号</w:t>
            </w:r>
          </w:p>
        </w:tc>
        <w:tc>
          <w:tcPr>
            <w:tcW w:w="1814"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名称</w:t>
            </w:r>
          </w:p>
        </w:tc>
        <w:tc>
          <w:tcPr>
            <w:tcW w:w="5317"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规格</w:t>
            </w:r>
          </w:p>
        </w:tc>
        <w:tc>
          <w:tcPr>
            <w:tcW w:w="752"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9"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w:t>
            </w:r>
          </w:p>
        </w:tc>
        <w:tc>
          <w:tcPr>
            <w:tcW w:w="1814"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130t/h锅炉用</w:t>
            </w:r>
          </w:p>
        </w:tc>
        <w:tc>
          <w:tcPr>
            <w:tcW w:w="5317"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752"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9"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814"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压力式除氧器</w:t>
            </w:r>
          </w:p>
        </w:tc>
        <w:tc>
          <w:tcPr>
            <w:tcW w:w="5317"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170t/h，0.588MPa</w:t>
            </w:r>
          </w:p>
        </w:tc>
        <w:tc>
          <w:tcPr>
            <w:tcW w:w="752"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9"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814"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除氧水箱</w:t>
            </w:r>
          </w:p>
        </w:tc>
        <w:tc>
          <w:tcPr>
            <w:tcW w:w="5317"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50m³</w:t>
            </w:r>
          </w:p>
        </w:tc>
        <w:tc>
          <w:tcPr>
            <w:tcW w:w="752"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9"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814"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220t/h锅炉用</w:t>
            </w:r>
          </w:p>
        </w:tc>
        <w:tc>
          <w:tcPr>
            <w:tcW w:w="5317"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752"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9"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814"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压力式除氧器</w:t>
            </w:r>
          </w:p>
        </w:tc>
        <w:tc>
          <w:tcPr>
            <w:tcW w:w="5317"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290t/h，0.588MPa</w:t>
            </w:r>
          </w:p>
        </w:tc>
        <w:tc>
          <w:tcPr>
            <w:tcW w:w="752"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9"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814"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除氧水箱</w:t>
            </w:r>
          </w:p>
        </w:tc>
        <w:tc>
          <w:tcPr>
            <w:tcW w:w="5317"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70m</w:t>
            </w:r>
            <w:r>
              <w:rPr>
                <w:rFonts w:hint="default" w:ascii="Times New Roman" w:hAnsi="Times New Roman" w:cs="Times New Roman"/>
                <w:b w:val="0"/>
                <w:bCs/>
                <w:color w:val="000000" w:themeColor="text1"/>
                <w:sz w:val="21"/>
                <w:szCs w:val="21"/>
                <w:vertAlign w:val="superscript"/>
                <w14:textFill>
                  <w14:solidFill>
                    <w14:schemeClr w14:val="tx1"/>
                  </w14:solidFill>
                </w14:textFill>
              </w:rPr>
              <w:t>3</w:t>
            </w:r>
          </w:p>
        </w:tc>
        <w:tc>
          <w:tcPr>
            <w:tcW w:w="752"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9"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w:t>
            </w:r>
          </w:p>
        </w:tc>
        <w:tc>
          <w:tcPr>
            <w:tcW w:w="1814"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电动给水泵</w:t>
            </w:r>
          </w:p>
        </w:tc>
        <w:tc>
          <w:tcPr>
            <w:tcW w:w="5317"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流量170t/h、扬程15.5MPa，N=1050KW</w:t>
            </w:r>
          </w:p>
        </w:tc>
        <w:tc>
          <w:tcPr>
            <w:tcW w:w="752"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9"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814"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电动给水泵</w:t>
            </w:r>
          </w:p>
        </w:tc>
        <w:tc>
          <w:tcPr>
            <w:tcW w:w="5317"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流量290t/h、扬程15.5MPa</w:t>
            </w:r>
          </w:p>
        </w:tc>
        <w:tc>
          <w:tcPr>
            <w:tcW w:w="752"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9"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814"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汽动给水泵</w:t>
            </w:r>
          </w:p>
        </w:tc>
        <w:tc>
          <w:tcPr>
            <w:tcW w:w="5317"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流量290t/h 进汽、排汽参数：3.43/1.2 MPa</w:t>
            </w:r>
          </w:p>
        </w:tc>
        <w:tc>
          <w:tcPr>
            <w:tcW w:w="752"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9"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3</w:t>
            </w:r>
          </w:p>
        </w:tc>
        <w:tc>
          <w:tcPr>
            <w:tcW w:w="1814"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连续排污扩容器</w:t>
            </w:r>
          </w:p>
        </w:tc>
        <w:tc>
          <w:tcPr>
            <w:tcW w:w="5317"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LP-3.5  3.5m</w:t>
            </w:r>
            <w:r>
              <w:rPr>
                <w:rFonts w:hint="default" w:ascii="Times New Roman" w:hAnsi="Times New Roman"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cs="Times New Roman"/>
                <w:b w:val="0"/>
                <w:bCs/>
                <w:color w:val="000000" w:themeColor="text1"/>
                <w:sz w:val="21"/>
                <w:szCs w:val="21"/>
                <w14:textFill>
                  <w14:solidFill>
                    <w14:schemeClr w14:val="tx1"/>
                  </w14:solidFill>
                </w14:textFill>
              </w:rPr>
              <w:t>，D=1500mm</w:t>
            </w:r>
          </w:p>
        </w:tc>
        <w:tc>
          <w:tcPr>
            <w:tcW w:w="752"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9"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4</w:t>
            </w:r>
          </w:p>
        </w:tc>
        <w:tc>
          <w:tcPr>
            <w:tcW w:w="1814"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定期排污扩容器</w:t>
            </w:r>
          </w:p>
        </w:tc>
        <w:tc>
          <w:tcPr>
            <w:tcW w:w="5317"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DP-7.5型  V=7.5m</w:t>
            </w:r>
            <w:r>
              <w:rPr>
                <w:rFonts w:hint="default" w:ascii="Times New Roman" w:hAnsi="Times New Roman"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cs="Times New Roman"/>
                <w:b w:val="0"/>
                <w:bCs/>
                <w:color w:val="000000" w:themeColor="text1"/>
                <w:sz w:val="21"/>
                <w:szCs w:val="21"/>
                <w14:textFill>
                  <w14:solidFill>
                    <w14:schemeClr w14:val="tx1"/>
                  </w14:solidFill>
                </w14:textFill>
              </w:rPr>
              <w:t xml:space="preserve">  0.25Mpa，D=2000mm</w:t>
            </w:r>
          </w:p>
        </w:tc>
        <w:tc>
          <w:tcPr>
            <w:tcW w:w="752"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9"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5</w:t>
            </w:r>
          </w:p>
        </w:tc>
        <w:tc>
          <w:tcPr>
            <w:tcW w:w="1814"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疏水扩容器</w:t>
            </w:r>
          </w:p>
        </w:tc>
        <w:tc>
          <w:tcPr>
            <w:tcW w:w="5317"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SKL-2.0， 2.0m</w:t>
            </w:r>
            <w:r>
              <w:rPr>
                <w:rFonts w:hint="default" w:ascii="Times New Roman" w:hAnsi="Times New Roman"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cs="Times New Roman"/>
                <w:b w:val="0"/>
                <w:bCs/>
                <w:color w:val="000000" w:themeColor="text1"/>
                <w:sz w:val="21"/>
                <w:szCs w:val="21"/>
                <w14:textFill>
                  <w14:solidFill>
                    <w14:schemeClr w14:val="tx1"/>
                  </w14:solidFill>
                </w14:textFill>
              </w:rPr>
              <w:t>，0.25Mpa</w:t>
            </w:r>
          </w:p>
        </w:tc>
        <w:tc>
          <w:tcPr>
            <w:tcW w:w="752"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9"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6</w:t>
            </w:r>
          </w:p>
        </w:tc>
        <w:tc>
          <w:tcPr>
            <w:tcW w:w="1814"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疏水箱</w:t>
            </w:r>
          </w:p>
        </w:tc>
        <w:tc>
          <w:tcPr>
            <w:tcW w:w="5317"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20 m</w:t>
            </w:r>
            <w:r>
              <w:rPr>
                <w:rFonts w:hint="default" w:ascii="Times New Roman" w:hAnsi="Times New Roman" w:cs="Times New Roman"/>
                <w:b w:val="0"/>
                <w:bCs/>
                <w:color w:val="000000" w:themeColor="text1"/>
                <w:sz w:val="21"/>
                <w:szCs w:val="21"/>
                <w:vertAlign w:val="superscript"/>
                <w14:textFill>
                  <w14:solidFill>
                    <w14:schemeClr w14:val="tx1"/>
                  </w14:solidFill>
                </w14:textFill>
              </w:rPr>
              <w:t>3</w:t>
            </w:r>
          </w:p>
        </w:tc>
        <w:tc>
          <w:tcPr>
            <w:tcW w:w="752"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9"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7</w:t>
            </w:r>
          </w:p>
        </w:tc>
        <w:tc>
          <w:tcPr>
            <w:tcW w:w="1814"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疏水泵</w:t>
            </w:r>
          </w:p>
        </w:tc>
        <w:tc>
          <w:tcPr>
            <w:tcW w:w="5317"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Q=50m</w:t>
            </w:r>
            <w:r>
              <w:rPr>
                <w:rFonts w:hint="default" w:ascii="Times New Roman" w:hAnsi="Times New Roman"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cs="Times New Roman"/>
                <w:b w:val="0"/>
                <w:bCs/>
                <w:color w:val="000000" w:themeColor="text1"/>
                <w:sz w:val="21"/>
                <w:szCs w:val="21"/>
                <w14:textFill>
                  <w14:solidFill>
                    <w14:schemeClr w14:val="tx1"/>
                  </w14:solidFill>
                </w14:textFill>
              </w:rPr>
              <w:t>/h，130mH</w:t>
            </w:r>
            <w:r>
              <w:rPr>
                <w:rFonts w:hint="default" w:ascii="Times New Roman" w:hAnsi="Times New Roman" w:cs="Times New Roman"/>
                <w:b w:val="0"/>
                <w:bCs/>
                <w:color w:val="000000" w:themeColor="text1"/>
                <w:sz w:val="21"/>
                <w:szCs w:val="21"/>
                <w:vertAlign w:val="subscript"/>
                <w14:textFill>
                  <w14:solidFill>
                    <w14:schemeClr w14:val="tx1"/>
                  </w14:solidFill>
                </w14:textFill>
              </w:rPr>
              <w:t>2</w:t>
            </w:r>
            <w:r>
              <w:rPr>
                <w:rFonts w:hint="default" w:ascii="Times New Roman" w:hAnsi="Times New Roman" w:cs="Times New Roman"/>
                <w:b w:val="0"/>
                <w:bCs/>
                <w:color w:val="000000" w:themeColor="text1"/>
                <w:sz w:val="21"/>
                <w:szCs w:val="21"/>
                <w14:textFill>
                  <w14:solidFill>
                    <w14:schemeClr w14:val="tx1"/>
                  </w14:solidFill>
                </w14:textFill>
              </w:rPr>
              <w:t>O，N=37KW</w:t>
            </w:r>
          </w:p>
        </w:tc>
        <w:tc>
          <w:tcPr>
            <w:tcW w:w="752"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9"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8</w:t>
            </w:r>
          </w:p>
        </w:tc>
        <w:tc>
          <w:tcPr>
            <w:tcW w:w="1814"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1#高压加热器</w:t>
            </w:r>
          </w:p>
        </w:tc>
        <w:tc>
          <w:tcPr>
            <w:tcW w:w="5317"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换热面积200</w:t>
            </w:r>
            <w:r>
              <w:rPr>
                <w:rFonts w:hint="eastAsia" w:eastAsia="宋体" w:cs="Times New Roman"/>
                <w:b w:val="0"/>
                <w:bCs/>
                <w:color w:val="000000" w:themeColor="text1"/>
                <w:sz w:val="21"/>
                <w:szCs w:val="21"/>
                <w:lang w:val="en-US" w:eastAsia="zh-CN"/>
                <w14:textFill>
                  <w14:solidFill>
                    <w14:schemeClr w14:val="tx1"/>
                  </w14:solidFill>
                </w14:textFill>
              </w:rPr>
              <w:t>m</w:t>
            </w:r>
            <w:r>
              <w:rPr>
                <w:rFonts w:hint="eastAsia" w:eastAsia="宋体" w:cs="Times New Roman"/>
                <w:b w:val="0"/>
                <w:bCs/>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b w:val="0"/>
                <w:bCs/>
                <w:color w:val="000000" w:themeColor="text1"/>
                <w:sz w:val="21"/>
                <w:szCs w:val="21"/>
                <w14:textFill>
                  <w14:solidFill>
                    <w14:schemeClr w14:val="tx1"/>
                  </w14:solidFill>
                </w14:textFill>
              </w:rPr>
              <w:t>，设计压力：3.8Mpa（壳程）；设计温度：430℃（壳程）</w:t>
            </w:r>
          </w:p>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设计压力：18.0Mpa（管程）；设计温度：250℃（管程）</w:t>
            </w:r>
          </w:p>
        </w:tc>
        <w:tc>
          <w:tcPr>
            <w:tcW w:w="752"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8" w:hRule="atLeast"/>
        </w:trPr>
        <w:tc>
          <w:tcPr>
            <w:tcW w:w="639"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9</w:t>
            </w:r>
          </w:p>
        </w:tc>
        <w:tc>
          <w:tcPr>
            <w:tcW w:w="1814"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2#高压加热器</w:t>
            </w:r>
          </w:p>
        </w:tc>
        <w:tc>
          <w:tcPr>
            <w:tcW w:w="5317"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换热面积260</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m</w:t>
            </w:r>
            <w:r>
              <w:rPr>
                <w:rFonts w:hint="eastAsia" w:ascii="Times New Roman" w:hAnsi="Times New Roman" w:eastAsia="宋体" w:cs="Times New Roman"/>
                <w:b w:val="0"/>
                <w:bCs/>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b w:val="0"/>
                <w:bCs/>
                <w:color w:val="000000" w:themeColor="text1"/>
                <w:sz w:val="21"/>
                <w:szCs w:val="21"/>
                <w14:textFill>
                  <w14:solidFill>
                    <w14:schemeClr w14:val="tx1"/>
                  </w14:solidFill>
                </w14:textFill>
              </w:rPr>
              <w:t>，</w:t>
            </w:r>
          </w:p>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设计压力：2.0Mpa（壳程）；设计温度：350℃（壳程）</w:t>
            </w:r>
          </w:p>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设计压力：18.0Mpa（管程）；设计温度：250℃（管程）</w:t>
            </w:r>
          </w:p>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752" w:type="dxa"/>
            <w:vAlign w:val="center"/>
          </w:tcPr>
          <w:p>
            <w:pPr>
              <w:spacing w:line="240" w:lineRule="atLeas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w:t>
            </w:r>
          </w:p>
        </w:tc>
      </w:tr>
    </w:tbl>
    <w:p>
      <w:pPr>
        <w:pStyle w:val="33"/>
        <w:keepNext w:val="0"/>
        <w:keepLines w:val="0"/>
        <w:pageBreakBefore w:val="0"/>
        <w:widowControl w:val="0"/>
        <w:shd w:val="clear" w:color="auto" w:fill="auto"/>
        <w:kinsoku/>
        <w:wordWrap/>
        <w:overflowPunct/>
        <w:topLinePunct w:val="0"/>
        <w:autoSpaceDE/>
        <w:autoSpaceDN/>
        <w:bidi w:val="0"/>
        <w:adjustRightInd/>
        <w:snapToGrid/>
        <w:spacing w:before="313" w:beforeLines="100" w:after="0" w:line="360" w:lineRule="auto"/>
        <w:ind w:left="0" w:right="0" w:firstLine="0"/>
        <w:jc w:val="both"/>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2.2.6</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燃烧系统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CFB锅炉燃烧系统具有燃料适应性广：燃烧效率高；负荷调节范围大；高效脱硫；氮氧化物(N</w:t>
      </w:r>
      <w:r>
        <w:rPr>
          <w:rFonts w:hint="eastAsia" w:eastAsia="宋体" w:cs="Times New Roman"/>
          <w:b w:val="0"/>
          <w:bCs/>
          <w:color w:val="000000" w:themeColor="text1"/>
          <w:lang w:val="en-US" w:eastAsia="zh-CN"/>
          <w14:textFill>
            <w14:solidFill>
              <w14:schemeClr w14:val="tx1"/>
            </w14:solidFill>
          </w14:textFill>
        </w:rPr>
        <w:t>O</w:t>
      </w:r>
      <w:r>
        <w:rPr>
          <w:rFonts w:hint="default" w:ascii="Times New Roman" w:hAnsi="Times New Roman" w:cs="Times New Roman"/>
          <w:b w:val="0"/>
          <w:bCs/>
          <w:color w:val="000000" w:themeColor="text1"/>
          <w14:textFill>
            <w14:solidFill>
              <w14:schemeClr w14:val="tx1"/>
            </w14:solidFill>
          </w14:textFill>
        </w:rPr>
        <w:t>x)排放低；燃料预处理系统简单；易于实现灰渣综合利用，洁净燃烧的特点。系统组成如下：</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hint="default" w:ascii="Times New Roman" w:hAnsi="Times New Roman"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2.2.6.1</w:t>
      </w:r>
      <w:r>
        <w:rPr>
          <w:rFonts w:hint="default" w:ascii="Times New Roman" w:hAnsi="Times New Roman" w:cs="Times New Roman"/>
          <w:b/>
          <w:bCs w:val="0"/>
          <w:color w:val="000000" w:themeColor="text1"/>
          <w14:textFill>
            <w14:solidFill>
              <w14:schemeClr w14:val="tx1"/>
            </w14:solidFill>
          </w14:textFill>
        </w:rPr>
        <w:t>给料系统</w:t>
      </w:r>
    </w:p>
    <w:p>
      <w:pPr>
        <w:spacing w:line="360" w:lineRule="auto"/>
        <w:ind w:firstLine="480" w:firstLineChars="200"/>
        <w:rPr>
          <w:rFonts w:ascii="宋体" w:hAnsi="宋体"/>
          <w:b w:val="0"/>
          <w:bCs/>
          <w:color w:val="000000" w:themeColor="text1"/>
          <w14:textFill>
            <w14:solidFill>
              <w14:schemeClr w14:val="tx1"/>
            </w14:solidFill>
          </w14:textFill>
        </w:rPr>
      </w:pPr>
      <w:r>
        <w:rPr>
          <w:rFonts w:hint="eastAsia" w:ascii="宋体" w:hAnsi="宋体"/>
          <w:b w:val="0"/>
          <w:bCs/>
          <w:color w:val="000000" w:themeColor="text1"/>
          <w14:textFill>
            <w14:solidFill>
              <w14:schemeClr w14:val="tx1"/>
            </w14:solidFill>
          </w14:textFill>
        </w:rPr>
        <w:t>锅炉在炉前设置有水煤浆接口，水煤浆经过供浆泵房供浆泵加压后送至造粒器后进入炉膛。水煤浆锅炉与普通燃煤循环流化床锅炉燃料入炉系统不同，水煤浆通过粒化器产生水滴状的小颗粒，水煤浆小颗粒进入炉膛密相区，水煤浆颗粒被高温床上底料瞬间加热，同时水煤浆中的水受热汽化，产生的水蒸气与炽热的碳颗粒接触，产生水煤气。同时水煤浆中的挥发分也在高温环境中干馏出可燃气体，产生的可燃气体一边上升一边燃烧放热。</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textAlignment w:val="auto"/>
        <w:outlineLvl w:val="3"/>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eastAsia" w:eastAsia="宋体" w:cs="Times New Roman"/>
          <w:b/>
          <w:bCs w:val="0"/>
          <w:color w:val="000000" w:themeColor="text1"/>
          <w:lang w:val="en-US" w:eastAsia="zh-CN"/>
          <w14:textFill>
            <w14:solidFill>
              <w14:schemeClr w14:val="tx1"/>
            </w14:solidFill>
          </w14:textFill>
        </w:rPr>
        <w:t>2.2.4.2</w:t>
      </w:r>
      <w:r>
        <w:rPr>
          <w:rFonts w:hint="eastAsia" w:ascii="Times New Roman" w:hAnsi="Times New Roman" w:eastAsia="宋体" w:cs="Times New Roman"/>
          <w:b/>
          <w:bCs w:val="0"/>
          <w:color w:val="000000" w:themeColor="text1"/>
          <w:lang w:val="en-US" w:eastAsia="zh-CN"/>
          <w14:textFill>
            <w14:solidFill>
              <w14:schemeClr w14:val="tx1"/>
            </w14:solidFill>
          </w14:textFill>
        </w:rPr>
        <w:t>烟风系统</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循环流化床锅炉炉内物料的循环是依靠送风机和引风机提供的动力来启动和维持的。锅炉采用平衡通风，压力平衡点位于炉膛出口；在整个烟风系统中均要求设有调节挡板，运行时便于控制、调节。</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每台锅炉配1台100%容量离心式一次风机、1台100%容量离心式二次风机、和2台50%容量离心式引风机。每台炉设置3台50%罗茨返料风机，二用一备。</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每台炉设置1台布袋除尘器，满足环保关于烟尘排放要求。</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lang w:eastAsia="zh-CN"/>
          <w14:textFill>
            <w14:solidFill>
              <w14:schemeClr w14:val="tx1"/>
            </w14:solidFill>
          </w14:textFill>
        </w:rPr>
        <w:t>（</w:t>
      </w:r>
      <w:r>
        <w:rPr>
          <w:rFonts w:hint="default" w:ascii="Times New Roman" w:hAnsi="Times New Roman" w:eastAsia="宋体" w:cs="Times New Roman"/>
          <w:b w:val="0"/>
          <w:bCs/>
          <w:color w:val="000000" w:themeColor="text1"/>
          <w:lang w:val="en-US" w:eastAsia="zh-CN"/>
          <w14:textFill>
            <w14:solidFill>
              <w14:schemeClr w14:val="tx1"/>
            </w14:solidFill>
          </w14:textFill>
        </w:rPr>
        <w:t>1</w:t>
      </w:r>
      <w:r>
        <w:rPr>
          <w:rFonts w:hint="default" w:ascii="Times New Roman" w:hAnsi="Times New Roman" w:eastAsia="宋体" w:cs="Times New Roman"/>
          <w:b w:val="0"/>
          <w:bCs/>
          <w:color w:val="000000" w:themeColor="text1"/>
          <w:lang w:eastAsia="zh-CN"/>
          <w14:textFill>
            <w14:solidFill>
              <w14:schemeClr w14:val="tx1"/>
            </w14:solidFill>
          </w14:textFill>
        </w:rPr>
        <w:t>）</w:t>
      </w:r>
      <w:r>
        <w:rPr>
          <w:rFonts w:hint="default" w:ascii="Times New Roman" w:hAnsi="Times New Roman" w:cs="Times New Roman"/>
          <w:b w:val="0"/>
          <w:bCs/>
          <w:color w:val="000000" w:themeColor="text1"/>
          <w14:textFill>
            <w14:solidFill>
              <w14:schemeClr w14:val="tx1"/>
            </w14:solidFill>
          </w14:textFill>
        </w:rPr>
        <w:t>一次风系统</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从一次风机出来的空气通过一次风暖风器后，经空气预热器加热后的热风进入炉膛底部的水冷风室，通过布置在布风板上的风帽使床料流化，并形成向上通过炉膛的气固两相流。</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每台炉设置有床下启动点火燃烧器，每台炉配有两个天然气燃烧器，其目的在于高效地加热一次流化风，进而加热床料。</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lang w:eastAsia="zh-CN"/>
          <w14:textFill>
            <w14:solidFill>
              <w14:schemeClr w14:val="tx1"/>
            </w14:solidFill>
          </w14:textFill>
        </w:rPr>
        <w:t>（</w:t>
      </w:r>
      <w:r>
        <w:rPr>
          <w:rFonts w:hint="default" w:ascii="Times New Roman" w:hAnsi="Times New Roman" w:eastAsia="宋体" w:cs="Times New Roman"/>
          <w:b w:val="0"/>
          <w:bCs/>
          <w:color w:val="000000" w:themeColor="text1"/>
          <w:lang w:val="en-US" w:eastAsia="zh-CN"/>
          <w14:textFill>
            <w14:solidFill>
              <w14:schemeClr w14:val="tx1"/>
            </w14:solidFill>
          </w14:textFill>
        </w:rPr>
        <w:t>2</w:t>
      </w:r>
      <w:r>
        <w:rPr>
          <w:rFonts w:hint="default" w:ascii="Times New Roman" w:hAnsi="Times New Roman" w:eastAsia="宋体" w:cs="Times New Roman"/>
          <w:b w:val="0"/>
          <w:bCs/>
          <w:color w:val="000000" w:themeColor="text1"/>
          <w:lang w:eastAsia="zh-CN"/>
          <w14:textFill>
            <w14:solidFill>
              <w14:schemeClr w14:val="tx1"/>
            </w14:solidFill>
          </w14:textFill>
        </w:rPr>
        <w:t>）</w:t>
      </w:r>
      <w:r>
        <w:rPr>
          <w:rFonts w:hint="default" w:ascii="Times New Roman" w:hAnsi="Times New Roman" w:cs="Times New Roman"/>
          <w:b w:val="0"/>
          <w:bCs/>
          <w:color w:val="000000" w:themeColor="text1"/>
          <w14:textFill>
            <w14:solidFill>
              <w14:schemeClr w14:val="tx1"/>
            </w14:solidFill>
          </w14:textFill>
        </w:rPr>
        <w:t>二次风系统</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二次风经过二次风机、二次风暖风器和空预器后直接经炉膛上部的二次风箱分级送入炉膛；二次风主要是作为燃料燃烧的助燃风。</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lang w:eastAsia="zh-CN"/>
          <w14:textFill>
            <w14:solidFill>
              <w14:schemeClr w14:val="tx1"/>
            </w14:solidFill>
          </w14:textFill>
        </w:rPr>
        <w:t>（</w:t>
      </w:r>
      <w:r>
        <w:rPr>
          <w:rFonts w:hint="default" w:ascii="Times New Roman" w:hAnsi="Times New Roman" w:eastAsia="宋体" w:cs="Times New Roman"/>
          <w:b w:val="0"/>
          <w:bCs/>
          <w:color w:val="000000" w:themeColor="text1"/>
          <w:lang w:val="en-US" w:eastAsia="zh-CN"/>
          <w14:textFill>
            <w14:solidFill>
              <w14:schemeClr w14:val="tx1"/>
            </w14:solidFill>
          </w14:textFill>
        </w:rPr>
        <w:t>3</w:t>
      </w:r>
      <w:r>
        <w:rPr>
          <w:rFonts w:hint="default" w:ascii="Times New Roman" w:hAnsi="Times New Roman" w:eastAsia="宋体" w:cs="Times New Roman"/>
          <w:b w:val="0"/>
          <w:bCs/>
          <w:color w:val="000000" w:themeColor="text1"/>
          <w:lang w:eastAsia="zh-CN"/>
          <w14:textFill>
            <w14:solidFill>
              <w14:schemeClr w14:val="tx1"/>
            </w14:solidFill>
          </w14:textFill>
        </w:rPr>
        <w:t>）</w:t>
      </w:r>
      <w:r>
        <w:rPr>
          <w:rFonts w:hint="default" w:ascii="Times New Roman" w:hAnsi="Times New Roman" w:cs="Times New Roman"/>
          <w:b w:val="0"/>
          <w:bCs/>
          <w:color w:val="000000" w:themeColor="text1"/>
          <w14:textFill>
            <w14:solidFill>
              <w14:schemeClr w14:val="tx1"/>
            </w14:solidFill>
          </w14:textFill>
        </w:rPr>
        <w:t>高压风系统</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该系统由3台罗茨返料风机组成，向旋风筒下的“U”阀即密封回料器提供流化风及向点火器提供火检冷却风。每台风机出力为50%，正常运行时，其中两台运行、一台备用。</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lang w:eastAsia="zh-CN"/>
          <w14:textFill>
            <w14:solidFill>
              <w14:schemeClr w14:val="tx1"/>
            </w14:solidFill>
          </w14:textFill>
        </w:rPr>
        <w:t>（</w:t>
      </w:r>
      <w:r>
        <w:rPr>
          <w:rFonts w:hint="default" w:ascii="Times New Roman" w:hAnsi="Times New Roman" w:eastAsia="宋体" w:cs="Times New Roman"/>
          <w:b w:val="0"/>
          <w:bCs/>
          <w:color w:val="000000" w:themeColor="text1"/>
          <w:lang w:val="en-US" w:eastAsia="zh-CN"/>
          <w14:textFill>
            <w14:solidFill>
              <w14:schemeClr w14:val="tx1"/>
            </w14:solidFill>
          </w14:textFill>
        </w:rPr>
        <w:t>4</w:t>
      </w:r>
      <w:r>
        <w:rPr>
          <w:rFonts w:hint="default" w:ascii="Times New Roman" w:hAnsi="Times New Roman" w:eastAsia="宋体" w:cs="Times New Roman"/>
          <w:b w:val="0"/>
          <w:bCs/>
          <w:color w:val="000000" w:themeColor="text1"/>
          <w:lang w:eastAsia="zh-CN"/>
          <w14:textFill>
            <w14:solidFill>
              <w14:schemeClr w14:val="tx1"/>
            </w14:solidFill>
          </w14:textFill>
        </w:rPr>
        <w:t>）</w:t>
      </w:r>
      <w:r>
        <w:rPr>
          <w:rFonts w:hint="default" w:ascii="Times New Roman" w:hAnsi="Times New Roman" w:cs="Times New Roman"/>
          <w:b w:val="0"/>
          <w:bCs/>
          <w:color w:val="000000" w:themeColor="text1"/>
          <w14:textFill>
            <w14:solidFill>
              <w14:schemeClr w14:val="tx1"/>
            </w14:solidFill>
          </w14:textFill>
        </w:rPr>
        <w:t>烟气系统</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炉膛内的烟气在炉膛上部进一步燃烧放热。夹带大量物料的烟气经炉膛出口进入旋风分离器之后，绝大部分物料被分离出来，经返料器返回炉膛，实现循环燃烧。分离后的烟气经转向室、省煤器、管式空预器、脱硫除尘一体装置、引风机及烟囱排入大气。</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除尘器可选方案有静电、电袋、布袋除尘器等。本项目采用半干法脱硫，烟气自锅炉出口直接进入脱硫塔，再经过布袋除尘器，引风机，公共水平烟道，烟囱排向大气。</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烟气排放设计标准，按照超低排放的要求：二氧化硫≤35mg/Nm³，氮氧化物≤50mg/Nm³，粉尘≤5mg/Nm³进行设计。</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本期工程新建一座烟囱，高度暂定80m（具体高度以环评批复为准），烟囱容量按总规模2×130t/h+2×220t/h锅炉烟气量考虑。</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textAlignment w:val="auto"/>
        <w:outlineLvl w:val="3"/>
        <w:rPr>
          <w:rFonts w:hint="eastAsia" w:eastAsia="宋体" w:cs="Times New Roman"/>
          <w:b/>
          <w:bCs w:val="0"/>
          <w:color w:val="000000" w:themeColor="text1"/>
          <w:lang w:val="en-US" w:eastAsia="zh-CN"/>
          <w14:textFill>
            <w14:solidFill>
              <w14:schemeClr w14:val="tx1"/>
            </w14:solidFill>
          </w14:textFill>
        </w:rPr>
      </w:pPr>
      <w:r>
        <w:rPr>
          <w:rFonts w:hint="eastAsia" w:eastAsia="宋体" w:cs="Times New Roman"/>
          <w:b/>
          <w:bCs w:val="0"/>
          <w:color w:val="000000" w:themeColor="text1"/>
          <w:lang w:val="en-US" w:eastAsia="zh-CN"/>
          <w14:textFill>
            <w14:solidFill>
              <w14:schemeClr w14:val="tx1"/>
            </w14:solidFill>
          </w14:textFill>
        </w:rPr>
        <w:t>2.2.4.3启动床料系统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在锅炉的冷态启动或运行过程中，需添加床料到燃烧室。启动床料采用机械+气力输送方式送入炉膛。启动床料(砂)粒度要求1</w:t>
      </w:r>
      <w:r>
        <w:rPr>
          <w:rFonts w:hint="eastAsia" w:ascii="Times New Roman" w:hAnsi="Times New Roman" w:eastAsia="宋体" w:cs="Times New Roman"/>
          <w:b w:val="0"/>
          <w:bCs/>
          <w:color w:val="000000" w:themeColor="text1"/>
          <w:lang w:val="en-US" w:eastAsia="zh-CN"/>
          <w14:textFill>
            <w14:solidFill>
              <w14:schemeClr w14:val="tx1"/>
            </w14:solidFill>
          </w14:textFill>
        </w:rPr>
        <w:t>~</w:t>
      </w:r>
      <w:r>
        <w:rPr>
          <w:rFonts w:hint="default" w:ascii="Times New Roman" w:hAnsi="Times New Roman" w:cs="Times New Roman"/>
          <w:b w:val="0"/>
          <w:bCs/>
          <w:color w:val="000000" w:themeColor="text1"/>
          <w14:textFill>
            <w14:solidFill>
              <w14:schemeClr w14:val="tx1"/>
            </w14:solidFill>
          </w14:textFill>
        </w:rPr>
        <w:t>3mm。锅炉启动床料添加系统在锅炉初次启动时的添料时间小于8小时。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锅炉启动床料添加系统按一台炉一个单元设计。</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textAlignment w:val="auto"/>
        <w:outlineLvl w:val="3"/>
        <w:rPr>
          <w:rFonts w:hint="eastAsia" w:eastAsia="宋体" w:cs="Times New Roman"/>
          <w:b/>
          <w:bCs w:val="0"/>
          <w:color w:val="000000" w:themeColor="text1"/>
          <w:lang w:val="en-US" w:eastAsia="zh-CN"/>
          <w14:textFill>
            <w14:solidFill>
              <w14:schemeClr w14:val="tx1"/>
            </w14:solidFill>
          </w14:textFill>
        </w:rPr>
      </w:pPr>
      <w:r>
        <w:rPr>
          <w:rFonts w:hint="eastAsia" w:eastAsia="宋体" w:cs="Times New Roman"/>
          <w:b/>
          <w:bCs w:val="0"/>
          <w:color w:val="000000" w:themeColor="text1"/>
          <w:lang w:val="en-US" w:eastAsia="zh-CN"/>
          <w14:textFill>
            <w14:solidFill>
              <w14:schemeClr w14:val="tx1"/>
            </w14:solidFill>
          </w14:textFill>
        </w:rPr>
        <w:t>2.2.4.4点火及助燃系统</w:t>
      </w:r>
    </w:p>
    <w:p>
      <w:pPr>
        <w:shd w:val="clear" w:color="auto" w:fill="auto"/>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本期工程锅炉点火和助燃用油均采用</w:t>
      </w:r>
      <w:r>
        <w:rPr>
          <w:rFonts w:hint="eastAsia" w:ascii="Times New Roman" w:hAnsi="Times New Roman" w:cs="Times New Roman"/>
          <w:b w:val="0"/>
          <w:bCs/>
          <w:color w:val="000000" w:themeColor="text1"/>
          <w14:textFill>
            <w14:solidFill>
              <w14:schemeClr w14:val="tx1"/>
            </w14:solidFill>
          </w14:textFill>
        </w:rPr>
        <w:t>天然气</w:t>
      </w:r>
      <w:r>
        <w:rPr>
          <w:rFonts w:hint="default" w:ascii="Times New Roman" w:hAnsi="Times New Roman" w:cs="Times New Roman"/>
          <w:b w:val="0"/>
          <w:bCs/>
          <w:color w:val="000000" w:themeColor="text1"/>
          <w14:textFill>
            <w14:solidFill>
              <w14:schemeClr w14:val="tx1"/>
            </w14:solidFill>
          </w14:textFill>
        </w:rPr>
        <w:t>。</w:t>
      </w:r>
    </w:p>
    <w:p>
      <w:pPr>
        <w:shd w:val="clear" w:color="auto" w:fill="auto"/>
        <w:spacing w:line="360" w:lineRule="auto"/>
        <w:ind w:firstLine="480" w:firstLineChars="200"/>
        <w:rPr>
          <w:rFonts w:hint="default" w:ascii="Times New Roman" w:hAnsi="Times New Roman" w:cs="Times New Roman"/>
          <w:b w:val="0"/>
          <w:bCs/>
          <w:color w:val="000000" w:themeColor="text1"/>
          <w:lang w:val="zh-CN" w:eastAsia="zh-CN"/>
          <w14:textFill>
            <w14:solidFill>
              <w14:schemeClr w14:val="tx1"/>
            </w14:solidFill>
          </w14:textFill>
        </w:rPr>
      </w:pPr>
      <w:r>
        <w:rPr>
          <w:rFonts w:hint="eastAsia" w:ascii="Times New Roman" w:hAnsi="Times New Roman" w:cs="Times New Roman"/>
          <w:b w:val="0"/>
          <w:bCs/>
          <w:color w:val="000000" w:themeColor="text1"/>
          <w14:textFill>
            <w14:solidFill>
              <w14:schemeClr w14:val="tx1"/>
            </w14:solidFill>
          </w14:textFill>
        </w:rPr>
        <w:t>锅炉采用床下启动方式，床下启动燃烧器布置在水冷布风板下面、一次风室前。每炉配二台高能电弧点火枪，布置在床下。</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2.2.7</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除灰系统</w:t>
      </w:r>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每台炉下安装2台滚筒冷渣器，将炉膛落下的底渣由800～850℃冷却到＜150℃，渣冷却后进入缓冲仓，采用罗茨风机提供动力源，用输送泵将渣气力输送至厂区灰库储存，每台锅炉配套设置2台滚筒冷渣机，台缓冲仓，2台连续输送泵。炉底渣处理系统图见</w:t>
      </w:r>
      <w:r>
        <w:rPr>
          <w:rFonts w:hint="default" w:ascii="Times New Roman" w:hAnsi="Times New Roman" w:eastAsia="宋体" w:cs="Times New Roman"/>
          <w:b w:val="0"/>
          <w:bCs/>
          <w:color w:val="000000" w:themeColor="text1"/>
          <w:lang w:val="en-US" w:eastAsia="zh-CN"/>
          <w14:textFill>
            <w14:solidFill>
              <w14:schemeClr w14:val="tx1"/>
            </w14:solidFill>
          </w14:textFill>
        </w:rPr>
        <w:t>2.2-1</w:t>
      </w:r>
      <w:r>
        <w:rPr>
          <w:rFonts w:hint="default" w:ascii="Times New Roman" w:hAnsi="Times New Roman" w:cs="Times New Roman"/>
          <w:b w:val="0"/>
          <w:bCs/>
          <w:color w:val="000000" w:themeColor="text1"/>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锅炉除尘灰量见表</w:t>
      </w:r>
      <w:r>
        <w:rPr>
          <w:rFonts w:hint="eastAsia" w:eastAsia="宋体" w:cs="Times New Roman"/>
          <w:color w:val="000000" w:themeColor="text1"/>
          <w:spacing w:val="0"/>
          <w:w w:val="100"/>
          <w:position w:val="0"/>
          <w:sz w:val="24"/>
          <w:szCs w:val="24"/>
          <w:u w:val="none"/>
          <w:lang w:val="en-US" w:eastAsia="en-US" w:bidi="zh-CN"/>
          <w14:textFill>
            <w14:solidFill>
              <w14:schemeClr w14:val="tx1"/>
            </w14:solidFill>
          </w14:textFill>
        </w:rPr>
        <w:t>2.</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2-</w:t>
      </w:r>
      <w:r>
        <w:rPr>
          <w:rFonts w:hint="eastAsia" w:eastAsia="宋体" w:cs="Times New Roman"/>
          <w:color w:val="000000" w:themeColor="text1"/>
          <w:spacing w:val="0"/>
          <w:w w:val="100"/>
          <w:position w:val="0"/>
          <w:sz w:val="24"/>
          <w:szCs w:val="24"/>
          <w:u w:val="none"/>
          <w:lang w:val="en-US" w:eastAsia="zh-CN" w:bidi="zh-CN"/>
          <w14:textFill>
            <w14:solidFill>
              <w14:schemeClr w14:val="tx1"/>
            </w14:solidFill>
          </w14:textFill>
        </w:rPr>
        <w:t>8</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181" w:beforeLines="50" w:line="240" w:lineRule="auto"/>
        <w:ind w:firstLine="0" w:firstLineChars="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2. 2-</w:t>
      </w:r>
      <w:r>
        <w:rPr>
          <w:rFonts w:hint="eastAsia" w:eastAsia="黑体" w:cs="Times New Roman"/>
          <w:color w:val="000000" w:themeColor="text1"/>
          <w:spacing w:val="0"/>
          <w:w w:val="100"/>
          <w:position w:val="0"/>
          <w:sz w:val="21"/>
          <w:szCs w:val="21"/>
          <w:lang w:val="en-US" w:eastAsia="en-US" w:bidi="zh-CN"/>
          <w14:textFill>
            <w14:solidFill>
              <w14:schemeClr w14:val="tx1"/>
            </w14:solidFill>
          </w14:textFill>
        </w:rPr>
        <w:t>8</w:t>
      </w:r>
      <w:r>
        <w:rPr>
          <w:rFonts w:hint="eastAsia" w:ascii="Times New Roman" w:hAnsi="Times New Roman" w:eastAsia="黑体" w:cs="Times New Roman"/>
          <w:color w:val="000000" w:themeColor="text1"/>
          <w:spacing w:val="0"/>
          <w:w w:val="100"/>
          <w:position w:val="0"/>
          <w:sz w:val="21"/>
          <w:szCs w:val="21"/>
          <w:lang w:val="en-US" w:eastAsia="en-US" w:bidi="zh-CN"/>
          <w14:textFill>
            <w14:solidFill>
              <w14:schemeClr w14:val="tx1"/>
            </w14:solidFill>
          </w14:textFill>
        </w:rPr>
        <w:tab/>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本项目锅炉除尘灰排放情况一览表</w:t>
      </w:r>
    </w:p>
    <w:tbl>
      <w:tblPr>
        <w:tblStyle w:val="21"/>
        <w:tblW w:w="8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3"/>
        <w:gridCol w:w="729"/>
        <w:gridCol w:w="1202"/>
        <w:gridCol w:w="1202"/>
        <w:gridCol w:w="1202"/>
        <w:gridCol w:w="1202"/>
        <w:gridCol w:w="1202"/>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644" w:hRule="atLeast"/>
        </w:trPr>
        <w:tc>
          <w:tcPr>
            <w:tcW w:w="1572" w:type="dxa"/>
            <w:gridSpan w:val="2"/>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mc:AlternateContent>
                <mc:Choice Requires="wps">
                  <w:drawing>
                    <wp:anchor distT="0" distB="0" distL="114300" distR="114300" simplePos="0" relativeHeight="252938240" behindDoc="0" locked="0" layoutInCell="1" allowOverlap="1">
                      <wp:simplePos x="0" y="0"/>
                      <wp:positionH relativeFrom="column">
                        <wp:posOffset>-8890</wp:posOffset>
                      </wp:positionH>
                      <wp:positionV relativeFrom="paragraph">
                        <wp:posOffset>1905</wp:posOffset>
                      </wp:positionV>
                      <wp:extent cx="514985" cy="816610"/>
                      <wp:effectExtent l="3810" t="2540" r="14605" b="19050"/>
                      <wp:wrapNone/>
                      <wp:docPr id="77" name="直接连接符 77"/>
                      <wp:cNvGraphicFramePr/>
                      <a:graphic xmlns:a="http://schemas.openxmlformats.org/drawingml/2006/main">
                        <a:graphicData uri="http://schemas.microsoft.com/office/word/2010/wordprocessingShape">
                          <wps:wsp>
                            <wps:cNvCnPr/>
                            <wps:spPr>
                              <a:xfrm>
                                <a:off x="0" y="0"/>
                                <a:ext cx="514985" cy="816610"/>
                              </a:xfrm>
                              <a:prstGeom prst="line">
                                <a:avLst/>
                              </a:prstGeom>
                              <a:ln w="3175" cap="flat" cmpd="sng">
                                <a:solidFill>
                                  <a:srgbClr val="000000"/>
                                </a:solidFill>
                                <a:prstDash val="solid"/>
                                <a:headEnd type="none" w="sm" len="sm"/>
                                <a:tailEnd type="none" w="sm" len="sm"/>
                              </a:ln>
                            </wps:spPr>
                            <wps:bodyPr upright="1"/>
                          </wps:wsp>
                        </a:graphicData>
                      </a:graphic>
                    </wp:anchor>
                  </w:drawing>
                </mc:Choice>
                <mc:Fallback>
                  <w:pict>
                    <v:line id="_x0000_s1026" o:spid="_x0000_s1026" o:spt="20" style="position:absolute;left:0pt;margin-left:-0.7pt;margin-top:0.15pt;height:64.3pt;width:40.55pt;z-index:252938240;mso-width-relative:page;mso-height-relative:page;" filled="f" stroked="t" coordsize="21600,21600" o:gfxdata="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nRiAzWAAAABgEAAA8A&#10;AAAAAAAAAQAgAAAAIgAAAGRycy9kb3ducmV2LnhtbFBLAQIUABQAAAAIAIdO4kD+MwM94AEAAJgD&#10;AAAOAAAAAAAAAAEAIAAAACUBAABkcnMvZTJvRG9jLnhtbFBLBQYAAAAABgAGAFkBAAB3BQAAAAA=&#10;">
                      <v:fill on="f" focussize="0,0"/>
                      <v:stroke weight="0.25pt" color="#000000" joinstyle="round" startarrowwidth="narrow" startarrowlength="short" endarrowwidth="narrow" endarrowlength="short"/>
                      <v:imagedata o:title=""/>
                      <o:lock v:ext="edit" aspectratio="f"/>
                    </v:line>
                  </w:pict>
                </mc:Fallback>
              </mc:AlternateContent>
            </w:r>
            <w:r>
              <w:rPr>
                <w:rFonts w:hint="default" w:ascii="Times New Roman" w:hAnsi="Times New Roman" w:cs="Times New Roman"/>
                <w:b w:val="0"/>
                <w:bCs/>
                <w:color w:val="000000" w:themeColor="text1"/>
                <w:sz w:val="21"/>
                <w:szCs w:val="21"/>
                <w14:textFill>
                  <w14:solidFill>
                    <w14:schemeClr w14:val="tx1"/>
                  </w14:solidFill>
                </w14:textFill>
              </w:rPr>
              <mc:AlternateContent>
                <mc:Choice Requires="wps">
                  <w:drawing>
                    <wp:anchor distT="0" distB="0" distL="114300" distR="114300" simplePos="0" relativeHeight="252937216" behindDoc="0" locked="0" layoutInCell="1" allowOverlap="1">
                      <wp:simplePos x="0" y="0"/>
                      <wp:positionH relativeFrom="column">
                        <wp:posOffset>-8890</wp:posOffset>
                      </wp:positionH>
                      <wp:positionV relativeFrom="paragraph">
                        <wp:posOffset>1905</wp:posOffset>
                      </wp:positionV>
                      <wp:extent cx="975360" cy="785495"/>
                      <wp:effectExtent l="3175" t="3810" r="12065" b="10795"/>
                      <wp:wrapNone/>
                      <wp:docPr id="65" name="直接连接符 65"/>
                      <wp:cNvGraphicFramePr/>
                      <a:graphic xmlns:a="http://schemas.openxmlformats.org/drawingml/2006/main">
                        <a:graphicData uri="http://schemas.microsoft.com/office/word/2010/wordprocessingShape">
                          <wps:wsp>
                            <wps:cNvCnPr/>
                            <wps:spPr>
                              <a:xfrm>
                                <a:off x="0" y="0"/>
                                <a:ext cx="975360" cy="785495"/>
                              </a:xfrm>
                              <a:prstGeom prst="line">
                                <a:avLst/>
                              </a:prstGeom>
                              <a:ln w="3175" cap="flat" cmpd="sng">
                                <a:solidFill>
                                  <a:srgbClr val="000000"/>
                                </a:solidFill>
                                <a:prstDash val="solid"/>
                                <a:headEnd type="none" w="sm" len="sm"/>
                                <a:tailEnd type="none" w="sm" len="sm"/>
                              </a:ln>
                            </wps:spPr>
                            <wps:bodyPr upright="1"/>
                          </wps:wsp>
                        </a:graphicData>
                      </a:graphic>
                    </wp:anchor>
                  </w:drawing>
                </mc:Choice>
                <mc:Fallback>
                  <w:pict>
                    <v:line id="_x0000_s1026" o:spid="_x0000_s1026" o:spt="20" style="position:absolute;left:0pt;margin-left:-0.7pt;margin-top:0.15pt;height:61.85pt;width:76.8pt;z-index:252937216;mso-width-relative:page;mso-height-relative:page;" filled="f" stroked="t" coordsize="21600,21600" o:gfxdata="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EuGhi1gAAAAcBAAAP&#10;AAAAAAAAAAEAIAAAACIAAABkcnMvZG93bnJldi54bWxQSwECFAAUAAAACACHTuJAX12iHuEBAACY&#10;AwAADgAAAAAAAAABACAAAAAlAQAAZHJzL2Uyb0RvYy54bWxQSwUGAAAAAAYABgBZAQAAeAUAAAAA&#10;">
                      <v:fill on="f" focussize="0,0"/>
                      <v:stroke weight="0.25pt" color="#000000" joinstyle="round" startarrowwidth="narrow" startarrowlength="short" endarrowwidth="narrow" endarrowlength="short"/>
                      <v:imagedata o:title=""/>
                      <o:lock v:ext="edit" aspectratio="f"/>
                    </v:line>
                  </w:pict>
                </mc:Fallback>
              </mc:AlternateContent>
            </w:r>
            <w:r>
              <w:rPr>
                <w:rFonts w:hint="default" w:ascii="Times New Roman" w:hAnsi="Times New Roman" w:cs="Times New Roman"/>
                <w:b w:val="0"/>
                <w:bCs/>
                <w:color w:val="000000" w:themeColor="text1"/>
                <w:sz w:val="21"/>
                <w:szCs w:val="21"/>
                <w14:textFill>
                  <w14:solidFill>
                    <w14:schemeClr w14:val="tx1"/>
                  </w14:solidFill>
                </w14:textFill>
              </w:rPr>
              <mc:AlternateContent>
                <mc:Choice Requires="wps">
                  <w:drawing>
                    <wp:anchor distT="0" distB="0" distL="114300" distR="114300" simplePos="0" relativeHeight="252936192" behindDoc="0" locked="0" layoutInCell="1" allowOverlap="1">
                      <wp:simplePos x="0" y="0"/>
                      <wp:positionH relativeFrom="column">
                        <wp:posOffset>-8890</wp:posOffset>
                      </wp:positionH>
                      <wp:positionV relativeFrom="paragraph">
                        <wp:posOffset>1905</wp:posOffset>
                      </wp:positionV>
                      <wp:extent cx="1017905" cy="412115"/>
                      <wp:effectExtent l="1905" t="4445" r="8890" b="21590"/>
                      <wp:wrapNone/>
                      <wp:docPr id="57" name="直接连接符 57"/>
                      <wp:cNvGraphicFramePr/>
                      <a:graphic xmlns:a="http://schemas.openxmlformats.org/drawingml/2006/main">
                        <a:graphicData uri="http://schemas.microsoft.com/office/word/2010/wordprocessingShape">
                          <wps:wsp>
                            <wps:cNvCnPr/>
                            <wps:spPr>
                              <a:xfrm>
                                <a:off x="0" y="0"/>
                                <a:ext cx="1017905" cy="412115"/>
                              </a:xfrm>
                              <a:prstGeom prst="line">
                                <a:avLst/>
                              </a:prstGeom>
                              <a:ln w="3175" cap="flat" cmpd="sng">
                                <a:solidFill>
                                  <a:srgbClr val="000000"/>
                                </a:solidFill>
                                <a:prstDash val="solid"/>
                                <a:headEnd type="none" w="sm" len="sm"/>
                                <a:tailEnd type="none" w="sm" len="sm"/>
                              </a:ln>
                            </wps:spPr>
                            <wps:bodyPr upright="1"/>
                          </wps:wsp>
                        </a:graphicData>
                      </a:graphic>
                    </wp:anchor>
                  </w:drawing>
                </mc:Choice>
                <mc:Fallback>
                  <w:pict>
                    <v:line id="_x0000_s1026" o:spid="_x0000_s1026" o:spt="20" style="position:absolute;left:0pt;margin-left:-0.7pt;margin-top:0.15pt;height:32.45pt;width:80.15pt;z-index:252936192;mso-width-relative:page;mso-height-relative:page;" filled="f" stroked="t" coordsize="21600,21600" o:gfxdata="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yCy9N9YAAAAGAQAADwAA&#10;AAAAAAABACAAAAAiAAAAZHJzL2Rvd25yZXYueG1sUEsBAhQAFAAAAAgAh07iQMDFWa7fAQAAmQMA&#10;AA4AAAAAAAAAAQAgAAAAJQEAAGRycy9lMm9Eb2MueG1sUEsFBgAAAAAGAAYAWQEAAHYFAAAAAA==&#10;">
                      <v:fill on="f" focussize="0,0"/>
                      <v:stroke weight="0.25pt" color="#000000" joinstyle="round" startarrowwidth="narrow" startarrowlength="short" endarrowwidth="narrow" endarrowlength="short"/>
                      <v:imagedata o:title=""/>
                      <o:lock v:ext="edit" aspectratio="f"/>
                    </v:line>
                  </w:pict>
                </mc:Fallback>
              </mc:AlternateContent>
            </w:r>
            <w:r>
              <w:rPr>
                <w:rFonts w:hint="default" w:ascii="Times New Roman" w:hAnsi="Times New Roman" w:cs="Times New Roman"/>
                <w:b w:val="0"/>
                <w:bCs/>
                <w:color w:val="000000" w:themeColor="text1"/>
                <w:sz w:val="21"/>
                <w:szCs w:val="21"/>
                <w14:textFill>
                  <w14:solidFill>
                    <w14:schemeClr w14:val="tx1"/>
                  </w14:solidFill>
                </w14:textFill>
              </w:rPr>
              <w:t>容量</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项目</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煤种  单位</w:t>
            </w:r>
          </w:p>
        </w:tc>
        <w:tc>
          <w:tcPr>
            <w:tcW w:w="3606"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1台</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220</w:t>
            </w:r>
            <w:r>
              <w:rPr>
                <w:rFonts w:hint="default" w:ascii="Times New Roman" w:hAnsi="Times New Roman" w:cs="Times New Roman"/>
                <w:b w:val="0"/>
                <w:bCs/>
                <w:color w:val="000000" w:themeColor="text1"/>
                <w:sz w:val="21"/>
                <w:szCs w:val="21"/>
                <w14:textFill>
                  <w14:solidFill>
                    <w14:schemeClr w14:val="tx1"/>
                  </w14:solidFill>
                </w14:textFill>
              </w:rPr>
              <w:t>t/h锅炉</w:t>
            </w:r>
          </w:p>
        </w:tc>
        <w:tc>
          <w:tcPr>
            <w:tcW w:w="3608"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2台130t/h锅炉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610" w:hRule="atLeast"/>
        </w:trPr>
        <w:tc>
          <w:tcPr>
            <w:tcW w:w="1572" w:type="dxa"/>
            <w:gridSpan w:val="2"/>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p>
        </w:tc>
        <w:tc>
          <w:tcPr>
            <w:tcW w:w="120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灰量</w:t>
            </w:r>
          </w:p>
        </w:tc>
        <w:tc>
          <w:tcPr>
            <w:tcW w:w="120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渣量</w:t>
            </w:r>
          </w:p>
        </w:tc>
        <w:tc>
          <w:tcPr>
            <w:tcW w:w="120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灰渣总量</w:t>
            </w:r>
          </w:p>
        </w:tc>
        <w:tc>
          <w:tcPr>
            <w:tcW w:w="120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灰量</w:t>
            </w:r>
          </w:p>
        </w:tc>
        <w:tc>
          <w:tcPr>
            <w:tcW w:w="120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渣量</w:t>
            </w:r>
          </w:p>
        </w:tc>
        <w:tc>
          <w:tcPr>
            <w:tcW w:w="120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灰渣总量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cantSplit/>
          <w:trHeight w:val="466" w:hRule="atLeast"/>
        </w:trPr>
        <w:tc>
          <w:tcPr>
            <w:tcW w:w="843" w:type="dxa"/>
            <w:vMerge w:val="restart"/>
            <w:tcBorders>
              <w:top w:val="nil"/>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设计煤种</w:t>
            </w:r>
          </w:p>
        </w:tc>
        <w:tc>
          <w:tcPr>
            <w:tcW w:w="72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t/h</w:t>
            </w:r>
          </w:p>
        </w:tc>
        <w:tc>
          <w:tcPr>
            <w:tcW w:w="1202" w:type="dxa"/>
            <w:tcBorders>
              <w:top w:val="single" w:color="auto" w:sz="4" w:space="0"/>
              <w:left w:val="nil"/>
              <w:bottom w:val="single" w:color="auto" w:sz="4" w:space="0"/>
              <w:right w:val="single" w:color="auto" w:sz="4" w:space="0"/>
            </w:tcBorders>
            <w:vAlign w:val="center"/>
          </w:tcPr>
          <w:p>
            <w:pPr>
              <w:ind w:left="0" w:leftChars="0" w:right="0" w:rightChars="0"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11.50</w:t>
            </w:r>
          </w:p>
        </w:tc>
        <w:tc>
          <w:tcPr>
            <w:tcW w:w="1202" w:type="dxa"/>
            <w:tcBorders>
              <w:top w:val="single" w:color="auto" w:sz="4" w:space="0"/>
              <w:left w:val="nil"/>
              <w:bottom w:val="single" w:color="auto" w:sz="4" w:space="0"/>
              <w:right w:val="single" w:color="auto" w:sz="4" w:space="0"/>
            </w:tcBorders>
            <w:vAlign w:val="center"/>
          </w:tcPr>
          <w:p>
            <w:pPr>
              <w:ind w:left="0" w:leftChars="0" w:right="0" w:rightChars="0"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2.00</w:t>
            </w:r>
          </w:p>
        </w:tc>
        <w:tc>
          <w:tcPr>
            <w:tcW w:w="1202" w:type="dxa"/>
            <w:tcBorders>
              <w:top w:val="single" w:color="auto" w:sz="4" w:space="0"/>
              <w:left w:val="nil"/>
              <w:bottom w:val="single" w:color="auto" w:sz="4" w:space="0"/>
              <w:right w:val="single" w:color="auto" w:sz="4" w:space="0"/>
            </w:tcBorders>
            <w:vAlign w:val="center"/>
          </w:tcPr>
          <w:p>
            <w:pPr>
              <w:ind w:left="0" w:leftChars="0" w:right="0" w:rightChars="0"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13.50</w:t>
            </w:r>
          </w:p>
        </w:tc>
        <w:tc>
          <w:tcPr>
            <w:tcW w:w="120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13.60</w:t>
            </w:r>
          </w:p>
        </w:tc>
        <w:tc>
          <w:tcPr>
            <w:tcW w:w="120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2.40</w:t>
            </w:r>
          </w:p>
        </w:tc>
        <w:tc>
          <w:tcPr>
            <w:tcW w:w="120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cantSplit/>
          <w:trHeight w:val="466" w:hRule="atLeast"/>
        </w:trPr>
        <w:tc>
          <w:tcPr>
            <w:tcW w:w="843" w:type="dxa"/>
            <w:vMerge w:val="continue"/>
            <w:tcBorders>
              <w:top w:val="nil"/>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p>
        </w:tc>
        <w:tc>
          <w:tcPr>
            <w:tcW w:w="72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t/d</w:t>
            </w:r>
          </w:p>
        </w:tc>
        <w:tc>
          <w:tcPr>
            <w:tcW w:w="1202" w:type="dxa"/>
            <w:tcBorders>
              <w:top w:val="single" w:color="auto" w:sz="4" w:space="0"/>
              <w:left w:val="nil"/>
              <w:bottom w:val="single" w:color="auto" w:sz="4" w:space="0"/>
              <w:right w:val="single" w:color="auto" w:sz="4" w:space="0"/>
            </w:tcBorders>
            <w:vAlign w:val="center"/>
          </w:tcPr>
          <w:p>
            <w:pPr>
              <w:ind w:left="0" w:leftChars="0" w:right="0" w:rightChars="0"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253.00</w:t>
            </w:r>
          </w:p>
        </w:tc>
        <w:tc>
          <w:tcPr>
            <w:tcW w:w="1202" w:type="dxa"/>
            <w:tcBorders>
              <w:top w:val="single" w:color="auto" w:sz="4" w:space="0"/>
              <w:left w:val="nil"/>
              <w:bottom w:val="single" w:color="auto" w:sz="4" w:space="0"/>
              <w:right w:val="single" w:color="auto" w:sz="4" w:space="0"/>
            </w:tcBorders>
            <w:vAlign w:val="center"/>
          </w:tcPr>
          <w:p>
            <w:pPr>
              <w:ind w:left="0" w:leftChars="0" w:right="0" w:rightChars="0"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44.00</w:t>
            </w:r>
          </w:p>
        </w:tc>
        <w:tc>
          <w:tcPr>
            <w:tcW w:w="1202" w:type="dxa"/>
            <w:tcBorders>
              <w:top w:val="single" w:color="auto" w:sz="4" w:space="0"/>
              <w:left w:val="nil"/>
              <w:bottom w:val="single" w:color="auto" w:sz="4" w:space="0"/>
              <w:right w:val="single" w:color="auto" w:sz="4" w:space="0"/>
            </w:tcBorders>
            <w:vAlign w:val="center"/>
          </w:tcPr>
          <w:p>
            <w:pPr>
              <w:ind w:left="0" w:leftChars="0" w:right="0" w:rightChars="0"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297.00</w:t>
            </w:r>
          </w:p>
        </w:tc>
        <w:tc>
          <w:tcPr>
            <w:tcW w:w="120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299.20</w:t>
            </w:r>
          </w:p>
        </w:tc>
        <w:tc>
          <w:tcPr>
            <w:tcW w:w="120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52.80</w:t>
            </w:r>
          </w:p>
        </w:tc>
        <w:tc>
          <w:tcPr>
            <w:tcW w:w="120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352.00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cantSplit/>
          <w:trHeight w:val="300" w:hRule="atLeast"/>
        </w:trPr>
        <w:tc>
          <w:tcPr>
            <w:tcW w:w="843"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p>
        </w:tc>
        <w:tc>
          <w:tcPr>
            <w:tcW w:w="72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10</w:t>
            </w:r>
            <w:r>
              <w:rPr>
                <w:rFonts w:hint="default" w:ascii="Times New Roman" w:hAnsi="Times New Roman" w:cs="Times New Roman"/>
                <w:b w:val="0"/>
                <w:bCs/>
                <w:color w:val="000000" w:themeColor="text1"/>
                <w:sz w:val="21"/>
                <w:szCs w:val="21"/>
                <w:vertAlign w:val="superscript"/>
                <w14:textFill>
                  <w14:solidFill>
                    <w14:schemeClr w14:val="tx1"/>
                  </w14:solidFill>
                </w14:textFill>
              </w:rPr>
              <w:t>4</w:t>
            </w:r>
            <w:r>
              <w:rPr>
                <w:rFonts w:hint="default" w:ascii="Times New Roman" w:hAnsi="Times New Roman" w:cs="Times New Roman"/>
                <w:b w:val="0"/>
                <w:bCs/>
                <w:color w:val="000000" w:themeColor="text1"/>
                <w:sz w:val="21"/>
                <w:szCs w:val="21"/>
                <w14:textFill>
                  <w14:solidFill>
                    <w14:schemeClr w14:val="tx1"/>
                  </w14:solidFill>
                </w14:textFill>
              </w:rPr>
              <w:t>t/a</w:t>
            </w:r>
          </w:p>
        </w:tc>
        <w:tc>
          <w:tcPr>
            <w:tcW w:w="1202" w:type="dxa"/>
            <w:tcBorders>
              <w:top w:val="single" w:color="auto" w:sz="4" w:space="0"/>
              <w:left w:val="nil"/>
              <w:bottom w:val="single" w:color="auto" w:sz="4" w:space="0"/>
              <w:right w:val="single" w:color="auto" w:sz="4" w:space="0"/>
            </w:tcBorders>
            <w:vAlign w:val="center"/>
          </w:tcPr>
          <w:p>
            <w:pPr>
              <w:ind w:left="0" w:leftChars="0" w:right="0" w:rightChars="0" w:firstLine="0" w:firstLine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6.</w:t>
            </w:r>
            <w:r>
              <w:rPr>
                <w:rFonts w:hint="eastAsia" w:eastAsia="宋体" w:cs="Times New Roman"/>
                <w:b w:val="0"/>
                <w:bCs/>
                <w:color w:val="000000" w:themeColor="text1"/>
                <w:sz w:val="21"/>
                <w:szCs w:val="21"/>
                <w:lang w:val="en-US" w:eastAsia="zh-CN"/>
                <w14:textFill>
                  <w14:solidFill>
                    <w14:schemeClr w14:val="tx1"/>
                  </w14:solidFill>
                </w14:textFill>
              </w:rPr>
              <w:t>325</w:t>
            </w:r>
          </w:p>
        </w:tc>
        <w:tc>
          <w:tcPr>
            <w:tcW w:w="1202" w:type="dxa"/>
            <w:tcBorders>
              <w:top w:val="single" w:color="auto" w:sz="4" w:space="0"/>
              <w:left w:val="nil"/>
              <w:bottom w:val="single" w:color="auto" w:sz="4" w:space="0"/>
              <w:right w:val="single" w:color="auto" w:sz="4" w:space="0"/>
            </w:tcBorders>
            <w:vAlign w:val="center"/>
          </w:tcPr>
          <w:p>
            <w:pPr>
              <w:ind w:left="0" w:leftChars="0" w:right="0" w:rightChars="0" w:firstLine="0" w:firstLineChars="0"/>
              <w:jc w:val="cente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w:t>
            </w:r>
            <w:r>
              <w:rPr>
                <w:rFonts w:hint="eastAsia" w:eastAsia="宋体" w:cs="Times New Roman"/>
                <w:b w:val="0"/>
                <w:bCs/>
                <w:color w:val="000000" w:themeColor="text1"/>
                <w:sz w:val="21"/>
                <w:szCs w:val="21"/>
                <w:lang w:val="en-US" w:eastAsia="zh-CN"/>
                <w14:textFill>
                  <w14:solidFill>
                    <w14:schemeClr w14:val="tx1"/>
                  </w14:solidFill>
                </w14:textFill>
              </w:rPr>
              <w:t>1</w:t>
            </w:r>
          </w:p>
        </w:tc>
        <w:tc>
          <w:tcPr>
            <w:tcW w:w="1202" w:type="dxa"/>
            <w:tcBorders>
              <w:top w:val="single" w:color="auto" w:sz="4" w:space="0"/>
              <w:left w:val="nil"/>
              <w:bottom w:val="single" w:color="auto" w:sz="4" w:space="0"/>
              <w:right w:val="single" w:color="auto" w:sz="4" w:space="0"/>
            </w:tcBorders>
            <w:vAlign w:val="center"/>
          </w:tcPr>
          <w:p>
            <w:pPr>
              <w:ind w:left="0" w:leftChars="0" w:right="0" w:rightChars="0" w:firstLine="0" w:firstLine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eastAsia="宋体" w:cs="Times New Roman"/>
                <w:b w:val="0"/>
                <w:bCs/>
                <w:color w:val="000000" w:themeColor="text1"/>
                <w:sz w:val="21"/>
                <w:szCs w:val="21"/>
                <w:lang w:val="en-US" w:eastAsia="zh-CN"/>
                <w14:textFill>
                  <w14:solidFill>
                    <w14:schemeClr w14:val="tx1"/>
                  </w14:solidFill>
                </w14:textFill>
              </w:rPr>
              <w:t>7.425</w:t>
            </w:r>
          </w:p>
        </w:tc>
        <w:tc>
          <w:tcPr>
            <w:tcW w:w="120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eastAsia="宋体" w:cs="Times New Roman"/>
                <w:b w:val="0"/>
                <w:bCs/>
                <w:color w:val="000000" w:themeColor="text1"/>
                <w:sz w:val="21"/>
                <w:szCs w:val="21"/>
                <w:lang w:val="en-US" w:eastAsia="zh-CN"/>
                <w14:textFill>
                  <w14:solidFill>
                    <w14:schemeClr w14:val="tx1"/>
                  </w14:solidFill>
                </w14:textFill>
              </w:rPr>
              <w:t>7.48</w:t>
            </w:r>
          </w:p>
        </w:tc>
        <w:tc>
          <w:tcPr>
            <w:tcW w:w="120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w:t>
            </w:r>
            <w:r>
              <w:rPr>
                <w:rFonts w:hint="eastAsia" w:eastAsia="宋体" w:cs="Times New Roman"/>
                <w:b w:val="0"/>
                <w:bCs/>
                <w:color w:val="000000" w:themeColor="text1"/>
                <w:sz w:val="21"/>
                <w:szCs w:val="21"/>
                <w:lang w:val="en-US" w:eastAsia="zh-CN"/>
                <w14:textFill>
                  <w14:solidFill>
                    <w14:schemeClr w14:val="tx1"/>
                  </w14:solidFill>
                </w14:textFill>
              </w:rPr>
              <w:t>32</w:t>
            </w:r>
          </w:p>
        </w:tc>
        <w:tc>
          <w:tcPr>
            <w:tcW w:w="120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eastAsia="宋体" w:cs="Times New Roman"/>
                <w:b w:val="0"/>
                <w:bCs/>
                <w:color w:val="000000" w:themeColor="text1"/>
                <w:sz w:val="21"/>
                <w:szCs w:val="21"/>
                <w:lang w:val="en-US" w:eastAsia="zh-CN"/>
                <w14:textFill>
                  <w14:solidFill>
                    <w14:schemeClr w14:val="tx1"/>
                  </w14:solidFill>
                </w14:textFill>
              </w:rPr>
              <w:t>8.8</w:t>
            </w:r>
          </w:p>
        </w:tc>
      </w:tr>
    </w:tbl>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20" w:firstLineChars="200"/>
        <w:jc w:val="both"/>
        <w:textAlignment w:val="auto"/>
        <w:rPr>
          <w:rFonts w:hint="eastAsia" w:eastAsia="宋体" w:cs="Times New Roman"/>
          <w:color w:val="000000" w:themeColor="text1"/>
          <w:spacing w:val="0"/>
          <w:w w:val="100"/>
          <w:position w:val="0"/>
          <w:sz w:val="21"/>
          <w:szCs w:val="21"/>
          <w:u w:val="none"/>
          <w:lang w:val="en-US" w:eastAsia="en-US" w:bidi="zh-CN"/>
          <w14:textFill>
            <w14:solidFill>
              <w14:schemeClr w14:val="tx1"/>
            </w14:solidFill>
          </w14:textFill>
        </w:rPr>
      </w:pPr>
      <w:r>
        <w:rPr>
          <w:rFonts w:hint="eastAsia" w:eastAsia="宋体" w:cs="Times New Roman"/>
          <w:color w:val="000000" w:themeColor="text1"/>
          <w:spacing w:val="0"/>
          <w:w w:val="100"/>
          <w:position w:val="0"/>
          <w:sz w:val="21"/>
          <w:szCs w:val="21"/>
          <w:u w:val="none"/>
          <w:lang w:val="zh-CN" w:eastAsia="zh-CN" w:bidi="zh-CN"/>
          <w14:textFill>
            <w14:solidFill>
              <w14:schemeClr w14:val="tx1"/>
            </w14:solidFill>
          </w14:textFill>
        </w:rPr>
        <w:t xml:space="preserve">注： 1、灰渣分配比按: </w:t>
      </w:r>
      <w:r>
        <w:rPr>
          <w:rFonts w:hint="eastAsia" w:eastAsia="宋体" w:cs="Times New Roman"/>
          <w:color w:val="000000" w:themeColor="text1"/>
          <w:spacing w:val="0"/>
          <w:w w:val="100"/>
          <w:position w:val="0"/>
          <w:sz w:val="21"/>
          <w:szCs w:val="21"/>
          <w:u w:val="none"/>
          <w:lang w:val="en-US" w:eastAsia="zh-CN" w:bidi="zh-CN"/>
          <w14:textFill>
            <w14:solidFill>
              <w14:schemeClr w14:val="tx1"/>
            </w14:solidFill>
          </w14:textFill>
        </w:rPr>
        <w:t>90</w:t>
      </w:r>
      <w:r>
        <w:rPr>
          <w:rFonts w:hint="eastAsia" w:eastAsia="宋体" w:cs="Times New Roman"/>
          <w:color w:val="000000" w:themeColor="text1"/>
          <w:spacing w:val="0"/>
          <w:w w:val="100"/>
          <w:position w:val="0"/>
          <w:sz w:val="21"/>
          <w:szCs w:val="21"/>
          <w:u w:val="none"/>
          <w:lang w:val="zh-CN" w:eastAsia="zh-CN" w:bidi="zh-CN"/>
          <w14:textFill>
            <w14:solidFill>
              <w14:schemeClr w14:val="tx1"/>
            </w14:solidFill>
          </w14:textFill>
        </w:rPr>
        <w:t>%：</w:t>
      </w:r>
      <w:r>
        <w:rPr>
          <w:rFonts w:hint="eastAsia" w:eastAsia="宋体" w:cs="Times New Roman"/>
          <w:color w:val="000000" w:themeColor="text1"/>
          <w:spacing w:val="0"/>
          <w:w w:val="100"/>
          <w:position w:val="0"/>
          <w:sz w:val="21"/>
          <w:szCs w:val="21"/>
          <w:u w:val="none"/>
          <w:lang w:val="en-US" w:eastAsia="zh-CN" w:bidi="zh-CN"/>
          <w14:textFill>
            <w14:solidFill>
              <w14:schemeClr w14:val="tx1"/>
            </w14:solidFill>
          </w14:textFill>
        </w:rPr>
        <w:t>1</w:t>
      </w:r>
      <w:r>
        <w:rPr>
          <w:rFonts w:hint="eastAsia" w:eastAsia="宋体" w:cs="Times New Roman"/>
          <w:color w:val="000000" w:themeColor="text1"/>
          <w:spacing w:val="0"/>
          <w:w w:val="100"/>
          <w:position w:val="0"/>
          <w:sz w:val="21"/>
          <w:szCs w:val="21"/>
          <w:u w:val="none"/>
          <w:lang w:val="zh-CN" w:eastAsia="zh-CN" w:bidi="zh-CN"/>
          <w14:textFill>
            <w14:solidFill>
              <w14:schemeClr w14:val="tx1"/>
            </w14:solidFill>
          </w14:textFill>
        </w:rPr>
        <w:t>0%。机组年运行小时数为：</w:t>
      </w:r>
      <w:r>
        <w:rPr>
          <w:rFonts w:hint="eastAsia" w:eastAsia="宋体" w:cs="Times New Roman"/>
          <w:color w:val="000000" w:themeColor="text1"/>
          <w:spacing w:val="0"/>
          <w:w w:val="100"/>
          <w:position w:val="0"/>
          <w:sz w:val="21"/>
          <w:szCs w:val="21"/>
          <w:u w:val="none"/>
          <w:lang w:val="en-US" w:eastAsia="zh-CN" w:bidi="zh-CN"/>
          <w14:textFill>
            <w14:solidFill>
              <w14:schemeClr w14:val="tx1"/>
            </w14:solidFill>
          </w14:textFill>
        </w:rPr>
        <w:t>5500</w:t>
      </w:r>
      <w:r>
        <w:rPr>
          <w:rFonts w:hint="eastAsia" w:eastAsia="宋体" w:cs="Times New Roman"/>
          <w:color w:val="000000" w:themeColor="text1"/>
          <w:spacing w:val="0"/>
          <w:w w:val="100"/>
          <w:position w:val="0"/>
          <w:sz w:val="21"/>
          <w:szCs w:val="21"/>
          <w:u w:val="none"/>
          <w:lang w:val="en-US" w:eastAsia="en-US" w:bidi="zh-CN"/>
          <w14:textFill>
            <w14:solidFill>
              <w14:schemeClr w14:val="tx1"/>
            </w14:solidFill>
          </w14:textFill>
        </w:rPr>
        <w:t>h；</w:t>
      </w:r>
      <w:r>
        <w:rPr>
          <w:rFonts w:hint="eastAsia" w:eastAsia="宋体" w:cs="Times New Roman"/>
          <w:color w:val="000000" w:themeColor="text1"/>
          <w:spacing w:val="0"/>
          <w:w w:val="100"/>
          <w:position w:val="0"/>
          <w:sz w:val="21"/>
          <w:szCs w:val="21"/>
          <w:u w:val="none"/>
          <w:lang w:val="zh-CN" w:eastAsia="zh-CN" w:bidi="zh-CN"/>
          <w14:textFill>
            <w14:solidFill>
              <w14:schemeClr w14:val="tx1"/>
            </w14:solidFill>
          </w14:textFill>
        </w:rPr>
        <w:t>日运行小时数</w:t>
      </w:r>
      <w:r>
        <w:rPr>
          <w:rFonts w:hint="eastAsia" w:eastAsia="宋体" w:cs="Times New Roman"/>
          <w:color w:val="000000" w:themeColor="text1"/>
          <w:spacing w:val="0"/>
          <w:w w:val="100"/>
          <w:position w:val="0"/>
          <w:sz w:val="21"/>
          <w:szCs w:val="21"/>
          <w:u w:val="none"/>
          <w:lang w:val="en-US" w:eastAsia="en-US" w:bidi="zh-CN"/>
          <w14:textFill>
            <w14:solidFill>
              <w14:schemeClr w14:val="tx1"/>
            </w14:solidFill>
          </w14:textFill>
        </w:rPr>
        <w:t>22h。</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宋体" w:hAnsi="宋体" w:eastAsia="宋体" w:cs="宋体"/>
          <w:color w:val="000000" w:themeColor="text1"/>
          <w:w w:val="100"/>
          <w:position w:val="0"/>
          <w:sz w:val="28"/>
          <w:szCs w:val="28"/>
          <w:lang w:val="zh-CN"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2.2.8</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化学水处理系统</w:t>
      </w:r>
      <w:r>
        <w:rPr>
          <w:rFonts w:hint="eastAsia" w:ascii="宋体" w:hAnsi="宋体" w:eastAsia="宋体" w:cs="宋体"/>
          <w:color w:val="000000" w:themeColor="text1"/>
          <w:w w:val="100"/>
          <w:position w:val="0"/>
          <w:sz w:val="28"/>
          <w:szCs w:val="28"/>
          <w:lang w:val="zh-CN" w:eastAsia="zh-CN" w:bidi="zh-CN"/>
          <w14:textFill>
            <w14:solidFill>
              <w14:schemeClr w14:val="tx1"/>
            </w14:solidFill>
          </w14:textFill>
        </w:rPr>
        <w:t xml:space="preserve"> </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2.2.8.</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1锅炉给水处理系统</w:t>
      </w:r>
    </w:p>
    <w:p>
      <w:pPr>
        <w:pStyle w:val="2"/>
        <w:keepNext w:val="0"/>
        <w:keepLines w:val="0"/>
        <w:pageBreakBefore w:val="0"/>
        <w:widowControl w:val="0"/>
        <w:numPr>
          <w:ilvl w:val="0"/>
          <w:numId w:val="4"/>
        </w:numPr>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系统的选择</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olor w:val="000000" w:themeColor="text1"/>
          <w:szCs w:val="24"/>
          <w14:textFill>
            <w14:solidFill>
              <w14:schemeClr w14:val="tx1"/>
            </w14:solidFill>
          </w14:textFill>
        </w:rPr>
        <w:t>本工程锅炉补给水处理系统用水水源由高新技术产业开发区统一提供的四水厂水源，水质稳定，水量满足电厂要求。为保证水处理系统的出水水质满足拟安装机组对给水水质的要求及系统的安全运行，根据机组参数及对汽水品质的要求，本工程拟定一下处理方案：</w:t>
      </w:r>
      <w:r>
        <w:rPr>
          <w:rFonts w:hint="eastAsia" w:ascii="宋体" w:hAnsi="宋体"/>
          <w:bCs/>
          <w:color w:val="000000" w:themeColor="text1"/>
          <w14:textFill>
            <w14:solidFill>
              <w14:schemeClr w14:val="tx1"/>
            </w14:solidFill>
          </w14:textFill>
        </w:rPr>
        <w:t>超滤、反渗透、离子交换除盐工艺</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工艺流程为：市政自来水→清水池→清水泵→汽水换热器→多介质过滤器→自清洗过滤器→超滤装置→超滤水箱→一级RO给水泵→保安过滤器→高压泵→一级RO装置→中间水箱（除碳器）→中间水泵→混床→除盐水箱→除盐水泵→主厂房</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一级RO浓水→浓水箱→浓水RO给水泵→保安过滤器→高压泵→浓水RO装置→超滤水箱</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浓水RO浓水→反洗水箱→多介质过滤器反洗水泵→多介质过滤器→浓水池→废水泵→外送至水煤浆系统</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UF反洗水、RO冲洗水、混床冲洗水、自清洗过滤器反洗水→回收水池→回收水泵→多介质过滤器进水/外送至水煤浆系统（根据运行水质情况确定回收或外送）超滤CEB废水、混床再生废水→中和水池→废水泵→外送至水煤浆系统</w:t>
      </w:r>
      <w:r>
        <w:rPr>
          <w:rFonts w:hint="eastAsia" w:eastAsia="宋体"/>
          <w:color w:val="000000" w:themeColor="text1"/>
          <w:szCs w:val="24"/>
          <w:lang w:eastAsia="zh-CN"/>
          <w14:textFill>
            <w14:solidFill>
              <w14:schemeClr w14:val="tx1"/>
            </w14:solidFill>
          </w14:textFill>
        </w:rPr>
        <w:t>。</w:t>
      </w:r>
      <w:r>
        <w:rPr>
          <w:rFonts w:hint="eastAsia" w:eastAsia="宋体"/>
          <w:color w:val="000000" w:themeColor="text1"/>
          <w:szCs w:val="24"/>
          <w14:textFill>
            <w14:solidFill>
              <w14:schemeClr w14:val="tx1"/>
            </w14:solidFill>
          </w14:textFill>
        </w:rPr>
        <w:t>系统流程见图</w:t>
      </w:r>
      <w:r>
        <w:rPr>
          <w:rFonts w:hint="eastAsia" w:eastAsia="宋体"/>
          <w:color w:val="000000" w:themeColor="text1"/>
          <w:szCs w:val="24"/>
          <w:lang w:val="en-US"/>
          <w14:textFill>
            <w14:solidFill>
              <w14:schemeClr w14:val="tx1"/>
            </w14:solidFill>
          </w14:textFill>
        </w:rPr>
        <w:t>2.2-2</w:t>
      </w:r>
      <w:r>
        <w:rPr>
          <w:rFonts w:hint="eastAsia" w:eastAsia="宋体"/>
          <w:color w:val="000000" w:themeColor="text1"/>
          <w:szCs w:val="24"/>
          <w14:textFill>
            <w14:solidFill>
              <w14:schemeClr w14:val="tx1"/>
            </w14:solidFill>
          </w14:textFill>
        </w:rPr>
        <w: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en-US" w:eastAsia="en-US" w:bidi="zh-CN"/>
          <w14:textFill>
            <w14:solidFill>
              <w14:schemeClr w14:val="tx1"/>
            </w14:solidFill>
          </w14:textFill>
        </w:rPr>
        <w:t>（2）</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系统处理的确定</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本工程各项水汽损失及补给水量见表</w:t>
      </w:r>
      <w:r>
        <w:rPr>
          <w:rFonts w:hint="eastAsia" w:eastAsia="宋体" w:cs="Times New Roman"/>
          <w:color w:val="000000" w:themeColor="text1"/>
          <w:spacing w:val="0"/>
          <w:w w:val="100"/>
          <w:position w:val="0"/>
          <w:sz w:val="24"/>
          <w:szCs w:val="24"/>
          <w:u w:val="none"/>
          <w:lang w:val="en-US" w:eastAsia="en-US" w:bidi="zh-CN"/>
          <w14:textFill>
            <w14:solidFill>
              <w14:schemeClr w14:val="tx1"/>
            </w14:solidFill>
          </w14:textFill>
        </w:rPr>
        <w:t xml:space="preserve">2. </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2-</w:t>
      </w:r>
      <w:r>
        <w:rPr>
          <w:rFonts w:hint="eastAsia" w:eastAsia="宋体" w:cs="Times New Roman"/>
          <w:color w:val="000000" w:themeColor="text1"/>
          <w:spacing w:val="0"/>
          <w:w w:val="100"/>
          <w:position w:val="0"/>
          <w:sz w:val="24"/>
          <w:szCs w:val="24"/>
          <w:u w:val="none"/>
          <w:lang w:val="en-US" w:eastAsia="zh-CN" w:bidi="zh-CN"/>
          <w14:textFill>
            <w14:solidFill>
              <w14:schemeClr w14:val="tx1"/>
            </w14:solidFill>
          </w14:textFill>
        </w:rPr>
        <w:t>9</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w:t>
      </w:r>
    </w:p>
    <w:p>
      <w:pPr>
        <w:pStyle w:val="42"/>
        <w:keepNext w:val="0"/>
        <w:keepLines w:val="0"/>
        <w:pageBreakBefore w:val="0"/>
        <w:widowControl w:val="0"/>
        <w:shd w:val="clear" w:color="auto" w:fill="auto"/>
        <w:tabs>
          <w:tab w:val="left" w:pos="2573"/>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 xml:space="preserve">2. </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2</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zh-CN" w:bidi="zh-CN"/>
          <w14:textFill>
            <w14:solidFill>
              <w14:schemeClr w14:val="tx1"/>
            </w14:solidFill>
          </w14:textFill>
        </w:rPr>
        <w:t>-9</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ab/>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本工程全厂汽水平衡表</w:t>
      </w:r>
    </w:p>
    <w:tbl>
      <w:tblPr>
        <w:tblStyle w:val="21"/>
        <w:tblW w:w="87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1" w:type="dxa"/>
          <w:bottom w:w="0" w:type="dxa"/>
          <w:right w:w="31" w:type="dxa"/>
        </w:tblCellMar>
      </w:tblPr>
      <w:tblGrid>
        <w:gridCol w:w="931"/>
        <w:gridCol w:w="4551"/>
        <w:gridCol w:w="3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1" w:type="dxa"/>
            <w:bottom w:w="0" w:type="dxa"/>
            <w:right w:w="31" w:type="dxa"/>
          </w:tblCellMar>
        </w:tblPrEx>
        <w:trPr>
          <w:cantSplit/>
          <w:trHeight w:val="240" w:hRule="atLeast"/>
        </w:trPr>
        <w:tc>
          <w:tcPr>
            <w:tcW w:w="931" w:type="dxa"/>
            <w:vMerge w:val="restart"/>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序号</w:t>
            </w:r>
          </w:p>
        </w:tc>
        <w:tc>
          <w:tcPr>
            <w:tcW w:w="4551" w:type="dxa"/>
            <w:vMerge w:val="restart"/>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项目</w:t>
            </w:r>
          </w:p>
        </w:tc>
        <w:tc>
          <w:tcPr>
            <w:tcW w:w="3310"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数量(t/h)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1" w:type="dxa"/>
            <w:bottom w:w="0" w:type="dxa"/>
            <w:right w:w="31" w:type="dxa"/>
          </w:tblCellMar>
        </w:tblPrEx>
        <w:trPr>
          <w:cantSplit/>
          <w:trHeight w:val="240" w:hRule="atLeast"/>
        </w:trPr>
        <w:tc>
          <w:tcPr>
            <w:tcW w:w="931" w:type="dxa"/>
            <w:vMerge w:val="continue"/>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p>
        </w:tc>
        <w:tc>
          <w:tcPr>
            <w:tcW w:w="4551" w:type="dxa"/>
            <w:vMerge w:val="continue"/>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p>
        </w:tc>
        <w:tc>
          <w:tcPr>
            <w:tcW w:w="3310"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2×130t/h+1×220t/h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1" w:type="dxa"/>
            <w:bottom w:w="0" w:type="dxa"/>
            <w:right w:w="31" w:type="dxa"/>
          </w:tblCellMar>
        </w:tblPrEx>
        <w:trPr>
          <w:trHeight w:val="312" w:hRule="atLeast"/>
        </w:trPr>
        <w:tc>
          <w:tcPr>
            <w:tcW w:w="931"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w:t>
            </w:r>
          </w:p>
        </w:tc>
        <w:tc>
          <w:tcPr>
            <w:tcW w:w="4551"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厂内水汽循环损失</w:t>
            </w:r>
          </w:p>
        </w:tc>
        <w:tc>
          <w:tcPr>
            <w:tcW w:w="3310"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1" w:type="dxa"/>
            <w:bottom w:w="0" w:type="dxa"/>
            <w:right w:w="31" w:type="dxa"/>
          </w:tblCellMar>
        </w:tblPrEx>
        <w:trPr>
          <w:trHeight w:val="312" w:hRule="atLeast"/>
        </w:trPr>
        <w:tc>
          <w:tcPr>
            <w:tcW w:w="931"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w:t>
            </w:r>
          </w:p>
        </w:tc>
        <w:tc>
          <w:tcPr>
            <w:tcW w:w="4551"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锅炉排污</w:t>
            </w:r>
          </w:p>
        </w:tc>
        <w:tc>
          <w:tcPr>
            <w:tcW w:w="3310"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1" w:type="dxa"/>
            <w:bottom w:w="0" w:type="dxa"/>
            <w:right w:w="31" w:type="dxa"/>
          </w:tblCellMar>
        </w:tblPrEx>
        <w:trPr>
          <w:trHeight w:val="312" w:hRule="atLeast"/>
        </w:trPr>
        <w:tc>
          <w:tcPr>
            <w:tcW w:w="931"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3</w:t>
            </w:r>
          </w:p>
        </w:tc>
        <w:tc>
          <w:tcPr>
            <w:tcW w:w="4551"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系统自用水量</w:t>
            </w:r>
          </w:p>
        </w:tc>
        <w:tc>
          <w:tcPr>
            <w:tcW w:w="3310"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1" w:type="dxa"/>
            <w:bottom w:w="0" w:type="dxa"/>
            <w:right w:w="31" w:type="dxa"/>
          </w:tblCellMar>
        </w:tblPrEx>
        <w:trPr>
          <w:trHeight w:val="312" w:hRule="atLeast"/>
        </w:trPr>
        <w:tc>
          <w:tcPr>
            <w:tcW w:w="931"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4</w:t>
            </w:r>
          </w:p>
        </w:tc>
        <w:tc>
          <w:tcPr>
            <w:tcW w:w="4551"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外供汽量</w:t>
            </w:r>
          </w:p>
        </w:tc>
        <w:tc>
          <w:tcPr>
            <w:tcW w:w="3310"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1" w:type="dxa"/>
            <w:bottom w:w="0" w:type="dxa"/>
            <w:right w:w="31" w:type="dxa"/>
          </w:tblCellMar>
        </w:tblPrEx>
        <w:trPr>
          <w:trHeight w:val="312" w:hRule="atLeast"/>
        </w:trPr>
        <w:tc>
          <w:tcPr>
            <w:tcW w:w="931"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5</w:t>
            </w:r>
          </w:p>
        </w:tc>
        <w:tc>
          <w:tcPr>
            <w:tcW w:w="4551"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热力系统需要的正常补水量</w:t>
            </w:r>
          </w:p>
        </w:tc>
        <w:tc>
          <w:tcPr>
            <w:tcW w:w="3310"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fldChar w:fldCharType="begin"/>
            </w:r>
            <w:r>
              <w:rPr>
                <w:rFonts w:hint="default" w:ascii="Times New Roman" w:hAnsi="Times New Roman" w:cs="Times New Roman"/>
                <w:b w:val="0"/>
                <w:bCs/>
                <w:color w:val="000000" w:themeColor="text1"/>
                <w:sz w:val="21"/>
                <w:szCs w:val="21"/>
                <w14:textFill>
                  <w14:solidFill>
                    <w14:schemeClr w14:val="tx1"/>
                  </w14:solidFill>
                </w14:textFill>
              </w:rPr>
              <w:instrText xml:space="preserve"> = sum(C3:C6) \* MERGEFORMAT </w:instrText>
            </w:r>
            <w:r>
              <w:rPr>
                <w:rFonts w:hint="default" w:ascii="Times New Roman" w:hAnsi="Times New Roman" w:cs="Times New Roman"/>
                <w:b w:val="0"/>
                <w:bCs/>
                <w:color w:val="000000" w:themeColor="text1"/>
                <w:sz w:val="21"/>
                <w:szCs w:val="21"/>
                <w14:textFill>
                  <w14:solidFill>
                    <w14:schemeClr w14:val="tx1"/>
                  </w14:solidFill>
                </w14:textFill>
              </w:rPr>
              <w:fldChar w:fldCharType="separate"/>
            </w:r>
            <w:r>
              <w:rPr>
                <w:rFonts w:hint="default" w:ascii="Times New Roman" w:hAnsi="Times New Roman" w:cs="Times New Roman"/>
                <w:b w:val="0"/>
                <w:bCs/>
                <w:color w:val="000000" w:themeColor="text1"/>
                <w:sz w:val="21"/>
                <w:szCs w:val="21"/>
                <w14:textFill>
                  <w14:solidFill>
                    <w14:schemeClr w14:val="tx1"/>
                  </w14:solidFill>
                </w14:textFill>
              </w:rPr>
              <w:t>430</w:t>
            </w:r>
            <w:r>
              <w:rPr>
                <w:rFonts w:hint="default" w:ascii="Times New Roman" w:hAnsi="Times New Roman" w:cs="Times New Roman"/>
                <w:b w:val="0"/>
                <w:bCs/>
                <w:color w:val="000000" w:themeColor="text1"/>
                <w:sz w:val="21"/>
                <w:szCs w:val="21"/>
                <w14:textFill>
                  <w14:solidFill>
                    <w14:schemeClr w14:val="tx1"/>
                  </w14:solidFill>
                </w14:textFill>
              </w:rPr>
              <w:fldChar w:fldCharType="end"/>
            </w:r>
          </w:p>
        </w:tc>
      </w:tr>
    </w:tbl>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313" w:beforeLines="10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w:t>
      </w:r>
      <w:r>
        <w:rPr>
          <w:rFonts w:hint="eastAsia" w:eastAsia="宋体" w:cs="Times New Roman"/>
          <w:color w:val="000000" w:themeColor="text1"/>
          <w:spacing w:val="0"/>
          <w:w w:val="100"/>
          <w:position w:val="0"/>
          <w:sz w:val="24"/>
          <w:szCs w:val="24"/>
          <w:u w:val="none"/>
          <w:lang w:val="en-US" w:eastAsia="zh-CN" w:bidi="zh-CN"/>
          <w14:textFill>
            <w14:solidFill>
              <w14:schemeClr w14:val="tx1"/>
            </w14:solidFill>
          </w14:textFill>
        </w:rPr>
        <w:t>1</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）系统连接方式及操作方式</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b w:val="0"/>
          <w:bCs/>
          <w:color w:val="000000" w:themeColor="text1"/>
          <w14:textFill>
            <w14:solidFill>
              <w14:schemeClr w14:val="tx1"/>
            </w14:solidFill>
          </w14:textFill>
        </w:rPr>
      </w:pPr>
      <w:r>
        <w:rPr>
          <w:rFonts w:hint="eastAsia" w:ascii="宋体" w:hAnsi="宋体"/>
          <w:b w:val="0"/>
          <w:bCs/>
          <w:color w:val="000000" w:themeColor="text1"/>
          <w14:textFill>
            <w14:solidFill>
              <w14:schemeClr w14:val="tx1"/>
            </w14:solidFill>
          </w14:textFill>
        </w:rPr>
        <w:t>系统中设有必要的监测仪表。超滤、反渗透、混床运行均采用DCS控制，以CRT和键盘为监视和控制手段，完成对水处理系统信息的采集、处理和记录，对异常工况进行报警和自动打印，可自动、半自动、就地手动及控制室键盘微机操作。</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w:t>
      </w:r>
      <w:r>
        <w:rPr>
          <w:rFonts w:hint="eastAsia" w:eastAsia="宋体" w:cs="Times New Roman"/>
          <w:color w:val="000000" w:themeColor="text1"/>
          <w:spacing w:val="0"/>
          <w:w w:val="100"/>
          <w:position w:val="0"/>
          <w:sz w:val="24"/>
          <w:szCs w:val="24"/>
          <w:u w:val="none"/>
          <w:lang w:val="en-US" w:eastAsia="zh-CN" w:bidi="zh-CN"/>
          <w14:textFill>
            <w14:solidFill>
              <w14:schemeClr w14:val="tx1"/>
            </w14:solidFill>
          </w14:textFill>
        </w:rPr>
        <w:t>2</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）锅炉补给水处理系统布置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b w:val="0"/>
          <w:bCs/>
          <w:color w:val="000000" w:themeColor="text1"/>
          <w14:textFill>
            <w14:solidFill>
              <w14:schemeClr w14:val="tx1"/>
            </w14:solidFill>
          </w14:textFill>
        </w:rPr>
      </w:pPr>
      <w:r>
        <w:rPr>
          <w:rFonts w:hint="eastAsia" w:ascii="宋体" w:hAnsi="宋体"/>
          <w:b w:val="0"/>
          <w:bCs/>
          <w:color w:val="000000" w:themeColor="text1"/>
          <w14:textFill>
            <w14:solidFill>
              <w14:schemeClr w14:val="tx1"/>
            </w14:solidFill>
          </w14:textFill>
        </w:rPr>
        <w:t>锅炉给水处理系统设备布置在新建水处理室内，毗间设有水泵间、酸碱计量间等。水处理室外侧设有水箱、中和水泵房、酸碱贮存间等。</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2.2.8.</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2主厂房热力系统加药处理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b w:val="0"/>
          <w:bCs/>
          <w:color w:val="000000" w:themeColor="text1"/>
          <w14:textFill>
            <w14:solidFill>
              <w14:schemeClr w14:val="tx1"/>
            </w14:solidFill>
          </w14:textFill>
        </w:rPr>
      </w:pPr>
      <w:r>
        <w:rPr>
          <w:rFonts w:hint="eastAsia" w:ascii="宋体" w:hAnsi="宋体"/>
          <w:b w:val="0"/>
          <w:bCs/>
          <w:color w:val="000000" w:themeColor="text1"/>
          <w14:textFill>
            <w14:solidFill>
              <w14:schemeClr w14:val="tx1"/>
            </w14:solidFill>
          </w14:textFill>
        </w:rPr>
        <w:t>为了减少热力系统设备及管道的腐蚀，给水采取自动加氨及加联氨处理。为防止锅炉水冷壁结垢、腐蚀爆管，对炉水采用加磷酸盐处理。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b w:val="0"/>
          <w:bCs/>
          <w:color w:val="000000" w:themeColor="text1"/>
          <w14:textFill>
            <w14:solidFill>
              <w14:schemeClr w14:val="tx1"/>
            </w14:solidFill>
          </w14:textFill>
        </w:rPr>
      </w:pPr>
      <w:r>
        <w:rPr>
          <w:rFonts w:hint="eastAsia" w:ascii="宋体" w:hAnsi="宋体"/>
          <w:b w:val="0"/>
          <w:bCs/>
          <w:color w:val="000000" w:themeColor="text1"/>
          <w14:textFill>
            <w14:solidFill>
              <w14:schemeClr w14:val="tx1"/>
            </w14:solidFill>
          </w14:textFill>
        </w:rPr>
        <w:t>两</w:t>
      </w:r>
      <w:r>
        <w:rPr>
          <w:rFonts w:ascii="宋体" w:hAnsi="宋体"/>
          <w:b w:val="0"/>
          <w:bCs/>
          <w:color w:val="000000" w:themeColor="text1"/>
          <w14:textFill>
            <w14:solidFill>
              <w14:schemeClr w14:val="tx1"/>
            </w14:solidFill>
          </w14:textFill>
        </w:rPr>
        <w:t>台机组设置一套加氨</w:t>
      </w:r>
      <w:r>
        <w:rPr>
          <w:rFonts w:hint="eastAsia" w:ascii="宋体" w:hAnsi="宋体"/>
          <w:b w:val="0"/>
          <w:bCs/>
          <w:color w:val="000000" w:themeColor="text1"/>
          <w14:textFill>
            <w14:solidFill>
              <w14:schemeClr w14:val="tx1"/>
            </w14:solidFill>
          </w14:textFill>
        </w:rPr>
        <w:t>装置、</w:t>
      </w:r>
      <w:r>
        <w:rPr>
          <w:rFonts w:ascii="宋体" w:hAnsi="宋体"/>
          <w:b w:val="0"/>
          <w:bCs/>
          <w:color w:val="000000" w:themeColor="text1"/>
          <w14:textFill>
            <w14:solidFill>
              <w14:schemeClr w14:val="tx1"/>
            </w14:solidFill>
          </w14:textFill>
        </w:rPr>
        <w:t>一套加联氨装置</w:t>
      </w:r>
      <w:r>
        <w:rPr>
          <w:rFonts w:hint="eastAsia" w:ascii="宋体" w:hAnsi="宋体"/>
          <w:b w:val="0"/>
          <w:bCs/>
          <w:color w:val="000000" w:themeColor="text1"/>
          <w14:textFill>
            <w14:solidFill>
              <w14:schemeClr w14:val="tx1"/>
            </w14:solidFill>
          </w14:textFill>
        </w:rPr>
        <w:t>、</w:t>
      </w:r>
      <w:r>
        <w:rPr>
          <w:rFonts w:ascii="宋体" w:hAnsi="宋体"/>
          <w:b w:val="0"/>
          <w:bCs/>
          <w:color w:val="000000" w:themeColor="text1"/>
          <w14:textFill>
            <w14:solidFill>
              <w14:schemeClr w14:val="tx1"/>
            </w14:solidFill>
          </w14:textFill>
        </w:rPr>
        <w:t>一套</w:t>
      </w:r>
      <w:r>
        <w:rPr>
          <w:rFonts w:hint="eastAsia" w:ascii="宋体" w:hAnsi="宋体"/>
          <w:b w:val="0"/>
          <w:bCs/>
          <w:color w:val="000000" w:themeColor="text1"/>
          <w14:textFill>
            <w14:solidFill>
              <w14:schemeClr w14:val="tx1"/>
            </w14:solidFill>
          </w14:textFill>
        </w:rPr>
        <w:t>加磷酸盐装置。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b w:val="0"/>
          <w:bCs/>
          <w:color w:val="000000" w:themeColor="text1"/>
          <w14:textFill>
            <w14:solidFill>
              <w14:schemeClr w14:val="tx1"/>
            </w14:solidFill>
          </w14:textFill>
        </w:rPr>
      </w:pPr>
      <w:r>
        <w:rPr>
          <w:rFonts w:hint="eastAsia" w:ascii="宋体" w:hAnsi="宋体"/>
          <w:b w:val="0"/>
          <w:bCs/>
          <w:color w:val="000000" w:themeColor="text1"/>
          <w14:textFill>
            <w14:solidFill>
              <w14:schemeClr w14:val="tx1"/>
            </w14:solidFill>
          </w14:textFill>
        </w:rPr>
        <w:t>为便于运行及管理，各加药装置集中布置在主厂房加药间内。</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t>2.2.8.3</w:t>
      </w: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汽水取样</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b w:val="0"/>
          <w:bCs/>
          <w:color w:val="000000" w:themeColor="text1"/>
          <w14:textFill>
            <w14:solidFill>
              <w14:schemeClr w14:val="tx1"/>
            </w14:solidFill>
          </w14:textFill>
        </w:rPr>
      </w:pPr>
      <w:r>
        <w:rPr>
          <w:rFonts w:hint="eastAsia" w:ascii="宋体" w:hAnsi="宋体"/>
          <w:b w:val="0"/>
          <w:bCs/>
          <w:color w:val="000000" w:themeColor="text1"/>
          <w14:textFill>
            <w14:solidFill>
              <w14:schemeClr w14:val="tx1"/>
            </w14:solidFill>
          </w14:textFill>
        </w:rPr>
        <w:t>为了监督机组水、汽系统的水汽品质，使整个电厂的水汽系统处于最佳运行工况，每台机组设一套水汽集中取样装置，设置必要的在线仪表，取样装置采用干湿盘分开布置方式，由微机对主要测点进行实时检测，并设有手动取样分析测点。装置分高温高压架、人工取样架及低温仪表架三部分，高温高压架与人工取样架、低温仪表架分开布置，分放于两个单独的房间。</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b w:val="0"/>
          <w:bCs/>
          <w:color w:val="000000" w:themeColor="text1"/>
          <w:lang w:val="en-US" w:eastAsia="zh-CN"/>
          <w14:textFill>
            <w14:solidFill>
              <w14:schemeClr w14:val="tx1"/>
            </w14:solidFill>
          </w14:textFill>
        </w:rPr>
      </w:pPr>
      <w:r>
        <w:rPr>
          <w:rFonts w:hint="eastAsia" w:ascii="宋体" w:hAnsi="宋体"/>
          <w:b w:val="0"/>
          <w:bCs/>
          <w:color w:val="000000" w:themeColor="text1"/>
          <w14:textFill>
            <w14:solidFill>
              <w14:schemeClr w14:val="tx1"/>
            </w14:solidFill>
          </w14:textFill>
        </w:rPr>
        <w:t>各机组汽水取样装置集中布置在主厂房汽水取样间内。</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2.2.8.</w:t>
      </w:r>
      <w:r>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t>4</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辅机循环水处理系统</w:t>
      </w:r>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本工程水源采用水厂处理后的地表水，辅机循环冷却水处理系统设计本着节水、系统运行安全可靠为原则，暂定为加稳定剂、杀菌剂处理，加稳定剂装置设置1箱2泵组合式加药装置一套。杀菌剂采用人工定期投加方式。</w:t>
      </w:r>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辅机循环水加稳定剂装置布置在综合水泵房内。</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2.2.8.</w:t>
      </w:r>
      <w:r>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t>5</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油净化处理系统</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本工程不设集中油处理系统，仅设置移动式绝缘油的净油机一台。</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2.2.8.</w:t>
      </w:r>
      <w:r>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t>6</w:t>
      </w: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工业废水处理系统</w:t>
      </w:r>
    </w:p>
    <w:p>
      <w:pPr>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根据《发电厂废水治理设计规范》（DL/T5046-2018）规定，单机容量300MW及以上的发电厂或严重缺水且废水重复利用的电厂，宜设置废水集中处理设施。本工程采用分</w:t>
      </w:r>
      <w:r>
        <w:rPr>
          <w:rFonts w:hint="eastAsia" w:ascii="宋体" w:hAnsi="宋体" w:eastAsia="宋体" w:cs="宋体"/>
          <w:bCs/>
          <w:color w:val="000000" w:themeColor="text1"/>
          <w14:textFill>
            <w14:solidFill>
              <w14:schemeClr w14:val="tx1"/>
            </w14:solidFill>
          </w14:textFill>
        </w:rPr>
        <w:t>流</w:t>
      </w:r>
      <w:r>
        <w:rPr>
          <w:bCs/>
          <w:color w:val="000000" w:themeColor="text1"/>
          <w14:textFill>
            <w14:solidFill>
              <w14:schemeClr w14:val="tx1"/>
            </w14:solidFill>
          </w14:textFill>
        </w:rPr>
        <w:t>处理方式。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主要为锅炉排水、</w:t>
      </w:r>
      <w:r>
        <w:rPr>
          <w:rFonts w:hint="default" w:ascii="Times New Roman" w:hAnsi="Times New Roman" w:cs="Times New Roman"/>
          <w:color w:val="000000" w:themeColor="text1"/>
          <w14:textFill>
            <w14:solidFill>
              <w14:schemeClr w14:val="tx1"/>
            </w14:solidFill>
          </w14:textFill>
        </w:rPr>
        <w:t>化学水处理车间浓水、超滤加强反洗废水、混床再生废水、超滤反洗废水、清洗过滤器反洗废水。生产废水中</w:t>
      </w:r>
      <w:r>
        <w:rPr>
          <w:rFonts w:hint="default" w:ascii="Times New Roman" w:hAnsi="Times New Roman" w:cs="Times New Roman"/>
          <w:bCs/>
          <w:color w:val="000000" w:themeColor="text1"/>
          <w14:textFill>
            <w14:solidFill>
              <w14:schemeClr w14:val="tx1"/>
            </w14:solidFill>
          </w14:textFill>
        </w:rPr>
        <w:t>主要污染物是盐类、SS等。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①锅炉排水：锅炉排水量4.50m</w:t>
      </w:r>
      <w:r>
        <w:rPr>
          <w:rFonts w:hint="default" w:ascii="Times New Roman" w:hAnsi="Times New Roman" w:cs="Times New Roman"/>
          <w:bCs/>
          <w:color w:val="000000" w:themeColor="text1"/>
          <w:vertAlign w:val="superscript"/>
          <w14:textFill>
            <w14:solidFill>
              <w14:schemeClr w14:val="tx1"/>
            </w14:solidFill>
          </w14:textFill>
        </w:rPr>
        <w:t>3</w:t>
      </w:r>
      <w:r>
        <w:rPr>
          <w:rFonts w:hint="default" w:ascii="Times New Roman" w:hAnsi="Times New Roman" w:cs="Times New Roman"/>
          <w:bCs/>
          <w:color w:val="000000" w:themeColor="text1"/>
          <w14:textFill>
            <w14:solidFill>
              <w14:schemeClr w14:val="tx1"/>
            </w14:solidFill>
          </w14:textFill>
        </w:rPr>
        <w:t>/h（90m</w:t>
      </w:r>
      <w:r>
        <w:rPr>
          <w:rFonts w:hint="default" w:ascii="Times New Roman" w:hAnsi="Times New Roman" w:cs="Times New Roman"/>
          <w:bCs/>
          <w:color w:val="000000" w:themeColor="text1"/>
          <w:vertAlign w:val="superscript"/>
          <w14:textFill>
            <w14:solidFill>
              <w14:schemeClr w14:val="tx1"/>
            </w14:solidFill>
          </w14:textFill>
        </w:rPr>
        <w:t>3</w:t>
      </w:r>
      <w:r>
        <w:rPr>
          <w:rFonts w:hint="default" w:ascii="Times New Roman" w:hAnsi="Times New Roman" w:cs="Times New Roman"/>
          <w:bCs/>
          <w:color w:val="000000" w:themeColor="text1"/>
          <w14:textFill>
            <w14:solidFill>
              <w14:schemeClr w14:val="tx1"/>
            </w14:solidFill>
          </w14:textFill>
        </w:rPr>
        <w:t>/d、24750m</w:t>
      </w:r>
      <w:r>
        <w:rPr>
          <w:rFonts w:hint="default" w:ascii="Times New Roman" w:hAnsi="Times New Roman" w:cs="Times New Roman"/>
          <w:bCs/>
          <w:color w:val="000000" w:themeColor="text1"/>
          <w:vertAlign w:val="superscript"/>
          <w14:textFill>
            <w14:solidFill>
              <w14:schemeClr w14:val="tx1"/>
            </w14:solidFill>
          </w14:textFill>
        </w:rPr>
        <w:t>3</w:t>
      </w:r>
      <w:r>
        <w:rPr>
          <w:rFonts w:hint="default" w:ascii="Times New Roman" w:hAnsi="Times New Roman" w:cs="Times New Roman"/>
          <w:bCs/>
          <w:color w:val="000000" w:themeColor="text1"/>
          <w14:textFill>
            <w14:solidFill>
              <w14:schemeClr w14:val="tx1"/>
            </w14:solidFill>
          </w14:textFill>
        </w:rPr>
        <w:t>/a）。属于清洁下水，除了含少量盐分外，其余成份很少，可</w:t>
      </w:r>
      <w:r>
        <w:rPr>
          <w:rFonts w:hint="default" w:ascii="Times New Roman" w:hAnsi="Times New Roman" w:cs="Times New Roman"/>
          <w:color w:val="000000" w:themeColor="text1"/>
          <w14:textFill>
            <w14:solidFill>
              <w14:schemeClr w14:val="tx1"/>
            </w14:solidFill>
          </w14:textFill>
        </w:rPr>
        <w:t>直接排入开发区污水管网中。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②</w:t>
      </w:r>
      <w:r>
        <w:rPr>
          <w:rFonts w:hint="default" w:ascii="Times New Roman" w:hAnsi="Times New Roman" w:cs="Times New Roman"/>
          <w:color w:val="000000" w:themeColor="text1"/>
          <w14:textFill>
            <w14:solidFill>
              <w14:schemeClr w14:val="tx1"/>
            </w14:solidFill>
          </w14:textFill>
        </w:rPr>
        <w:t>化学水处理系统排水：本项目化学水处理系统正常进水566m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/h，制备软水450m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/h，产出废水116m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/h。废水中：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超滤反洗废水49m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/h、清洗过滤器反洗废水3m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/h，这两部分废水收集到回收水池内（一座，容积150m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）预处理后，其中30m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/h作为脱硫塔降温喷水回用，22m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/h回用至多介质过滤器用水；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超滤加强反洗废水6m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/h、混床再生废水3m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/h，这两部分废水收集到中和池（一座，容积150m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）预处理后，其中3.6m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/h作为干灰调湿用水回用，5.4m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/h输送至场外南侧3km处的水煤浆生产基地回用；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浓水55m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/h收集到浓水池中（一座，容积100m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）预处理后，25.6m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/h输送至场外南侧3km处的水煤浆生产基地回用，剩余29.4m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/h排入开发区污水管网中。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本项目</w:t>
      </w:r>
      <w:r>
        <w:rPr>
          <w:rFonts w:hint="default" w:ascii="Times New Roman" w:hAnsi="Times New Roman" w:cs="Times New Roman"/>
          <w:color w:val="000000" w:themeColor="text1"/>
          <w14:textFill>
            <w14:solidFill>
              <w14:schemeClr w14:val="tx1"/>
            </w14:solidFill>
          </w14:textFill>
        </w:rPr>
        <w:t>生产废水中</w:t>
      </w:r>
      <w:r>
        <w:rPr>
          <w:rFonts w:hint="default" w:ascii="Times New Roman" w:hAnsi="Times New Roman" w:cs="Times New Roman"/>
          <w:bCs/>
          <w:color w:val="000000" w:themeColor="text1"/>
          <w14:textFill>
            <w14:solidFill>
              <w14:schemeClr w14:val="tx1"/>
            </w14:solidFill>
          </w14:textFill>
        </w:rPr>
        <w:t>主要污染物是盐类、SS等，拟建3座废水池，</w:t>
      </w:r>
      <w:r>
        <w:rPr>
          <w:rFonts w:hint="default" w:ascii="Times New Roman" w:hAnsi="Times New Roman" w:cs="Times New Roman"/>
          <w:color w:val="000000" w:themeColor="text1"/>
          <w14:textFill>
            <w14:solidFill>
              <w14:schemeClr w14:val="tx1"/>
            </w14:solidFill>
          </w14:textFill>
        </w:rPr>
        <w:t>回收水池内一座、容积150m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；中和池一座、容积150m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；浓水池一座、容积100m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。废水处理主要是进行PH调整、</w:t>
      </w:r>
      <w:r>
        <w:rPr>
          <w:rFonts w:hint="default" w:ascii="Times New Roman" w:hAnsi="Times New Roman" w:cs="Times New Roman"/>
          <w:bCs/>
          <w:color w:val="000000" w:themeColor="text1"/>
          <w14:textFill>
            <w14:solidFill>
              <w14:schemeClr w14:val="tx1"/>
            </w14:solidFill>
          </w14:textFill>
        </w:rPr>
        <w:t>酸碱中和处理。浓水池中废水含盐量较高，回用效率低，大部分排入开发区污水管网中。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bCs/>
          <w:color w:val="000000" w:themeColor="text1"/>
          <w14:textFill>
            <w14:solidFill>
              <w14:schemeClr w14:val="tx1"/>
            </w14:solidFill>
          </w14:textFill>
        </w:rPr>
      </w:pPr>
      <w:r>
        <w:rPr>
          <w:rFonts w:hint="default" w:ascii="Times New Roman" w:hAnsi="Times New Roman" w:cs="Times New Roman"/>
          <w:snapToGrid w:val="0"/>
          <w:color w:val="000000" w:themeColor="text1"/>
          <w14:textFill>
            <w14:solidFill>
              <w14:schemeClr w14:val="tx1"/>
            </w14:solidFill>
          </w14:textFill>
        </w:rPr>
        <w:t>考虑到水回用情况，项目废水处理回用到水煤浆生产基地的量为</w:t>
      </w:r>
      <w:r>
        <w:rPr>
          <w:rFonts w:hint="default" w:ascii="Times New Roman" w:hAnsi="Times New Roman" w:cs="Times New Roman"/>
          <w:color w:val="000000" w:themeColor="text1"/>
          <w14:textFill>
            <w14:solidFill>
              <w14:schemeClr w14:val="tx1"/>
            </w14:solidFill>
          </w14:textFill>
        </w:rPr>
        <w:t>31m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/h（620m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/d、17.05万m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snapToGrid w:val="0"/>
          <w:color w:val="000000" w:themeColor="text1"/>
          <w14:textFill>
            <w14:solidFill>
              <w14:schemeClr w14:val="tx1"/>
            </w14:solidFill>
          </w14:textFill>
        </w:rPr>
        <w:t>，排入开发区污水管网中的废水量为</w:t>
      </w:r>
      <w:r>
        <w:rPr>
          <w:rFonts w:hint="default" w:ascii="Times New Roman" w:hAnsi="Times New Roman" w:cs="Times New Roman"/>
          <w:color w:val="000000" w:themeColor="text1"/>
          <w14:textFill>
            <w14:solidFill>
              <w14:schemeClr w14:val="tx1"/>
            </w14:solidFill>
          </w14:textFill>
        </w:rPr>
        <w:t>34.62m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/h（692m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/d、19.08万m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snapToGrid w:val="0"/>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非经常性废水主要为锅炉酸洗废水，根据《小型火力发电厂设计规范》（GB50049-2011）规定，锅炉化学清洗一般由具有酸洗资质的单位清洗，本工程不设固定酸洗设施，不开列酸洗设备及相应设备费用，酸洗废水临时排入化学车间中和水池。220t/h锅炉本体清洗水容积约为60m</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zh-CN" w:eastAsia="zh-CN"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，根据规范，锅炉化学清洗排废水量按其清洗水容积的7倍设计，即排废水量为420m</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zh-CN" w:eastAsia="zh-CN"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。锅炉补给水处理系统中和水池为400 m</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zh-CN" w:eastAsia="zh-CN"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。锅炉化学清洗废水的储存可考虑部分废水储存于400 m</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zh-CN" w:eastAsia="zh-CN"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中和水池。本工程设有约400 m</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zh-CN" w:eastAsia="zh-CN"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事故水池一座，这样即可满足锅炉化学清洗废水的储存要求。</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0" w:firstLineChars="0"/>
        <w:jc w:val="both"/>
        <w:textAlignment w:val="auto"/>
        <w:outlineLvl w:val="2"/>
        <w:rPr>
          <w:rFonts w:hint="eastAsia" w:ascii="Times New Roman" w:hAnsi="Times New Roman" w:eastAsia="宋体" w:cs="Times New Roman"/>
          <w:b/>
          <w:bCs/>
          <w:snapToGrid/>
          <w:color w:val="000000" w:themeColor="text1"/>
          <w:spacing w:val="0"/>
          <w:w w:val="100"/>
          <w:kern w:val="0"/>
          <w:position w:val="0"/>
          <w:sz w:val="28"/>
          <w:szCs w:val="28"/>
          <w:u w:val="none"/>
          <w:lang w:val="zh-CN" w:eastAsia="zh-CN" w:bidi="zh-CN"/>
          <w14:textFill>
            <w14:solidFill>
              <w14:schemeClr w14:val="tx1"/>
            </w14:solidFill>
          </w14:textFill>
        </w:rPr>
      </w:pPr>
      <w:r>
        <w:rPr>
          <w:rFonts w:hint="eastAsia" w:ascii="Times New Roman" w:hAnsi="Times New Roman" w:eastAsia="宋体" w:cs="Times New Roman"/>
          <w:b/>
          <w:bCs/>
          <w:snapToGrid/>
          <w:color w:val="000000" w:themeColor="text1"/>
          <w:spacing w:val="0"/>
          <w:w w:val="100"/>
          <w:kern w:val="0"/>
          <w:position w:val="0"/>
          <w:sz w:val="28"/>
          <w:szCs w:val="28"/>
          <w:u w:val="none"/>
          <w:lang w:val="en-US" w:eastAsia="en-US" w:bidi="zh-CN"/>
          <w14:textFill>
            <w14:solidFill>
              <w14:schemeClr w14:val="tx1"/>
            </w14:solidFill>
          </w14:textFill>
        </w:rPr>
        <w:t>2.2.9</w:t>
      </w:r>
      <w:r>
        <w:rPr>
          <w:rFonts w:hint="eastAsia" w:ascii="Times New Roman" w:hAnsi="Times New Roman" w:eastAsia="宋体" w:cs="Times New Roman"/>
          <w:b/>
          <w:bCs/>
          <w:snapToGrid/>
          <w:color w:val="000000" w:themeColor="text1"/>
          <w:spacing w:val="0"/>
          <w:w w:val="100"/>
          <w:kern w:val="0"/>
          <w:position w:val="0"/>
          <w:sz w:val="28"/>
          <w:szCs w:val="28"/>
          <w:u w:val="none"/>
          <w:lang w:val="zh-CN" w:eastAsia="zh-CN" w:bidi="zh-CN"/>
          <w14:textFill>
            <w14:solidFill>
              <w14:schemeClr w14:val="tx1"/>
            </w14:solidFill>
          </w14:textFill>
        </w:rPr>
        <w:t>供排水系统及冷却设施</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2.2.9.</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1供水方案</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w:t>
      </w:r>
      <w:r>
        <w:rPr>
          <w:rFonts w:hint="eastAsia" w:eastAsia="宋体" w:cs="Times New Roman"/>
          <w:color w:val="000000" w:themeColor="text1"/>
          <w:spacing w:val="0"/>
          <w:w w:val="100"/>
          <w:position w:val="0"/>
          <w:sz w:val="24"/>
          <w:szCs w:val="24"/>
          <w:u w:val="none"/>
          <w:lang w:val="en-US" w:eastAsia="zh-CN" w:bidi="zh-CN"/>
          <w14:textFill>
            <w14:solidFill>
              <w14:schemeClr w14:val="tx1"/>
            </w14:solidFill>
          </w14:textFill>
        </w:rPr>
        <w:t>1</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）辅机循环冷却水系统</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本工程为背压机组，无主机冷却水系统，仅有辅机循环冷却水系统。</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fldChar w:fldCharType="begin"/>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instrText xml:space="preserve"> = 1 \* GB3 \* MERGEFORMAT </w:instrTex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fldChar w:fldCharType="separate"/>
      </w:r>
      <w:r>
        <w:rPr>
          <w:color w:val="000000" w:themeColor="text1"/>
          <w14:textFill>
            <w14:solidFill>
              <w14:schemeClr w14:val="tx1"/>
            </w14:solidFill>
          </w14:textFill>
        </w:rPr>
        <w:t>①</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fldChar w:fldCharType="end"/>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辅机循环水量</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本工程辅机循环冷却水主要是指布置在主厂房内的发电机空冷器、冷油器、轴承冷却等用水量，辅机循环水量见表</w:t>
      </w:r>
      <w:r>
        <w:rPr>
          <w:rFonts w:hint="eastAsia" w:eastAsia="宋体" w:cs="Times New Roman"/>
          <w:color w:val="000000" w:themeColor="text1"/>
          <w:spacing w:val="0"/>
          <w:w w:val="100"/>
          <w:position w:val="0"/>
          <w:sz w:val="24"/>
          <w:szCs w:val="24"/>
          <w:u w:val="none"/>
          <w:lang w:val="en-US" w:eastAsia="en-US" w:bidi="zh-CN"/>
          <w14:textFill>
            <w14:solidFill>
              <w14:schemeClr w14:val="tx1"/>
            </w14:solidFill>
          </w14:textFill>
        </w:rPr>
        <w:t>2.</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2-</w:t>
      </w:r>
      <w:r>
        <w:rPr>
          <w:rFonts w:hint="eastAsia" w:eastAsia="宋体" w:cs="Times New Roman"/>
          <w:color w:val="000000" w:themeColor="text1"/>
          <w:spacing w:val="0"/>
          <w:w w:val="100"/>
          <w:position w:val="0"/>
          <w:sz w:val="24"/>
          <w:szCs w:val="24"/>
          <w:u w:val="none"/>
          <w:lang w:val="en-US" w:eastAsia="zh-CN" w:bidi="zh-CN"/>
          <w14:textFill>
            <w14:solidFill>
              <w14:schemeClr w14:val="tx1"/>
            </w14:solidFill>
          </w14:textFill>
        </w:rPr>
        <w:t>10</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w:t>
      </w:r>
    </w:p>
    <w:p>
      <w:pPr>
        <w:pStyle w:val="42"/>
        <w:keepNext w:val="0"/>
        <w:keepLines w:val="0"/>
        <w:pageBreakBefore w:val="0"/>
        <w:widowControl w:val="0"/>
        <w:shd w:val="clear" w:color="auto" w:fill="auto"/>
        <w:tabs>
          <w:tab w:val="left" w:pos="2573"/>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2.2-10</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ab/>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本工程2</w:t>
      </w:r>
      <w:r>
        <w:rPr>
          <w:rFonts w:hint="default" w:ascii="Arial" w:hAnsi="Arial" w:eastAsia="宋体" w:cs="Arial"/>
          <w:color w:val="000000" w:themeColor="text1"/>
          <w:spacing w:val="0"/>
          <w:w w:val="100"/>
          <w:position w:val="0"/>
          <w:sz w:val="24"/>
          <w:szCs w:val="24"/>
          <w:u w:val="none"/>
          <w:lang w:val="en-US" w:eastAsia="en-US" w:bidi="zh-CN"/>
          <w14:textFill>
            <w14:solidFill>
              <w14:schemeClr w14:val="tx1"/>
            </w14:solidFill>
          </w14:textFill>
        </w:rPr>
        <w:t>×</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25MW</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机组辅机冷却水量</w:t>
      </w:r>
    </w:p>
    <w:tbl>
      <w:tblPr>
        <w:tblStyle w:val="21"/>
        <w:tblW w:w="8326" w:type="dxa"/>
        <w:jc w:val="center"/>
        <w:tblInd w:w="0" w:type="dxa"/>
        <w:tblLayout w:type="fixed"/>
        <w:tblCellMar>
          <w:top w:w="0" w:type="dxa"/>
          <w:left w:w="10" w:type="dxa"/>
          <w:bottom w:w="0" w:type="dxa"/>
          <w:right w:w="10" w:type="dxa"/>
        </w:tblCellMar>
      </w:tblPr>
      <w:tblGrid>
        <w:gridCol w:w="2787"/>
        <w:gridCol w:w="2774"/>
        <w:gridCol w:w="2765"/>
      </w:tblGrid>
      <w:tr>
        <w:tblPrEx>
          <w:tblLayout w:type="fixed"/>
          <w:tblCellMar>
            <w:top w:w="0" w:type="dxa"/>
            <w:left w:w="10" w:type="dxa"/>
            <w:bottom w:w="0" w:type="dxa"/>
            <w:right w:w="10" w:type="dxa"/>
          </w:tblCellMar>
        </w:tblPrEx>
        <w:trPr>
          <w:trHeight w:val="331" w:hRule="exact"/>
          <w:jc w:val="center"/>
        </w:trPr>
        <w:tc>
          <w:tcPr>
            <w:tcW w:w="2787"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序号</w:t>
            </w:r>
          </w:p>
        </w:tc>
        <w:tc>
          <w:tcPr>
            <w:tcW w:w="2774"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机组容量</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w:t>
            </w:r>
            <w:r>
              <w:rPr>
                <w:rFonts w:hint="default" w:ascii="Arial" w:hAnsi="Arial" w:eastAsia="宋体" w:cs="Arial"/>
                <w:color w:val="000000" w:themeColor="text1"/>
                <w:spacing w:val="0"/>
                <w:w w:val="100"/>
                <w:position w:val="0"/>
                <w:sz w:val="24"/>
                <w:szCs w:val="24"/>
                <w:u w:val="none"/>
                <w:lang w:val="en-US" w:eastAsia="en-US" w:bidi="zh-CN"/>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25MW)</w:t>
            </w:r>
          </w:p>
        </w:tc>
        <w:tc>
          <w:tcPr>
            <w:tcW w:w="2765" w:type="dxa"/>
            <w:tcBorders>
              <w:top w:val="single" w:color="auto" w:sz="4" w:space="0"/>
              <w:left w:val="single" w:color="auto" w:sz="4" w:space="0"/>
              <w:righ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冷却水量</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en-US" w:bidi="en-US"/>
                <w14:textFill>
                  <w14:solidFill>
                    <w14:schemeClr w14:val="tx1"/>
                  </w14:solidFill>
                </w14:textFill>
              </w:rPr>
              <w:t>3</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/h)</w:t>
            </w:r>
          </w:p>
        </w:tc>
      </w:tr>
      <w:tr>
        <w:tblPrEx>
          <w:tblLayout w:type="fixed"/>
          <w:tblCellMar>
            <w:top w:w="0" w:type="dxa"/>
            <w:left w:w="10" w:type="dxa"/>
            <w:bottom w:w="0" w:type="dxa"/>
            <w:right w:w="10" w:type="dxa"/>
          </w:tblCellMar>
        </w:tblPrEx>
        <w:trPr>
          <w:trHeight w:val="326" w:hRule="exact"/>
          <w:jc w:val="center"/>
        </w:trPr>
        <w:tc>
          <w:tcPr>
            <w:tcW w:w="278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277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开式循环冷却水</w:t>
            </w:r>
          </w:p>
        </w:tc>
        <w:tc>
          <w:tcPr>
            <w:tcW w:w="276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1470</w:t>
            </w:r>
          </w:p>
        </w:tc>
      </w:tr>
      <w:tr>
        <w:tblPrEx>
          <w:tblLayout w:type="fixed"/>
          <w:tblCellMar>
            <w:top w:w="0" w:type="dxa"/>
            <w:left w:w="10" w:type="dxa"/>
            <w:bottom w:w="0" w:type="dxa"/>
            <w:right w:w="10" w:type="dxa"/>
          </w:tblCellMar>
        </w:tblPrEx>
        <w:trPr>
          <w:trHeight w:val="336" w:hRule="exact"/>
          <w:jc w:val="center"/>
        </w:trPr>
        <w:tc>
          <w:tcPr>
            <w:tcW w:w="2787"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2774"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合计</w:t>
            </w:r>
          </w:p>
        </w:tc>
        <w:tc>
          <w:tcPr>
            <w:tcW w:w="27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1470</w:t>
            </w:r>
          </w:p>
        </w:tc>
      </w:tr>
    </w:tbl>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fldChar w:fldCharType="begin"/>
      </w:r>
      <w:r>
        <w:rPr>
          <w:rFonts w:hint="default" w:ascii="Times New Roman" w:hAnsi="Times New Roman" w:cs="Times New Roman"/>
          <w:b w:val="0"/>
          <w:bCs/>
          <w:color w:val="000000" w:themeColor="text1"/>
          <w14:textFill>
            <w14:solidFill>
              <w14:schemeClr w14:val="tx1"/>
            </w14:solidFill>
          </w14:textFill>
        </w:rPr>
        <w:instrText xml:space="preserve"> = 2 \* GB3 \* MERGEFORMAT </w:instrText>
      </w:r>
      <w:r>
        <w:rPr>
          <w:rFonts w:hint="default" w:ascii="Times New Roman" w:hAnsi="Times New Roman" w:cs="Times New Roman"/>
          <w:b w:val="0"/>
          <w:bCs/>
          <w:color w:val="000000" w:themeColor="text1"/>
          <w14:textFill>
            <w14:solidFill>
              <w14:schemeClr w14:val="tx1"/>
            </w14:solidFill>
          </w14:textFill>
        </w:rPr>
        <w:fldChar w:fldCharType="separate"/>
      </w:r>
      <w:r>
        <w:rPr>
          <w:color w:val="000000" w:themeColor="text1"/>
          <w14:textFill>
            <w14:solidFill>
              <w14:schemeClr w14:val="tx1"/>
            </w14:solidFill>
          </w14:textFill>
        </w:rPr>
        <w:t>②</w:t>
      </w:r>
      <w:r>
        <w:rPr>
          <w:rFonts w:hint="default" w:ascii="Times New Roman" w:hAnsi="Times New Roman" w:cs="Times New Roman"/>
          <w:b w:val="0"/>
          <w:bCs/>
          <w:color w:val="000000" w:themeColor="text1"/>
          <w14:textFill>
            <w14:solidFill>
              <w14:schemeClr w14:val="tx1"/>
            </w14:solidFill>
          </w14:textFill>
        </w:rPr>
        <w:fldChar w:fldCharType="end"/>
      </w:r>
      <w:r>
        <w:rPr>
          <w:rFonts w:hint="eastAsia" w:ascii="宋体" w:hAnsi="宋体"/>
          <w:b w:val="0"/>
          <w:bCs/>
          <w:color w:val="000000" w:themeColor="text1"/>
          <w14:textFill>
            <w14:solidFill>
              <w14:schemeClr w14:val="tx1"/>
            </w14:solidFill>
          </w14:textFill>
        </w:rPr>
        <w:t>辅机循环水流程为</w:t>
      </w:r>
    </w:p>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机械通风冷却塔底部水池——&gt;辅机循环水泵——&gt;循环水压力进水管——&gt;辅机冷却器——&gt;循环水压力回水管——&gt;机械通风冷却塔</w:t>
      </w:r>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电厂本期工程2×25MW背压机组无主机冷却系统。辅机冷却采用湿冷系统。2×25MW机组辅机冷却用水量约1470m³/h，两机配三座冷却塔和三台辅机冷却水泵，机械通风冷却塔和辅机冷却水泵房布置在化水车间附近。</w:t>
      </w:r>
      <w:bookmarkStart w:id="78" w:name="_Toc98598373"/>
      <w:bookmarkStart w:id="79" w:name="_Toc38939280"/>
    </w:p>
    <w:p>
      <w:pPr>
        <w:spacing w:line="360" w:lineRule="auto"/>
        <w:ind w:firstLine="480" w:firstLineChars="200"/>
        <w:rPr>
          <w:rFonts w:hint="default" w:ascii="Times New Roman" w:hAnsi="Times New Roman" w:cs="Times New Roman"/>
          <w:b w:val="0"/>
          <w:bCs/>
          <w:color w:val="000000" w:themeColor="text1"/>
          <w:lang w:val="zh-CN"/>
          <w14:textFill>
            <w14:solidFill>
              <w14:schemeClr w14:val="tx1"/>
            </w14:solidFill>
          </w14:textFill>
        </w:rPr>
      </w:pPr>
      <w:r>
        <w:rPr>
          <w:rFonts w:hint="eastAsia" w:ascii="Times New Roman" w:hAnsi="Times New Roman" w:cs="Times New Roman"/>
          <w:b w:val="0"/>
          <w:bCs/>
          <w:color w:val="000000" w:themeColor="text1"/>
          <w:lang w:val="zh-CN"/>
          <w14:textFill>
            <w14:solidFill>
              <w14:schemeClr w14:val="tx1"/>
            </w14:solidFill>
          </w14:textFill>
        </w:rPr>
        <w:t>（</w:t>
      </w:r>
      <w:r>
        <w:rPr>
          <w:rFonts w:hint="eastAsia" w:ascii="Times New Roman" w:hAnsi="Times New Roman" w:eastAsia="宋体" w:cs="Times New Roman"/>
          <w:b w:val="0"/>
          <w:bCs/>
          <w:color w:val="000000" w:themeColor="text1"/>
          <w:lang w:val="en-US" w:eastAsia="zh-CN"/>
          <w14:textFill>
            <w14:solidFill>
              <w14:schemeClr w14:val="tx1"/>
            </w14:solidFill>
          </w14:textFill>
        </w:rPr>
        <w:t>2</w:t>
      </w:r>
      <w:r>
        <w:rPr>
          <w:rFonts w:hint="eastAsia" w:ascii="Times New Roman" w:hAnsi="Times New Roman" w:cs="Times New Roman"/>
          <w:b w:val="0"/>
          <w:bCs/>
          <w:color w:val="000000" w:themeColor="text1"/>
          <w:lang w:val="zh-CN"/>
          <w14:textFill>
            <w14:solidFill>
              <w14:schemeClr w14:val="tx1"/>
            </w14:solidFill>
          </w14:textFill>
        </w:rPr>
        <w:t>）</w:t>
      </w:r>
      <w:r>
        <w:rPr>
          <w:rFonts w:hint="default" w:ascii="Times New Roman" w:hAnsi="Times New Roman" w:cs="Times New Roman"/>
          <w:b w:val="0"/>
          <w:bCs/>
          <w:color w:val="000000" w:themeColor="text1"/>
          <w:lang w:val="zh-CN"/>
          <w14:textFill>
            <w14:solidFill>
              <w14:schemeClr w14:val="tx1"/>
            </w14:solidFill>
          </w14:textFill>
        </w:rPr>
        <w:t>机械通风冷却塔</w:t>
      </w:r>
      <w:bookmarkEnd w:id="78"/>
      <w:bookmarkEnd w:id="79"/>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两台机组建三段7.0m×7.0m的机械通风冷却塔，其参数如下：</w:t>
      </w:r>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冷却塔淋水面积：7.0m×7.0m</w:t>
      </w:r>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冷却水量：600m³/h</w:t>
      </w:r>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冷却塔高度：6.9m</w:t>
      </w:r>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风机直径：4.7m</w:t>
      </w:r>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风机配套功率：22kW</w:t>
      </w:r>
    </w:p>
    <w:p>
      <w:pPr>
        <w:spacing w:line="360" w:lineRule="auto"/>
        <w:ind w:firstLine="480" w:firstLineChars="200"/>
        <w:rPr>
          <w:rFonts w:hint="default" w:ascii="Times New Roman" w:hAnsi="Times New Roman" w:cs="Times New Roman"/>
          <w:b w:val="0"/>
          <w:bCs/>
          <w:color w:val="000000" w:themeColor="text1"/>
          <w:lang w:val="zh-CN"/>
          <w14:textFill>
            <w14:solidFill>
              <w14:schemeClr w14:val="tx1"/>
            </w14:solidFill>
          </w14:textFill>
        </w:rPr>
      </w:pPr>
      <w:bookmarkStart w:id="80" w:name="_Toc98598374"/>
      <w:bookmarkStart w:id="81" w:name="_Toc38939281"/>
      <w:r>
        <w:rPr>
          <w:rFonts w:hint="eastAsia" w:ascii="Times New Roman" w:hAnsi="Times New Roman" w:cs="Times New Roman"/>
          <w:b w:val="0"/>
          <w:bCs/>
          <w:color w:val="000000" w:themeColor="text1"/>
          <w:lang w:val="zh-CN"/>
          <w14:textFill>
            <w14:solidFill>
              <w14:schemeClr w14:val="tx1"/>
            </w14:solidFill>
          </w14:textFill>
        </w:rPr>
        <w:t>（</w:t>
      </w:r>
      <w:r>
        <w:rPr>
          <w:rFonts w:hint="eastAsia" w:ascii="Times New Roman" w:hAnsi="Times New Roman" w:eastAsia="宋体" w:cs="Times New Roman"/>
          <w:b w:val="0"/>
          <w:bCs/>
          <w:color w:val="000000" w:themeColor="text1"/>
          <w:lang w:val="en-US" w:eastAsia="zh-CN"/>
          <w14:textFill>
            <w14:solidFill>
              <w14:schemeClr w14:val="tx1"/>
            </w14:solidFill>
          </w14:textFill>
        </w:rPr>
        <w:t>3</w:t>
      </w:r>
      <w:r>
        <w:rPr>
          <w:rFonts w:hint="eastAsia" w:ascii="Times New Roman" w:hAnsi="Times New Roman" w:cs="Times New Roman"/>
          <w:b w:val="0"/>
          <w:bCs/>
          <w:color w:val="000000" w:themeColor="text1"/>
          <w:lang w:val="zh-CN"/>
          <w14:textFill>
            <w14:solidFill>
              <w14:schemeClr w14:val="tx1"/>
            </w14:solidFill>
          </w14:textFill>
        </w:rPr>
        <w:t>）</w:t>
      </w:r>
      <w:r>
        <w:rPr>
          <w:rFonts w:hint="default" w:ascii="Times New Roman" w:hAnsi="Times New Roman" w:cs="Times New Roman"/>
          <w:b w:val="0"/>
          <w:bCs/>
          <w:color w:val="000000" w:themeColor="text1"/>
          <w:lang w:val="zh-CN"/>
          <w14:textFill>
            <w14:solidFill>
              <w14:schemeClr w14:val="tx1"/>
            </w14:solidFill>
          </w14:textFill>
        </w:rPr>
        <w:t>辅机冷却水泵房</w:t>
      </w:r>
      <w:bookmarkEnd w:id="80"/>
      <w:bookmarkEnd w:id="81"/>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辅机冷却水泵房内设三台冷却水泵。辅机冷却水泵设置在辅机冷却水泵房内。</w:t>
      </w:r>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辅机冷却水泵采用卧式泵，其中两台运行，一台备用，其性能参数如下：</w:t>
      </w:r>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流量：Q=750m³/h</w:t>
      </w:r>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扬程：H=35m</w:t>
      </w:r>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功率：N=110kW</w:t>
      </w:r>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辅机综合水泵房平面尺寸为21.0m×12.0m（泵房9m+进水前池3m），泵房地上高6.5m（梁下净空），地下深2.5m。</w:t>
      </w:r>
    </w:p>
    <w:p>
      <w:pPr>
        <w:spacing w:line="360" w:lineRule="auto"/>
        <w:ind w:firstLine="480" w:firstLineChars="200"/>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辅机综合水泵房无人职守，没有控制室，只设检修平台。本系统共安装3台循环水泵，每台水泵自成一个单元，以利于检修。泵房内设有1台3t电动单梁悬挂式起重机及2台排水泵。</w:t>
      </w:r>
    </w:p>
    <w:p>
      <w:pPr>
        <w:spacing w:line="360" w:lineRule="auto"/>
        <w:ind w:firstLine="480" w:firstLineChars="200"/>
        <w:rPr>
          <w:rFonts w:ascii="宋体" w:hAnsi="宋体"/>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辅机冷却水系统采用扩大单元制，给水管和回水管主管均为DN400的焊接钢管。</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2.2.9.</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2补给水系统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本工程采用先进的水处理工艺，提高水的重复利用率，降低电厂耗水量，节约水资源，从而达到将本工程建成节水型电厂的目的。通过各种设计优化，本期电厂采用水量平衡设计方案及相应可靠的节水措施后，实现了年平均耗水量最小的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本期2×25MW背压机组</w:t>
      </w:r>
      <w:r>
        <w:rPr>
          <w:rFonts w:hint="eastAsia" w:ascii="Times New Roman" w:hAnsi="Times New Roman" w:eastAsia="宋体" w:cs="Times New Roman"/>
          <w:b w:val="0"/>
          <w:bCs/>
          <w:color w:val="000000" w:themeColor="text1"/>
          <w:lang w:eastAsia="zh-CN"/>
          <w14:textFill>
            <w14:solidFill>
              <w14:schemeClr w14:val="tx1"/>
            </w14:solidFill>
          </w14:textFill>
        </w:rPr>
        <w:t>夏季</w:t>
      </w:r>
      <w:r>
        <w:rPr>
          <w:rFonts w:hint="default" w:ascii="Times New Roman" w:hAnsi="Times New Roman" w:cs="Times New Roman"/>
          <w:b w:val="0"/>
          <w:bCs/>
          <w:color w:val="000000" w:themeColor="text1"/>
          <w14:textFill>
            <w14:solidFill>
              <w14:schemeClr w14:val="tx1"/>
            </w14:solidFill>
          </w14:textFill>
        </w:rPr>
        <w:t>耗水量如下表</w:t>
      </w:r>
      <w:r>
        <w:rPr>
          <w:rFonts w:hint="default" w:ascii="Times New Roman" w:hAnsi="Times New Roman" w:eastAsia="宋体" w:cs="Times New Roman"/>
          <w:b w:val="0"/>
          <w:bCs/>
          <w:color w:val="000000" w:themeColor="text1"/>
          <w:lang w:val="en-US" w:eastAsia="zh-CN"/>
          <w14:textFill>
            <w14:solidFill>
              <w14:schemeClr w14:val="tx1"/>
            </w14:solidFill>
          </w14:textFill>
        </w:rPr>
        <w:t>2.2-1</w:t>
      </w:r>
      <w:r>
        <w:rPr>
          <w:rFonts w:hint="eastAsia" w:ascii="Times New Roman" w:hAnsi="Times New Roman" w:eastAsia="宋体" w:cs="Times New Roman"/>
          <w:b w:val="0"/>
          <w:bCs/>
          <w:color w:val="000000" w:themeColor="text1"/>
          <w:lang w:val="en-US" w:eastAsia="zh-CN"/>
          <w14:textFill>
            <w14:solidFill>
              <w14:schemeClr w14:val="tx1"/>
            </w14:solidFill>
          </w14:textFill>
        </w:rPr>
        <w:t>1、冬季耗水量见表2.2-12</w:t>
      </w:r>
      <w:r>
        <w:rPr>
          <w:rFonts w:hint="default" w:ascii="Times New Roman" w:hAnsi="Times New Roman" w:cs="Times New Roman"/>
          <w:b w:val="0"/>
          <w:bCs/>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黑体" w:cs="Times New Roman"/>
          <w:b w:val="0"/>
          <w:bCs/>
          <w:color w:val="000000" w:themeColor="text1"/>
          <w:sz w:val="21"/>
          <w:szCs w:val="21"/>
          <w14:textFill>
            <w14:solidFill>
              <w14:schemeClr w14:val="tx1"/>
            </w14:solidFill>
          </w14:textFill>
        </w:rPr>
      </w:pPr>
      <w:r>
        <w:rPr>
          <w:rFonts w:hint="default" w:ascii="Times New Roman" w:hAnsi="Times New Roman" w:eastAsia="黑体" w:cs="Times New Roman"/>
          <w:b w:val="0"/>
          <w:bCs/>
          <w:color w:val="000000" w:themeColor="text1"/>
          <w:sz w:val="21"/>
          <w:szCs w:val="21"/>
          <w:lang w:eastAsia="zh-CN"/>
          <w14:textFill>
            <w14:solidFill>
              <w14:schemeClr w14:val="tx1"/>
            </w14:solidFill>
          </w14:textFill>
        </w:rPr>
        <w:t>表</w:t>
      </w:r>
      <w:r>
        <w:rPr>
          <w:rFonts w:hint="eastAsia" w:ascii="Times New Roman" w:hAnsi="Times New Roman" w:eastAsia="黑体" w:cs="Times New Roman"/>
          <w:b w:val="0"/>
          <w:bCs/>
          <w:color w:val="000000" w:themeColor="text1"/>
          <w:sz w:val="21"/>
          <w:szCs w:val="21"/>
          <w:lang w:val="en-US" w:eastAsia="zh-CN"/>
          <w14:textFill>
            <w14:solidFill>
              <w14:schemeClr w14:val="tx1"/>
            </w14:solidFill>
          </w14:textFill>
        </w:rPr>
        <w:t xml:space="preserve">2.2-11   </w:t>
      </w:r>
      <w:r>
        <w:rPr>
          <w:rFonts w:hint="default" w:ascii="Times New Roman" w:hAnsi="Times New Roman" w:eastAsia="黑体" w:cs="Times New Roman"/>
          <w:b w:val="0"/>
          <w:bCs/>
          <w:color w:val="000000" w:themeColor="text1"/>
          <w:sz w:val="21"/>
          <w:szCs w:val="21"/>
          <w14:textFill>
            <w14:solidFill>
              <w14:schemeClr w14:val="tx1"/>
            </w14:solidFill>
          </w14:textFill>
        </w:rPr>
        <w:t>2×25MW背压机组夏季工况补充水量        单位：m³/h</w:t>
      </w:r>
    </w:p>
    <w:tbl>
      <w:tblPr>
        <w:tblStyle w:val="21"/>
        <w:tblW w:w="8331" w:type="dxa"/>
        <w:jc w:val="center"/>
        <w:tblInd w:w="0" w:type="dxa"/>
        <w:tblLayout w:type="fixed"/>
        <w:tblCellMar>
          <w:top w:w="0" w:type="dxa"/>
          <w:left w:w="0" w:type="dxa"/>
          <w:bottom w:w="0" w:type="dxa"/>
          <w:right w:w="0" w:type="dxa"/>
        </w:tblCellMar>
      </w:tblPr>
      <w:tblGrid>
        <w:gridCol w:w="684"/>
        <w:gridCol w:w="2025"/>
        <w:gridCol w:w="1133"/>
        <w:gridCol w:w="1250"/>
        <w:gridCol w:w="1000"/>
        <w:gridCol w:w="2239"/>
      </w:tblGrid>
      <w:tr>
        <w:tblPrEx>
          <w:tblLayout w:type="fixed"/>
          <w:tblCellMar>
            <w:top w:w="0" w:type="dxa"/>
            <w:left w:w="0" w:type="dxa"/>
            <w:bottom w:w="0" w:type="dxa"/>
            <w:right w:w="0" w:type="dxa"/>
          </w:tblCellMar>
        </w:tblPrEx>
        <w:trPr>
          <w:trHeight w:val="340" w:hRule="atLeast"/>
          <w:tblHeader/>
          <w:jc w:val="center"/>
        </w:trPr>
        <w:tc>
          <w:tcPr>
            <w:tcW w:w="684"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序号</w:t>
            </w:r>
          </w:p>
        </w:tc>
        <w:tc>
          <w:tcPr>
            <w:tcW w:w="202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项目</w:t>
            </w:r>
          </w:p>
        </w:tc>
        <w:tc>
          <w:tcPr>
            <w:tcW w:w="113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需水量</w:t>
            </w:r>
          </w:p>
        </w:tc>
        <w:tc>
          <w:tcPr>
            <w:tcW w:w="1250"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回收水量</w:t>
            </w:r>
          </w:p>
        </w:tc>
        <w:tc>
          <w:tcPr>
            <w:tcW w:w="1000"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实耗水量</w:t>
            </w:r>
          </w:p>
        </w:tc>
        <w:tc>
          <w:tcPr>
            <w:tcW w:w="2239" w:type="dxa"/>
            <w:tcBorders>
              <w:top w:val="single" w:color="auto" w:sz="4" w:space="0"/>
              <w:left w:val="nil"/>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备  注</w:t>
            </w:r>
          </w:p>
        </w:tc>
      </w:tr>
      <w:tr>
        <w:tblPrEx>
          <w:tblLayout w:type="fixed"/>
          <w:tblCellMar>
            <w:top w:w="0" w:type="dxa"/>
            <w:left w:w="0" w:type="dxa"/>
            <w:bottom w:w="0" w:type="dxa"/>
            <w:right w:w="0" w:type="dxa"/>
          </w:tblCellMar>
        </w:tblPrEx>
        <w:trPr>
          <w:trHeight w:val="340" w:hRule="atLeast"/>
          <w:jc w:val="center"/>
        </w:trPr>
        <w:tc>
          <w:tcPr>
            <w:tcW w:w="684"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w:t>
            </w:r>
          </w:p>
        </w:tc>
        <w:tc>
          <w:tcPr>
            <w:tcW w:w="202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辅机冷却塔蒸发损失</w:t>
            </w:r>
          </w:p>
        </w:tc>
        <w:tc>
          <w:tcPr>
            <w:tcW w:w="113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23.5</w:t>
            </w:r>
          </w:p>
        </w:tc>
        <w:tc>
          <w:tcPr>
            <w:tcW w:w="125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0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23.5</w:t>
            </w:r>
          </w:p>
        </w:tc>
        <w:tc>
          <w:tcPr>
            <w:tcW w:w="2239" w:type="dxa"/>
            <w:tcBorders>
              <w:top w:val="single" w:color="auto" w:sz="4" w:space="0"/>
              <w:left w:val="nil"/>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p>
        </w:tc>
      </w:tr>
      <w:tr>
        <w:tblPrEx>
          <w:tblLayout w:type="fixed"/>
          <w:tblCellMar>
            <w:top w:w="0" w:type="dxa"/>
            <w:left w:w="0" w:type="dxa"/>
            <w:bottom w:w="0" w:type="dxa"/>
            <w:right w:w="0" w:type="dxa"/>
          </w:tblCellMar>
        </w:tblPrEx>
        <w:trPr>
          <w:cantSplit/>
          <w:trHeight w:val="340" w:hRule="atLeast"/>
          <w:jc w:val="center"/>
        </w:trPr>
        <w:tc>
          <w:tcPr>
            <w:tcW w:w="684"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w:t>
            </w:r>
          </w:p>
        </w:tc>
        <w:tc>
          <w:tcPr>
            <w:tcW w:w="202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辅机冷却塔风吹损失</w:t>
            </w:r>
          </w:p>
        </w:tc>
        <w:tc>
          <w:tcPr>
            <w:tcW w:w="113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1.5</w:t>
            </w:r>
          </w:p>
        </w:tc>
        <w:tc>
          <w:tcPr>
            <w:tcW w:w="125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0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1.5</w:t>
            </w:r>
          </w:p>
        </w:tc>
        <w:tc>
          <w:tcPr>
            <w:tcW w:w="2239" w:type="dxa"/>
            <w:tcBorders>
              <w:top w:val="single" w:color="auto" w:sz="4" w:space="0"/>
              <w:left w:val="nil"/>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p>
        </w:tc>
      </w:tr>
      <w:tr>
        <w:tblPrEx>
          <w:tblLayout w:type="fixed"/>
          <w:tblCellMar>
            <w:top w:w="0" w:type="dxa"/>
            <w:left w:w="0" w:type="dxa"/>
            <w:bottom w:w="0" w:type="dxa"/>
            <w:right w:w="0" w:type="dxa"/>
          </w:tblCellMar>
        </w:tblPrEx>
        <w:trPr>
          <w:cantSplit/>
          <w:trHeight w:val="340" w:hRule="atLeast"/>
          <w:jc w:val="center"/>
        </w:trPr>
        <w:tc>
          <w:tcPr>
            <w:tcW w:w="684"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w:t>
            </w:r>
          </w:p>
        </w:tc>
        <w:tc>
          <w:tcPr>
            <w:tcW w:w="202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辅机冷却塔排污损失</w:t>
            </w:r>
          </w:p>
        </w:tc>
        <w:tc>
          <w:tcPr>
            <w:tcW w:w="113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6.4</w:t>
            </w:r>
          </w:p>
        </w:tc>
        <w:tc>
          <w:tcPr>
            <w:tcW w:w="125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0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6.4</w:t>
            </w:r>
          </w:p>
        </w:tc>
        <w:tc>
          <w:tcPr>
            <w:tcW w:w="2239" w:type="dxa"/>
            <w:tcBorders>
              <w:top w:val="single" w:color="auto" w:sz="4" w:space="0"/>
              <w:left w:val="nil"/>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排至污水处理厂</w:t>
            </w:r>
          </w:p>
        </w:tc>
      </w:tr>
      <w:tr>
        <w:tblPrEx>
          <w:tblLayout w:type="fixed"/>
          <w:tblCellMar>
            <w:top w:w="0" w:type="dxa"/>
            <w:left w:w="0" w:type="dxa"/>
            <w:bottom w:w="0" w:type="dxa"/>
            <w:right w:w="0" w:type="dxa"/>
          </w:tblCellMar>
        </w:tblPrEx>
        <w:trPr>
          <w:cantSplit/>
          <w:trHeight w:val="340" w:hRule="atLeast"/>
          <w:jc w:val="center"/>
        </w:trPr>
        <w:tc>
          <w:tcPr>
            <w:tcW w:w="684"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w:t>
            </w:r>
          </w:p>
        </w:tc>
        <w:tc>
          <w:tcPr>
            <w:tcW w:w="202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锅炉补给水处理用水</w:t>
            </w:r>
          </w:p>
        </w:tc>
        <w:tc>
          <w:tcPr>
            <w:tcW w:w="113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rFonts w:eastAsiaTheme="minorEastAsia"/>
                <w:bCs/>
                <w:color w:val="000000" w:themeColor="text1"/>
                <w:sz w:val="2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566</w:t>
            </w:r>
          </w:p>
        </w:tc>
        <w:tc>
          <w:tcPr>
            <w:tcW w:w="125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0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rFonts w:eastAsiaTheme="minorEastAsia"/>
                <w:bCs/>
                <w:color w:val="000000" w:themeColor="text1"/>
                <w:sz w:val="2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566</w:t>
            </w:r>
          </w:p>
        </w:tc>
        <w:tc>
          <w:tcPr>
            <w:tcW w:w="2239" w:type="dxa"/>
            <w:tcBorders>
              <w:top w:val="single" w:color="auto" w:sz="4" w:space="0"/>
              <w:left w:val="nil"/>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其中消耗水量4</w:t>
            </w:r>
            <w:r>
              <w:rPr>
                <w:rFonts w:eastAsiaTheme="minorEastAsia"/>
                <w:bCs/>
                <w:color w:val="000000" w:themeColor="text1"/>
                <w:sz w:val="21"/>
                <w:szCs w:val="21"/>
                <w14:textFill>
                  <w14:solidFill>
                    <w14:schemeClr w14:val="tx1"/>
                  </w14:solidFill>
                </w14:textFill>
              </w:rPr>
              <w:t>50</w:t>
            </w:r>
            <w:r>
              <w:rPr>
                <w:bCs/>
                <w:color w:val="000000" w:themeColor="text1"/>
                <w:sz w:val="21"/>
                <w:szCs w:val="21"/>
                <w14:textFill>
                  <w14:solidFill>
                    <w14:schemeClr w14:val="tx1"/>
                  </w14:solidFill>
                </w14:textFill>
              </w:rPr>
              <w:t>m³/h；回用</w:t>
            </w:r>
            <w:r>
              <w:rPr>
                <w:rFonts w:eastAsiaTheme="minorEastAsia"/>
                <w:bCs/>
                <w:color w:val="000000" w:themeColor="text1"/>
                <w:sz w:val="21"/>
                <w:szCs w:val="21"/>
                <w14:textFill>
                  <w14:solidFill>
                    <w14:schemeClr w14:val="tx1"/>
                  </w14:solidFill>
                </w14:textFill>
              </w:rPr>
              <w:t>52</w:t>
            </w:r>
            <w:r>
              <w:rPr>
                <w:bCs/>
                <w:color w:val="000000" w:themeColor="text1"/>
                <w:sz w:val="21"/>
                <w:szCs w:val="21"/>
                <w14:textFill>
                  <w14:solidFill>
                    <w14:schemeClr w14:val="tx1"/>
                  </w14:solidFill>
                </w14:textFill>
              </w:rPr>
              <w:t>m³/h；排至</w:t>
            </w:r>
            <w:r>
              <w:rPr>
                <w:rFonts w:hint="eastAsia" w:ascii="宋体" w:hAnsi="宋体" w:eastAsia="宋体" w:cs="宋体"/>
                <w:bCs/>
                <w:color w:val="000000" w:themeColor="text1"/>
                <w:sz w:val="21"/>
                <w:szCs w:val="21"/>
                <w14:textFill>
                  <w14:solidFill>
                    <w14:schemeClr w14:val="tx1"/>
                  </w14:solidFill>
                </w14:textFill>
              </w:rPr>
              <w:t>制浆厂</w:t>
            </w:r>
            <w:r>
              <w:rPr>
                <w:rFonts w:eastAsiaTheme="minorEastAsia"/>
                <w:bCs/>
                <w:color w:val="000000" w:themeColor="text1"/>
                <w:sz w:val="21"/>
                <w:szCs w:val="21"/>
                <w14:textFill>
                  <w14:solidFill>
                    <w14:schemeClr w14:val="tx1"/>
                  </w14:solidFill>
                </w14:textFill>
              </w:rPr>
              <w:t>34.69</w:t>
            </w:r>
            <w:r>
              <w:rPr>
                <w:bCs/>
                <w:color w:val="000000" w:themeColor="text1"/>
                <w:sz w:val="21"/>
                <w:szCs w:val="21"/>
                <w14:textFill>
                  <w14:solidFill>
                    <w14:schemeClr w14:val="tx1"/>
                  </w14:solidFill>
                </w14:textFill>
              </w:rPr>
              <w:t>³/h</w:t>
            </w:r>
            <w:r>
              <w:rPr>
                <w:rFonts w:hint="eastAsia" w:ascii="宋体" w:hAnsi="宋体" w:eastAsia="宋体" w:cs="宋体"/>
                <w:bCs/>
                <w:color w:val="000000" w:themeColor="text1"/>
                <w:sz w:val="21"/>
                <w:szCs w:val="21"/>
                <w14:textFill>
                  <w14:solidFill>
                    <w14:schemeClr w14:val="tx1"/>
                  </w14:solidFill>
                </w14:textFill>
              </w:rPr>
              <w:t>，达标排放2</w:t>
            </w:r>
            <w:r>
              <w:rPr>
                <w:rFonts w:ascii="宋体" w:hAnsi="宋体" w:eastAsia="宋体" w:cs="宋体"/>
                <w:bCs/>
                <w:color w:val="000000" w:themeColor="text1"/>
                <w:sz w:val="21"/>
                <w:szCs w:val="21"/>
                <w14:textFill>
                  <w14:solidFill>
                    <w14:schemeClr w14:val="tx1"/>
                  </w14:solidFill>
                </w14:textFill>
              </w:rPr>
              <w:t>9.31</w:t>
            </w:r>
            <w:r>
              <w:rPr>
                <w:bCs/>
                <w:color w:val="000000" w:themeColor="text1"/>
                <w:sz w:val="21"/>
                <w:szCs w:val="21"/>
                <w14:textFill>
                  <w14:solidFill>
                    <w14:schemeClr w14:val="tx1"/>
                  </w14:solidFill>
                </w14:textFill>
              </w:rPr>
              <w:t>³/h</w:t>
            </w:r>
            <w:r>
              <w:rPr>
                <w:rFonts w:hint="eastAsia" w:ascii="宋体" w:hAnsi="宋体" w:eastAsia="宋体" w:cs="宋体"/>
                <w:bCs/>
                <w:color w:val="000000" w:themeColor="text1"/>
                <w:sz w:val="21"/>
                <w:szCs w:val="21"/>
                <w14:textFill>
                  <w14:solidFill>
                    <w14:schemeClr w14:val="tx1"/>
                  </w14:solidFill>
                </w14:textFill>
              </w:rPr>
              <w:t>。</w:t>
            </w:r>
          </w:p>
        </w:tc>
      </w:tr>
      <w:tr>
        <w:tblPrEx>
          <w:tblLayout w:type="fixed"/>
          <w:tblCellMar>
            <w:top w:w="0" w:type="dxa"/>
            <w:left w:w="0" w:type="dxa"/>
            <w:bottom w:w="0" w:type="dxa"/>
            <w:right w:w="0" w:type="dxa"/>
          </w:tblCellMar>
        </w:tblPrEx>
        <w:trPr>
          <w:cantSplit/>
          <w:trHeight w:val="340" w:hRule="atLeast"/>
          <w:jc w:val="center"/>
        </w:trPr>
        <w:tc>
          <w:tcPr>
            <w:tcW w:w="684"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5</w:t>
            </w:r>
          </w:p>
        </w:tc>
        <w:tc>
          <w:tcPr>
            <w:tcW w:w="202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未预见用水</w:t>
            </w:r>
          </w:p>
        </w:tc>
        <w:tc>
          <w:tcPr>
            <w:tcW w:w="113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30</w:t>
            </w:r>
          </w:p>
        </w:tc>
        <w:tc>
          <w:tcPr>
            <w:tcW w:w="125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0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30</w:t>
            </w:r>
          </w:p>
        </w:tc>
        <w:tc>
          <w:tcPr>
            <w:tcW w:w="2239" w:type="dxa"/>
            <w:tcBorders>
              <w:top w:val="single" w:color="auto" w:sz="4" w:space="0"/>
              <w:left w:val="nil"/>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p>
        </w:tc>
      </w:tr>
      <w:tr>
        <w:tblPrEx>
          <w:tblLayout w:type="fixed"/>
          <w:tblCellMar>
            <w:top w:w="0" w:type="dxa"/>
            <w:left w:w="0" w:type="dxa"/>
            <w:bottom w:w="0" w:type="dxa"/>
            <w:right w:w="0" w:type="dxa"/>
          </w:tblCellMar>
        </w:tblPrEx>
        <w:trPr>
          <w:trHeight w:val="340" w:hRule="atLeast"/>
          <w:jc w:val="center"/>
        </w:trPr>
        <w:tc>
          <w:tcPr>
            <w:tcW w:w="684"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6</w:t>
            </w:r>
          </w:p>
        </w:tc>
        <w:tc>
          <w:tcPr>
            <w:tcW w:w="202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生活用水</w:t>
            </w:r>
          </w:p>
        </w:tc>
        <w:tc>
          <w:tcPr>
            <w:tcW w:w="113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w:t>
            </w:r>
          </w:p>
        </w:tc>
        <w:tc>
          <w:tcPr>
            <w:tcW w:w="125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0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w:t>
            </w:r>
          </w:p>
        </w:tc>
        <w:tc>
          <w:tcPr>
            <w:tcW w:w="2239" w:type="dxa"/>
            <w:tcBorders>
              <w:top w:val="single" w:color="auto" w:sz="4" w:space="0"/>
              <w:left w:val="nil"/>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其中0.7m³/h排至污水处理厂</w:t>
            </w:r>
          </w:p>
        </w:tc>
      </w:tr>
      <w:tr>
        <w:tblPrEx>
          <w:tblLayout w:type="fixed"/>
          <w:tblCellMar>
            <w:top w:w="0" w:type="dxa"/>
            <w:left w:w="0" w:type="dxa"/>
            <w:bottom w:w="0" w:type="dxa"/>
            <w:right w:w="0" w:type="dxa"/>
          </w:tblCellMar>
        </w:tblPrEx>
        <w:trPr>
          <w:trHeight w:val="340" w:hRule="atLeast"/>
          <w:jc w:val="center"/>
        </w:trPr>
        <w:tc>
          <w:tcPr>
            <w:tcW w:w="684"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p>
        </w:tc>
        <w:tc>
          <w:tcPr>
            <w:tcW w:w="2025" w:type="dxa"/>
            <w:tcBorders>
              <w:top w:val="nil"/>
              <w:left w:val="nil"/>
              <w:bottom w:val="single" w:color="auto" w:sz="4" w:space="0"/>
              <w:right w:val="single" w:color="auto" w:sz="4" w:space="0"/>
            </w:tcBorders>
            <w:tcMar>
              <w:top w:w="20" w:type="dxa"/>
              <w:left w:w="20" w:type="dxa"/>
              <w:bottom w:w="0" w:type="dxa"/>
              <w:right w:w="20" w:type="dxa"/>
            </w:tcMar>
            <w:vAlign w:val="center"/>
          </w:tcPr>
          <w:p>
            <w:pPr>
              <w:shd w:val="clear" w:color="auto" w:fill="auto"/>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合计</w:t>
            </w:r>
          </w:p>
        </w:tc>
        <w:tc>
          <w:tcPr>
            <w:tcW w:w="1133" w:type="dxa"/>
            <w:tcBorders>
              <w:top w:val="nil"/>
              <w:left w:val="nil"/>
              <w:bottom w:val="single" w:color="auto" w:sz="4" w:space="0"/>
              <w:right w:val="single" w:color="auto" w:sz="4" w:space="0"/>
            </w:tcBorders>
            <w:tcMar>
              <w:top w:w="20" w:type="dxa"/>
              <w:left w:w="20" w:type="dxa"/>
              <w:bottom w:w="0" w:type="dxa"/>
              <w:right w:w="20" w:type="dxa"/>
            </w:tcMar>
            <w:vAlign w:val="center"/>
          </w:tcPr>
          <w:p>
            <w:pPr>
              <w:shd w:val="clear" w:color="auto" w:fill="auto"/>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628.4</w:t>
            </w:r>
          </w:p>
        </w:tc>
        <w:tc>
          <w:tcPr>
            <w:tcW w:w="1250" w:type="dxa"/>
            <w:tcBorders>
              <w:top w:val="nil"/>
              <w:left w:val="nil"/>
              <w:bottom w:val="single" w:color="auto" w:sz="4" w:space="0"/>
              <w:right w:val="single" w:color="auto" w:sz="4" w:space="0"/>
            </w:tcBorders>
            <w:tcMar>
              <w:top w:w="20" w:type="dxa"/>
              <w:left w:w="20" w:type="dxa"/>
              <w:bottom w:w="0" w:type="dxa"/>
              <w:right w:w="20" w:type="dxa"/>
            </w:tcMar>
            <w:vAlign w:val="center"/>
          </w:tcPr>
          <w:p>
            <w:pPr>
              <w:shd w:val="clear" w:color="auto" w:fill="auto"/>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00" w:type="dxa"/>
            <w:tcBorders>
              <w:top w:val="nil"/>
              <w:left w:val="nil"/>
              <w:bottom w:val="single" w:color="auto" w:sz="4" w:space="0"/>
              <w:right w:val="single" w:color="auto" w:sz="4" w:space="0"/>
            </w:tcBorders>
            <w:tcMar>
              <w:top w:w="20" w:type="dxa"/>
              <w:left w:w="20" w:type="dxa"/>
              <w:bottom w:w="0" w:type="dxa"/>
              <w:right w:w="20" w:type="dxa"/>
            </w:tcMar>
            <w:vAlign w:val="center"/>
          </w:tcPr>
          <w:p>
            <w:pPr>
              <w:shd w:val="clear" w:color="auto" w:fill="auto"/>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628.4</w:t>
            </w:r>
          </w:p>
        </w:tc>
        <w:tc>
          <w:tcPr>
            <w:tcW w:w="2239" w:type="dxa"/>
            <w:tcBorders>
              <w:top w:val="single" w:color="auto" w:sz="4" w:space="0"/>
              <w:left w:val="nil"/>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p>
        </w:tc>
      </w:tr>
      <w:tr>
        <w:tblPrEx>
          <w:tblLayout w:type="fixed"/>
          <w:tblCellMar>
            <w:top w:w="0" w:type="dxa"/>
            <w:left w:w="0" w:type="dxa"/>
            <w:bottom w:w="0" w:type="dxa"/>
            <w:right w:w="0" w:type="dxa"/>
          </w:tblCellMar>
        </w:tblPrEx>
        <w:trPr>
          <w:trHeight w:val="340" w:hRule="atLeast"/>
          <w:jc w:val="center"/>
        </w:trPr>
        <w:tc>
          <w:tcPr>
            <w:tcW w:w="684"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复用水</w:t>
            </w:r>
          </w:p>
        </w:tc>
        <w:tc>
          <w:tcPr>
            <w:tcW w:w="2025"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p>
        </w:tc>
        <w:tc>
          <w:tcPr>
            <w:tcW w:w="1133"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p>
        </w:tc>
        <w:tc>
          <w:tcPr>
            <w:tcW w:w="125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p>
        </w:tc>
        <w:tc>
          <w:tcPr>
            <w:tcW w:w="100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p>
        </w:tc>
        <w:tc>
          <w:tcPr>
            <w:tcW w:w="2239" w:type="dxa"/>
            <w:tcBorders>
              <w:top w:val="single" w:color="auto" w:sz="4" w:space="0"/>
              <w:left w:val="nil"/>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p>
        </w:tc>
      </w:tr>
      <w:tr>
        <w:tblPrEx>
          <w:tblLayout w:type="fixed"/>
          <w:tblCellMar>
            <w:top w:w="0" w:type="dxa"/>
            <w:left w:w="0" w:type="dxa"/>
            <w:bottom w:w="0" w:type="dxa"/>
            <w:right w:w="0" w:type="dxa"/>
          </w:tblCellMar>
        </w:tblPrEx>
        <w:trPr>
          <w:trHeight w:val="340" w:hRule="atLeast"/>
          <w:jc w:val="center"/>
        </w:trPr>
        <w:tc>
          <w:tcPr>
            <w:tcW w:w="684"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w:t>
            </w:r>
          </w:p>
        </w:tc>
        <w:tc>
          <w:tcPr>
            <w:tcW w:w="2025"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灰场喷洒用水</w:t>
            </w:r>
          </w:p>
        </w:tc>
        <w:tc>
          <w:tcPr>
            <w:tcW w:w="1133"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w:t>
            </w:r>
          </w:p>
        </w:tc>
        <w:tc>
          <w:tcPr>
            <w:tcW w:w="125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0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w:t>
            </w:r>
          </w:p>
        </w:tc>
        <w:tc>
          <w:tcPr>
            <w:tcW w:w="223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化水浓水</w:t>
            </w:r>
          </w:p>
        </w:tc>
      </w:tr>
      <w:tr>
        <w:tblPrEx>
          <w:tblLayout w:type="fixed"/>
          <w:tblCellMar>
            <w:top w:w="0" w:type="dxa"/>
            <w:left w:w="0" w:type="dxa"/>
            <w:bottom w:w="0" w:type="dxa"/>
            <w:right w:w="0" w:type="dxa"/>
          </w:tblCellMar>
        </w:tblPrEx>
        <w:trPr>
          <w:trHeight w:val="340" w:hRule="atLeast"/>
          <w:jc w:val="center"/>
        </w:trPr>
        <w:tc>
          <w:tcPr>
            <w:tcW w:w="684"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w:t>
            </w:r>
          </w:p>
        </w:tc>
        <w:tc>
          <w:tcPr>
            <w:tcW w:w="2025"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灰办湿</w:t>
            </w:r>
          </w:p>
        </w:tc>
        <w:tc>
          <w:tcPr>
            <w:tcW w:w="1133"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w:t>
            </w:r>
            <w:r>
              <w:rPr>
                <w:rFonts w:hint="eastAsia" w:ascii="宋体" w:hAnsi="宋体" w:eastAsia="宋体" w:cs="宋体"/>
                <w:bCs/>
                <w:color w:val="000000" w:themeColor="text1"/>
                <w:sz w:val="21"/>
                <w:szCs w:val="21"/>
                <w:lang w:val="en-US" w:eastAsia="zh-CN"/>
                <w14:textFill>
                  <w14:solidFill>
                    <w14:schemeClr w14:val="tx1"/>
                  </w14:solidFill>
                </w14:textFill>
              </w:rPr>
              <w:t>.</w:t>
            </w:r>
            <w:r>
              <w:rPr>
                <w:rFonts w:hint="eastAsia" w:ascii="宋体" w:hAnsi="宋体" w:eastAsia="宋体" w:cs="宋体"/>
                <w:bCs/>
                <w:color w:val="000000" w:themeColor="text1"/>
                <w:sz w:val="21"/>
                <w:szCs w:val="21"/>
                <w14:textFill>
                  <w14:solidFill>
                    <w14:schemeClr w14:val="tx1"/>
                  </w14:solidFill>
                </w14:textFill>
              </w:rPr>
              <w:t>6</w:t>
            </w:r>
          </w:p>
        </w:tc>
        <w:tc>
          <w:tcPr>
            <w:tcW w:w="125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0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w:t>
            </w:r>
          </w:p>
        </w:tc>
        <w:tc>
          <w:tcPr>
            <w:tcW w:w="223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化水浓水</w:t>
            </w:r>
          </w:p>
        </w:tc>
      </w:tr>
      <w:tr>
        <w:tblPrEx>
          <w:tblLayout w:type="fixed"/>
          <w:tblCellMar>
            <w:top w:w="0" w:type="dxa"/>
            <w:left w:w="0" w:type="dxa"/>
            <w:bottom w:w="0" w:type="dxa"/>
            <w:right w:w="0" w:type="dxa"/>
          </w:tblCellMar>
        </w:tblPrEx>
        <w:trPr>
          <w:trHeight w:val="340" w:hRule="atLeast"/>
          <w:jc w:val="center"/>
        </w:trPr>
        <w:tc>
          <w:tcPr>
            <w:tcW w:w="684"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w:t>
            </w:r>
          </w:p>
        </w:tc>
        <w:tc>
          <w:tcPr>
            <w:tcW w:w="2025"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制浆用水</w:t>
            </w:r>
          </w:p>
        </w:tc>
        <w:tc>
          <w:tcPr>
            <w:tcW w:w="1133"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rFonts w:eastAsiaTheme="minorEastAsia"/>
                <w:bCs/>
                <w:color w:val="000000" w:themeColor="text1"/>
                <w:sz w:val="2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20.09</w:t>
            </w:r>
          </w:p>
        </w:tc>
        <w:tc>
          <w:tcPr>
            <w:tcW w:w="125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0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rFonts w:eastAsiaTheme="minorEastAsia"/>
                <w:bCs/>
                <w:color w:val="000000" w:themeColor="text1"/>
                <w:sz w:val="2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20.09</w:t>
            </w:r>
          </w:p>
        </w:tc>
        <w:tc>
          <w:tcPr>
            <w:tcW w:w="223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化水浓水</w:t>
            </w:r>
          </w:p>
        </w:tc>
      </w:tr>
      <w:tr>
        <w:tblPrEx>
          <w:tblLayout w:type="fixed"/>
          <w:tblCellMar>
            <w:top w:w="0" w:type="dxa"/>
            <w:left w:w="0" w:type="dxa"/>
            <w:bottom w:w="0" w:type="dxa"/>
            <w:right w:w="0" w:type="dxa"/>
          </w:tblCellMar>
        </w:tblPrEx>
        <w:trPr>
          <w:trHeight w:val="340" w:hRule="atLeast"/>
          <w:jc w:val="center"/>
        </w:trPr>
        <w:tc>
          <w:tcPr>
            <w:tcW w:w="684"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w:t>
            </w:r>
          </w:p>
        </w:tc>
        <w:tc>
          <w:tcPr>
            <w:tcW w:w="2025"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脱硫脱硝工艺用水</w:t>
            </w:r>
          </w:p>
        </w:tc>
        <w:tc>
          <w:tcPr>
            <w:tcW w:w="1133"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rFonts w:eastAsiaTheme="minorEastAsia"/>
                <w:bCs/>
                <w:color w:val="000000" w:themeColor="text1"/>
                <w:sz w:val="2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30</w:t>
            </w:r>
          </w:p>
        </w:tc>
        <w:tc>
          <w:tcPr>
            <w:tcW w:w="125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0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rFonts w:eastAsiaTheme="minorEastAsia"/>
                <w:bCs/>
                <w:color w:val="000000" w:themeColor="text1"/>
                <w:sz w:val="2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30</w:t>
            </w:r>
          </w:p>
        </w:tc>
        <w:tc>
          <w:tcPr>
            <w:tcW w:w="223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化水</w:t>
            </w:r>
            <w:r>
              <w:rPr>
                <w:rFonts w:hint="eastAsia" w:ascii="宋体" w:hAnsi="宋体" w:eastAsia="宋体" w:cs="宋体"/>
                <w:bCs/>
                <w:color w:val="000000" w:themeColor="text1"/>
                <w:sz w:val="21"/>
                <w:szCs w:val="21"/>
                <w14:textFill>
                  <w14:solidFill>
                    <w14:schemeClr w14:val="tx1"/>
                  </w14:solidFill>
                </w14:textFill>
              </w:rPr>
              <w:t>废水</w:t>
            </w:r>
          </w:p>
        </w:tc>
      </w:tr>
    </w:tbl>
    <w:p>
      <w:pPr>
        <w:spacing w:beforeLines="50"/>
        <w:jc w:val="center"/>
        <w:rPr>
          <w:rFonts w:eastAsia="黑体"/>
          <w:bCs/>
          <w:color w:val="000000" w:themeColor="text1"/>
          <w:sz w:val="21"/>
          <w:szCs w:val="21"/>
          <w14:textFill>
            <w14:solidFill>
              <w14:schemeClr w14:val="tx1"/>
            </w14:solidFill>
          </w14:textFill>
        </w:rPr>
      </w:pPr>
      <w:r>
        <w:rPr>
          <w:rFonts w:eastAsia="黑体"/>
          <w:bCs/>
          <w:color w:val="000000" w:themeColor="text1"/>
          <w:sz w:val="21"/>
          <w:szCs w:val="21"/>
          <w14:textFill>
            <w14:solidFill>
              <w14:schemeClr w14:val="tx1"/>
            </w14:solidFill>
          </w14:textFill>
        </w:rPr>
        <w:t>表</w:t>
      </w:r>
      <w:r>
        <w:rPr>
          <w:rFonts w:hint="eastAsia" w:eastAsia="黑体"/>
          <w:bCs/>
          <w:color w:val="000000" w:themeColor="text1"/>
          <w:sz w:val="21"/>
          <w:szCs w:val="21"/>
          <w:lang w:val="en-US"/>
          <w14:textFill>
            <w14:solidFill>
              <w14:schemeClr w14:val="tx1"/>
            </w14:solidFill>
          </w14:textFill>
        </w:rPr>
        <w:t xml:space="preserve">2.2-12    </w:t>
      </w:r>
      <w:r>
        <w:rPr>
          <w:rFonts w:eastAsia="黑体"/>
          <w:bCs/>
          <w:color w:val="000000" w:themeColor="text1"/>
          <w:sz w:val="21"/>
          <w:szCs w:val="21"/>
          <w14:textFill>
            <w14:solidFill>
              <w14:schemeClr w14:val="tx1"/>
            </w14:solidFill>
          </w14:textFill>
        </w:rPr>
        <w:t>2×25MW背压机组冬季工况补充水量单位：m³/h</w:t>
      </w:r>
    </w:p>
    <w:tbl>
      <w:tblPr>
        <w:tblStyle w:val="21"/>
        <w:tblW w:w="8331" w:type="dxa"/>
        <w:jc w:val="center"/>
        <w:tblInd w:w="0" w:type="dxa"/>
        <w:tblLayout w:type="fixed"/>
        <w:tblCellMar>
          <w:top w:w="0" w:type="dxa"/>
          <w:left w:w="0" w:type="dxa"/>
          <w:bottom w:w="0" w:type="dxa"/>
          <w:right w:w="0" w:type="dxa"/>
        </w:tblCellMar>
      </w:tblPr>
      <w:tblGrid>
        <w:gridCol w:w="609"/>
        <w:gridCol w:w="2067"/>
        <w:gridCol w:w="900"/>
        <w:gridCol w:w="1066"/>
        <w:gridCol w:w="1034"/>
        <w:gridCol w:w="2655"/>
      </w:tblGrid>
      <w:tr>
        <w:tblPrEx>
          <w:tblLayout w:type="fixed"/>
          <w:tblCellMar>
            <w:top w:w="0" w:type="dxa"/>
            <w:left w:w="0" w:type="dxa"/>
            <w:bottom w:w="0" w:type="dxa"/>
            <w:right w:w="0" w:type="dxa"/>
          </w:tblCellMar>
        </w:tblPrEx>
        <w:trPr>
          <w:trHeight w:val="340" w:hRule="atLeast"/>
          <w:tblHeader/>
          <w:jc w:val="center"/>
        </w:trPr>
        <w:tc>
          <w:tcPr>
            <w:tcW w:w="60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序号</w:t>
            </w:r>
          </w:p>
        </w:tc>
        <w:tc>
          <w:tcPr>
            <w:tcW w:w="2067"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项目</w:t>
            </w:r>
          </w:p>
        </w:tc>
        <w:tc>
          <w:tcPr>
            <w:tcW w:w="900"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需水量</w:t>
            </w:r>
          </w:p>
        </w:tc>
        <w:tc>
          <w:tcPr>
            <w:tcW w:w="1066"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回收水量</w:t>
            </w:r>
          </w:p>
        </w:tc>
        <w:tc>
          <w:tcPr>
            <w:tcW w:w="103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实耗水量</w:t>
            </w:r>
          </w:p>
        </w:tc>
        <w:tc>
          <w:tcPr>
            <w:tcW w:w="2655" w:type="dxa"/>
            <w:tcBorders>
              <w:top w:val="single" w:color="auto" w:sz="4" w:space="0"/>
              <w:left w:val="nil"/>
              <w:bottom w:val="single" w:color="auto" w:sz="4" w:space="0"/>
              <w:right w:val="single" w:color="auto" w:sz="4" w:space="0"/>
            </w:tcBorders>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备  注</w:t>
            </w:r>
          </w:p>
        </w:tc>
      </w:tr>
      <w:tr>
        <w:tblPrEx>
          <w:tblLayout w:type="fixed"/>
          <w:tblCellMar>
            <w:top w:w="0" w:type="dxa"/>
            <w:left w:w="0" w:type="dxa"/>
            <w:bottom w:w="0" w:type="dxa"/>
            <w:right w:w="0" w:type="dxa"/>
          </w:tblCellMar>
        </w:tblPrEx>
        <w:trPr>
          <w:trHeight w:val="340" w:hRule="atLeast"/>
          <w:jc w:val="center"/>
        </w:trPr>
        <w:tc>
          <w:tcPr>
            <w:tcW w:w="609"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w:t>
            </w:r>
          </w:p>
        </w:tc>
        <w:tc>
          <w:tcPr>
            <w:tcW w:w="2067"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辅机冷却塔蒸发损失</w:t>
            </w:r>
          </w:p>
        </w:tc>
        <w:tc>
          <w:tcPr>
            <w:tcW w:w="900"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11.8</w:t>
            </w:r>
          </w:p>
        </w:tc>
        <w:tc>
          <w:tcPr>
            <w:tcW w:w="10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34"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11.8</w:t>
            </w:r>
          </w:p>
        </w:tc>
        <w:tc>
          <w:tcPr>
            <w:tcW w:w="2655" w:type="dxa"/>
            <w:tcBorders>
              <w:top w:val="single" w:color="auto" w:sz="4" w:space="0"/>
              <w:left w:val="nil"/>
              <w:bottom w:val="single" w:color="auto" w:sz="4" w:space="0"/>
              <w:right w:val="single" w:color="auto" w:sz="4" w:space="0"/>
            </w:tcBorders>
            <w:vAlign w:val="center"/>
          </w:tcPr>
          <w:p>
            <w:pPr>
              <w:jc w:val="center"/>
              <w:rPr>
                <w:bCs/>
                <w:color w:val="000000" w:themeColor="text1"/>
                <w:sz w:val="21"/>
                <w:szCs w:val="21"/>
                <w14:textFill>
                  <w14:solidFill>
                    <w14:schemeClr w14:val="tx1"/>
                  </w14:solidFill>
                </w14:textFill>
              </w:rPr>
            </w:pPr>
          </w:p>
        </w:tc>
      </w:tr>
      <w:tr>
        <w:tblPrEx>
          <w:tblLayout w:type="fixed"/>
          <w:tblCellMar>
            <w:top w:w="0" w:type="dxa"/>
            <w:left w:w="0" w:type="dxa"/>
            <w:bottom w:w="0" w:type="dxa"/>
            <w:right w:w="0" w:type="dxa"/>
          </w:tblCellMar>
        </w:tblPrEx>
        <w:trPr>
          <w:cantSplit/>
          <w:trHeight w:val="340" w:hRule="atLeast"/>
          <w:jc w:val="center"/>
        </w:trPr>
        <w:tc>
          <w:tcPr>
            <w:tcW w:w="609"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w:t>
            </w:r>
          </w:p>
        </w:tc>
        <w:tc>
          <w:tcPr>
            <w:tcW w:w="2067"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辅机冷却塔风吹损失</w:t>
            </w:r>
          </w:p>
        </w:tc>
        <w:tc>
          <w:tcPr>
            <w:tcW w:w="900"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1.5</w:t>
            </w:r>
          </w:p>
        </w:tc>
        <w:tc>
          <w:tcPr>
            <w:tcW w:w="10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34"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1.5</w:t>
            </w:r>
          </w:p>
        </w:tc>
        <w:tc>
          <w:tcPr>
            <w:tcW w:w="2655" w:type="dxa"/>
            <w:tcBorders>
              <w:top w:val="single" w:color="auto" w:sz="4" w:space="0"/>
              <w:left w:val="nil"/>
              <w:bottom w:val="single" w:color="auto" w:sz="4" w:space="0"/>
              <w:right w:val="single" w:color="auto" w:sz="4" w:space="0"/>
            </w:tcBorders>
            <w:vAlign w:val="center"/>
          </w:tcPr>
          <w:p>
            <w:pPr>
              <w:jc w:val="center"/>
              <w:rPr>
                <w:bCs/>
                <w:color w:val="000000" w:themeColor="text1"/>
                <w:sz w:val="21"/>
                <w:szCs w:val="21"/>
                <w14:textFill>
                  <w14:solidFill>
                    <w14:schemeClr w14:val="tx1"/>
                  </w14:solidFill>
                </w14:textFill>
              </w:rPr>
            </w:pPr>
          </w:p>
        </w:tc>
      </w:tr>
      <w:tr>
        <w:tblPrEx>
          <w:tblLayout w:type="fixed"/>
          <w:tblCellMar>
            <w:top w:w="0" w:type="dxa"/>
            <w:left w:w="0" w:type="dxa"/>
            <w:bottom w:w="0" w:type="dxa"/>
            <w:right w:w="0" w:type="dxa"/>
          </w:tblCellMar>
        </w:tblPrEx>
        <w:trPr>
          <w:cantSplit/>
          <w:trHeight w:val="340" w:hRule="atLeast"/>
          <w:jc w:val="center"/>
        </w:trPr>
        <w:tc>
          <w:tcPr>
            <w:tcW w:w="609"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w:t>
            </w:r>
          </w:p>
        </w:tc>
        <w:tc>
          <w:tcPr>
            <w:tcW w:w="2067"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辅机冷却塔排污损失</w:t>
            </w:r>
          </w:p>
        </w:tc>
        <w:tc>
          <w:tcPr>
            <w:tcW w:w="900"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2.5</w:t>
            </w:r>
          </w:p>
        </w:tc>
        <w:tc>
          <w:tcPr>
            <w:tcW w:w="10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34"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2.5</w:t>
            </w:r>
          </w:p>
        </w:tc>
        <w:tc>
          <w:tcPr>
            <w:tcW w:w="2655" w:type="dxa"/>
            <w:tcBorders>
              <w:top w:val="single" w:color="auto" w:sz="4" w:space="0"/>
              <w:left w:val="nil"/>
              <w:bottom w:val="single" w:color="auto" w:sz="4" w:space="0"/>
              <w:right w:val="single" w:color="auto" w:sz="4" w:space="0"/>
            </w:tcBorders>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排至污水处理厂</w:t>
            </w:r>
          </w:p>
        </w:tc>
      </w:tr>
      <w:tr>
        <w:tblPrEx>
          <w:tblLayout w:type="fixed"/>
          <w:tblCellMar>
            <w:top w:w="0" w:type="dxa"/>
            <w:left w:w="0" w:type="dxa"/>
            <w:bottom w:w="0" w:type="dxa"/>
            <w:right w:w="0" w:type="dxa"/>
          </w:tblCellMar>
        </w:tblPrEx>
        <w:trPr>
          <w:cantSplit/>
          <w:trHeight w:val="340" w:hRule="atLeast"/>
          <w:jc w:val="center"/>
        </w:trPr>
        <w:tc>
          <w:tcPr>
            <w:tcW w:w="609"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w:t>
            </w:r>
          </w:p>
        </w:tc>
        <w:tc>
          <w:tcPr>
            <w:tcW w:w="2067"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锅炉补给水处理用水</w:t>
            </w:r>
          </w:p>
        </w:tc>
        <w:tc>
          <w:tcPr>
            <w:tcW w:w="900" w:type="dxa"/>
            <w:tcBorders>
              <w:top w:val="nil"/>
              <w:left w:val="nil"/>
              <w:bottom w:val="single" w:color="auto" w:sz="4" w:space="0"/>
              <w:right w:val="single" w:color="auto" w:sz="4" w:space="0"/>
            </w:tcBorders>
            <w:tcMar>
              <w:top w:w="20" w:type="dxa"/>
              <w:left w:w="20" w:type="dxa"/>
              <w:bottom w:w="0" w:type="dxa"/>
              <w:right w:w="20" w:type="dxa"/>
            </w:tcMar>
            <w:vAlign w:val="center"/>
          </w:tcPr>
          <w:p>
            <w:pPr>
              <w:shd w:val="clear" w:color="auto" w:fill="auto"/>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566</w:t>
            </w:r>
          </w:p>
        </w:tc>
        <w:tc>
          <w:tcPr>
            <w:tcW w:w="1066" w:type="dxa"/>
            <w:tcBorders>
              <w:top w:val="nil"/>
              <w:left w:val="nil"/>
              <w:bottom w:val="single" w:color="auto" w:sz="4" w:space="0"/>
              <w:right w:val="single" w:color="auto" w:sz="4" w:space="0"/>
            </w:tcBorders>
            <w:tcMar>
              <w:top w:w="20" w:type="dxa"/>
              <w:left w:w="20" w:type="dxa"/>
              <w:bottom w:w="0" w:type="dxa"/>
              <w:right w:w="20" w:type="dxa"/>
            </w:tcMar>
            <w:vAlign w:val="center"/>
          </w:tcPr>
          <w:p>
            <w:pPr>
              <w:shd w:val="clear" w:color="auto" w:fill="auto"/>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34" w:type="dxa"/>
            <w:tcBorders>
              <w:top w:val="nil"/>
              <w:left w:val="nil"/>
              <w:bottom w:val="single" w:color="auto" w:sz="4" w:space="0"/>
              <w:right w:val="single" w:color="auto" w:sz="4" w:space="0"/>
            </w:tcBorders>
            <w:tcMar>
              <w:top w:w="20" w:type="dxa"/>
              <w:left w:w="20" w:type="dxa"/>
              <w:bottom w:w="0" w:type="dxa"/>
              <w:right w:w="20" w:type="dxa"/>
            </w:tcMar>
            <w:vAlign w:val="center"/>
          </w:tcPr>
          <w:p>
            <w:pPr>
              <w:shd w:val="clear" w:color="auto" w:fill="auto"/>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566</w:t>
            </w:r>
          </w:p>
        </w:tc>
        <w:tc>
          <w:tcPr>
            <w:tcW w:w="2655" w:type="dxa"/>
            <w:tcBorders>
              <w:top w:val="single" w:color="auto" w:sz="4" w:space="0"/>
              <w:left w:val="nil"/>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其中消耗水量4</w:t>
            </w:r>
            <w:r>
              <w:rPr>
                <w:rFonts w:eastAsiaTheme="minorEastAsia"/>
                <w:bCs/>
                <w:color w:val="000000" w:themeColor="text1"/>
                <w:sz w:val="21"/>
                <w:szCs w:val="21"/>
                <w14:textFill>
                  <w14:solidFill>
                    <w14:schemeClr w14:val="tx1"/>
                  </w14:solidFill>
                </w14:textFill>
              </w:rPr>
              <w:t>50</w:t>
            </w:r>
            <w:r>
              <w:rPr>
                <w:bCs/>
                <w:color w:val="000000" w:themeColor="text1"/>
                <w:sz w:val="21"/>
                <w:szCs w:val="21"/>
                <w14:textFill>
                  <w14:solidFill>
                    <w14:schemeClr w14:val="tx1"/>
                  </w14:solidFill>
                </w14:textFill>
              </w:rPr>
              <w:t>m³/h；回用</w:t>
            </w:r>
            <w:r>
              <w:rPr>
                <w:rFonts w:eastAsiaTheme="minorEastAsia"/>
                <w:bCs/>
                <w:color w:val="000000" w:themeColor="text1"/>
                <w:sz w:val="21"/>
                <w:szCs w:val="21"/>
                <w14:textFill>
                  <w14:solidFill>
                    <w14:schemeClr w14:val="tx1"/>
                  </w14:solidFill>
                </w14:textFill>
              </w:rPr>
              <w:t>52</w:t>
            </w:r>
            <w:r>
              <w:rPr>
                <w:bCs/>
                <w:color w:val="000000" w:themeColor="text1"/>
                <w:sz w:val="21"/>
                <w:szCs w:val="21"/>
                <w14:textFill>
                  <w14:solidFill>
                    <w14:schemeClr w14:val="tx1"/>
                  </w14:solidFill>
                </w14:textFill>
              </w:rPr>
              <w:t>m³/h；排至</w:t>
            </w:r>
            <w:r>
              <w:rPr>
                <w:rFonts w:hint="eastAsia" w:ascii="宋体" w:hAnsi="宋体" w:eastAsia="宋体" w:cs="宋体"/>
                <w:bCs/>
                <w:color w:val="000000" w:themeColor="text1"/>
                <w:sz w:val="21"/>
                <w:szCs w:val="21"/>
                <w14:textFill>
                  <w14:solidFill>
                    <w14:schemeClr w14:val="tx1"/>
                  </w14:solidFill>
                </w14:textFill>
              </w:rPr>
              <w:t>制浆厂</w:t>
            </w:r>
            <w:r>
              <w:rPr>
                <w:rFonts w:eastAsiaTheme="minorEastAsia"/>
                <w:bCs/>
                <w:color w:val="000000" w:themeColor="text1"/>
                <w:sz w:val="21"/>
                <w:szCs w:val="21"/>
                <w14:textFill>
                  <w14:solidFill>
                    <w14:schemeClr w14:val="tx1"/>
                  </w14:solidFill>
                </w14:textFill>
              </w:rPr>
              <w:t>34.69</w:t>
            </w:r>
            <w:r>
              <w:rPr>
                <w:bCs/>
                <w:color w:val="000000" w:themeColor="text1"/>
                <w:sz w:val="21"/>
                <w:szCs w:val="21"/>
                <w14:textFill>
                  <w14:solidFill>
                    <w14:schemeClr w14:val="tx1"/>
                  </w14:solidFill>
                </w14:textFill>
              </w:rPr>
              <w:t>³/h</w:t>
            </w:r>
            <w:r>
              <w:rPr>
                <w:rFonts w:hint="eastAsia" w:ascii="宋体" w:hAnsi="宋体" w:eastAsia="宋体" w:cs="宋体"/>
                <w:bCs/>
                <w:color w:val="000000" w:themeColor="text1"/>
                <w:sz w:val="21"/>
                <w:szCs w:val="21"/>
                <w14:textFill>
                  <w14:solidFill>
                    <w14:schemeClr w14:val="tx1"/>
                  </w14:solidFill>
                </w14:textFill>
              </w:rPr>
              <w:t>，达标排放2</w:t>
            </w:r>
            <w:r>
              <w:rPr>
                <w:rFonts w:ascii="宋体" w:hAnsi="宋体" w:eastAsia="宋体" w:cs="宋体"/>
                <w:bCs/>
                <w:color w:val="000000" w:themeColor="text1"/>
                <w:sz w:val="21"/>
                <w:szCs w:val="21"/>
                <w14:textFill>
                  <w14:solidFill>
                    <w14:schemeClr w14:val="tx1"/>
                  </w14:solidFill>
                </w14:textFill>
              </w:rPr>
              <w:t>9.31</w:t>
            </w:r>
            <w:r>
              <w:rPr>
                <w:bCs/>
                <w:color w:val="000000" w:themeColor="text1"/>
                <w:sz w:val="21"/>
                <w:szCs w:val="21"/>
                <w14:textFill>
                  <w14:solidFill>
                    <w14:schemeClr w14:val="tx1"/>
                  </w14:solidFill>
                </w14:textFill>
              </w:rPr>
              <w:t>³/h</w:t>
            </w:r>
            <w:r>
              <w:rPr>
                <w:rFonts w:hint="eastAsia" w:ascii="宋体" w:hAnsi="宋体" w:eastAsia="宋体" w:cs="宋体"/>
                <w:bCs/>
                <w:color w:val="000000" w:themeColor="text1"/>
                <w:sz w:val="21"/>
                <w:szCs w:val="21"/>
                <w14:textFill>
                  <w14:solidFill>
                    <w14:schemeClr w14:val="tx1"/>
                  </w14:solidFill>
                </w14:textFill>
              </w:rPr>
              <w:t>。</w:t>
            </w:r>
          </w:p>
        </w:tc>
      </w:tr>
      <w:tr>
        <w:tblPrEx>
          <w:tblLayout w:type="fixed"/>
          <w:tblCellMar>
            <w:top w:w="0" w:type="dxa"/>
            <w:left w:w="0" w:type="dxa"/>
            <w:bottom w:w="0" w:type="dxa"/>
            <w:right w:w="0" w:type="dxa"/>
          </w:tblCellMar>
        </w:tblPrEx>
        <w:trPr>
          <w:cantSplit/>
          <w:trHeight w:val="340" w:hRule="atLeast"/>
          <w:jc w:val="center"/>
        </w:trPr>
        <w:tc>
          <w:tcPr>
            <w:tcW w:w="609"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5</w:t>
            </w:r>
          </w:p>
        </w:tc>
        <w:tc>
          <w:tcPr>
            <w:tcW w:w="2067"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未预见用水</w:t>
            </w:r>
          </w:p>
        </w:tc>
        <w:tc>
          <w:tcPr>
            <w:tcW w:w="900" w:type="dxa"/>
            <w:tcBorders>
              <w:top w:val="nil"/>
              <w:left w:val="nil"/>
              <w:bottom w:val="single" w:color="auto" w:sz="4" w:space="0"/>
              <w:right w:val="single" w:color="auto" w:sz="4" w:space="0"/>
            </w:tcBorders>
            <w:tcMar>
              <w:top w:w="20" w:type="dxa"/>
              <w:left w:w="20" w:type="dxa"/>
              <w:bottom w:w="0" w:type="dxa"/>
              <w:right w:w="20" w:type="dxa"/>
            </w:tcMar>
            <w:vAlign w:val="center"/>
          </w:tcPr>
          <w:p>
            <w:pPr>
              <w:shd w:val="clear" w:color="auto" w:fill="auto"/>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30</w:t>
            </w:r>
          </w:p>
        </w:tc>
        <w:tc>
          <w:tcPr>
            <w:tcW w:w="1066" w:type="dxa"/>
            <w:tcBorders>
              <w:top w:val="nil"/>
              <w:left w:val="nil"/>
              <w:bottom w:val="single" w:color="auto" w:sz="4" w:space="0"/>
              <w:right w:val="single" w:color="auto" w:sz="4" w:space="0"/>
            </w:tcBorders>
            <w:tcMar>
              <w:top w:w="20" w:type="dxa"/>
              <w:left w:w="20" w:type="dxa"/>
              <w:bottom w:w="0" w:type="dxa"/>
              <w:right w:w="20" w:type="dxa"/>
            </w:tcMar>
            <w:vAlign w:val="center"/>
          </w:tcPr>
          <w:p>
            <w:pPr>
              <w:shd w:val="clear" w:color="auto" w:fill="auto"/>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34" w:type="dxa"/>
            <w:tcBorders>
              <w:top w:val="nil"/>
              <w:left w:val="nil"/>
              <w:bottom w:val="single" w:color="auto" w:sz="4" w:space="0"/>
              <w:right w:val="single" w:color="auto" w:sz="4" w:space="0"/>
            </w:tcBorders>
            <w:tcMar>
              <w:top w:w="20" w:type="dxa"/>
              <w:left w:w="20" w:type="dxa"/>
              <w:bottom w:w="0" w:type="dxa"/>
              <w:right w:w="20" w:type="dxa"/>
            </w:tcMar>
            <w:vAlign w:val="center"/>
          </w:tcPr>
          <w:p>
            <w:pPr>
              <w:shd w:val="clear" w:color="auto" w:fill="auto"/>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30</w:t>
            </w:r>
          </w:p>
        </w:tc>
        <w:tc>
          <w:tcPr>
            <w:tcW w:w="2655" w:type="dxa"/>
            <w:tcBorders>
              <w:top w:val="single" w:color="auto" w:sz="4" w:space="0"/>
              <w:left w:val="nil"/>
              <w:bottom w:val="single" w:color="auto" w:sz="4" w:space="0"/>
              <w:right w:val="single" w:color="auto" w:sz="4" w:space="0"/>
            </w:tcBorders>
            <w:vAlign w:val="center"/>
          </w:tcPr>
          <w:p>
            <w:pPr>
              <w:jc w:val="center"/>
              <w:rPr>
                <w:bCs/>
                <w:color w:val="000000" w:themeColor="text1"/>
                <w:sz w:val="21"/>
                <w:szCs w:val="21"/>
                <w14:textFill>
                  <w14:solidFill>
                    <w14:schemeClr w14:val="tx1"/>
                  </w14:solidFill>
                </w14:textFill>
              </w:rPr>
            </w:pPr>
          </w:p>
        </w:tc>
      </w:tr>
      <w:tr>
        <w:tblPrEx>
          <w:tblLayout w:type="fixed"/>
          <w:tblCellMar>
            <w:top w:w="0" w:type="dxa"/>
            <w:left w:w="0" w:type="dxa"/>
            <w:bottom w:w="0" w:type="dxa"/>
            <w:right w:w="0" w:type="dxa"/>
          </w:tblCellMar>
        </w:tblPrEx>
        <w:trPr>
          <w:trHeight w:val="340" w:hRule="atLeast"/>
          <w:jc w:val="center"/>
        </w:trPr>
        <w:tc>
          <w:tcPr>
            <w:tcW w:w="609"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6</w:t>
            </w:r>
          </w:p>
        </w:tc>
        <w:tc>
          <w:tcPr>
            <w:tcW w:w="2067"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生活用水</w:t>
            </w:r>
          </w:p>
        </w:tc>
        <w:tc>
          <w:tcPr>
            <w:tcW w:w="900" w:type="dxa"/>
            <w:tcBorders>
              <w:top w:val="nil"/>
              <w:left w:val="nil"/>
              <w:bottom w:val="single" w:color="auto" w:sz="4" w:space="0"/>
              <w:right w:val="single" w:color="auto" w:sz="4" w:space="0"/>
            </w:tcBorders>
            <w:tcMar>
              <w:top w:w="20" w:type="dxa"/>
              <w:left w:w="20" w:type="dxa"/>
              <w:bottom w:w="0" w:type="dxa"/>
              <w:right w:w="20" w:type="dxa"/>
            </w:tcMar>
            <w:vAlign w:val="center"/>
          </w:tcPr>
          <w:p>
            <w:pPr>
              <w:shd w:val="clear" w:color="auto" w:fill="auto"/>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w:t>
            </w:r>
          </w:p>
        </w:tc>
        <w:tc>
          <w:tcPr>
            <w:tcW w:w="1066" w:type="dxa"/>
            <w:tcBorders>
              <w:top w:val="nil"/>
              <w:left w:val="nil"/>
              <w:bottom w:val="single" w:color="auto" w:sz="4" w:space="0"/>
              <w:right w:val="single" w:color="auto" w:sz="4" w:space="0"/>
            </w:tcBorders>
            <w:tcMar>
              <w:top w:w="20" w:type="dxa"/>
              <w:left w:w="20" w:type="dxa"/>
              <w:bottom w:w="0" w:type="dxa"/>
              <w:right w:w="20" w:type="dxa"/>
            </w:tcMar>
            <w:vAlign w:val="center"/>
          </w:tcPr>
          <w:p>
            <w:pPr>
              <w:shd w:val="clear" w:color="auto" w:fill="auto"/>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34" w:type="dxa"/>
            <w:tcBorders>
              <w:top w:val="nil"/>
              <w:left w:val="nil"/>
              <w:bottom w:val="single" w:color="auto" w:sz="4" w:space="0"/>
              <w:right w:val="single" w:color="auto" w:sz="4" w:space="0"/>
            </w:tcBorders>
            <w:tcMar>
              <w:top w:w="20" w:type="dxa"/>
              <w:left w:w="20" w:type="dxa"/>
              <w:bottom w:w="0" w:type="dxa"/>
              <w:right w:w="20" w:type="dxa"/>
            </w:tcMar>
            <w:vAlign w:val="center"/>
          </w:tcPr>
          <w:p>
            <w:pPr>
              <w:shd w:val="clear" w:color="auto" w:fill="auto"/>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w:t>
            </w:r>
          </w:p>
        </w:tc>
        <w:tc>
          <w:tcPr>
            <w:tcW w:w="2655" w:type="dxa"/>
            <w:tcBorders>
              <w:top w:val="single" w:color="auto" w:sz="4" w:space="0"/>
              <w:left w:val="nil"/>
              <w:bottom w:val="single" w:color="auto" w:sz="4" w:space="0"/>
              <w:right w:val="single" w:color="auto" w:sz="4" w:space="0"/>
            </w:tcBorders>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其中0.7m³/h排至污水处理厂</w:t>
            </w:r>
          </w:p>
        </w:tc>
      </w:tr>
      <w:tr>
        <w:tblPrEx>
          <w:tblLayout w:type="fixed"/>
          <w:tblCellMar>
            <w:top w:w="0" w:type="dxa"/>
            <w:left w:w="0" w:type="dxa"/>
            <w:bottom w:w="0" w:type="dxa"/>
            <w:right w:w="0" w:type="dxa"/>
          </w:tblCellMar>
        </w:tblPrEx>
        <w:trPr>
          <w:trHeight w:val="340" w:hRule="atLeast"/>
          <w:jc w:val="center"/>
        </w:trPr>
        <w:tc>
          <w:tcPr>
            <w:tcW w:w="609"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p>
        </w:tc>
        <w:tc>
          <w:tcPr>
            <w:tcW w:w="2067"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小计</w:t>
            </w:r>
          </w:p>
        </w:tc>
        <w:tc>
          <w:tcPr>
            <w:tcW w:w="900" w:type="dxa"/>
            <w:tcBorders>
              <w:top w:val="nil"/>
              <w:left w:val="nil"/>
              <w:bottom w:val="single" w:color="auto" w:sz="4" w:space="0"/>
              <w:right w:val="single" w:color="auto" w:sz="4" w:space="0"/>
            </w:tcBorders>
            <w:tcMar>
              <w:top w:w="20" w:type="dxa"/>
              <w:left w:w="20" w:type="dxa"/>
              <w:bottom w:w="0" w:type="dxa"/>
              <w:right w:w="20" w:type="dxa"/>
            </w:tcMar>
            <w:vAlign w:val="center"/>
          </w:tcPr>
          <w:p>
            <w:pPr>
              <w:shd w:val="clear" w:color="auto" w:fill="auto"/>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612.8</w:t>
            </w:r>
          </w:p>
        </w:tc>
        <w:tc>
          <w:tcPr>
            <w:tcW w:w="1066" w:type="dxa"/>
            <w:tcBorders>
              <w:top w:val="nil"/>
              <w:left w:val="nil"/>
              <w:bottom w:val="single" w:color="auto" w:sz="4" w:space="0"/>
              <w:right w:val="single" w:color="auto" w:sz="4" w:space="0"/>
            </w:tcBorders>
            <w:tcMar>
              <w:top w:w="20" w:type="dxa"/>
              <w:left w:w="20" w:type="dxa"/>
              <w:bottom w:w="0" w:type="dxa"/>
              <w:right w:w="20" w:type="dxa"/>
            </w:tcMar>
            <w:vAlign w:val="center"/>
          </w:tcPr>
          <w:p>
            <w:pPr>
              <w:shd w:val="clear" w:color="auto" w:fill="auto"/>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34" w:type="dxa"/>
            <w:tcBorders>
              <w:top w:val="nil"/>
              <w:left w:val="nil"/>
              <w:bottom w:val="single" w:color="auto" w:sz="4" w:space="0"/>
              <w:right w:val="single" w:color="auto" w:sz="4" w:space="0"/>
            </w:tcBorders>
            <w:tcMar>
              <w:top w:w="20" w:type="dxa"/>
              <w:left w:w="20" w:type="dxa"/>
              <w:bottom w:w="0" w:type="dxa"/>
              <w:right w:w="20" w:type="dxa"/>
            </w:tcMar>
            <w:vAlign w:val="center"/>
          </w:tcPr>
          <w:p>
            <w:pPr>
              <w:shd w:val="clear" w:color="auto" w:fill="auto"/>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612.8</w:t>
            </w:r>
          </w:p>
        </w:tc>
        <w:tc>
          <w:tcPr>
            <w:tcW w:w="2655" w:type="dxa"/>
            <w:tcBorders>
              <w:top w:val="single" w:color="auto" w:sz="4" w:space="0"/>
              <w:left w:val="nil"/>
              <w:bottom w:val="single" w:color="auto" w:sz="4" w:space="0"/>
              <w:right w:val="single" w:color="auto" w:sz="4" w:space="0"/>
            </w:tcBorders>
            <w:vAlign w:val="center"/>
          </w:tcPr>
          <w:p>
            <w:pPr>
              <w:jc w:val="center"/>
              <w:rPr>
                <w:bCs/>
                <w:color w:val="000000" w:themeColor="text1"/>
                <w:sz w:val="21"/>
                <w:szCs w:val="21"/>
                <w14:textFill>
                  <w14:solidFill>
                    <w14:schemeClr w14:val="tx1"/>
                  </w14:solidFill>
                </w14:textFill>
              </w:rPr>
            </w:pPr>
          </w:p>
        </w:tc>
      </w:tr>
      <w:tr>
        <w:tblPrEx>
          <w:tblLayout w:type="fixed"/>
          <w:tblCellMar>
            <w:top w:w="0" w:type="dxa"/>
            <w:left w:w="0" w:type="dxa"/>
            <w:bottom w:w="0" w:type="dxa"/>
            <w:right w:w="0" w:type="dxa"/>
          </w:tblCellMar>
        </w:tblPrEx>
        <w:trPr>
          <w:trHeight w:val="340" w:hRule="atLeast"/>
          <w:jc w:val="center"/>
        </w:trPr>
        <w:tc>
          <w:tcPr>
            <w:tcW w:w="609" w:type="dxa"/>
            <w:tcBorders>
              <w:top w:val="nil"/>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复用水</w:t>
            </w:r>
          </w:p>
        </w:tc>
        <w:tc>
          <w:tcPr>
            <w:tcW w:w="2067"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p>
        </w:tc>
        <w:tc>
          <w:tcPr>
            <w:tcW w:w="900"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p>
        </w:tc>
        <w:tc>
          <w:tcPr>
            <w:tcW w:w="1066"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p>
        </w:tc>
        <w:tc>
          <w:tcPr>
            <w:tcW w:w="1034" w:type="dxa"/>
            <w:tcBorders>
              <w:top w:val="nil"/>
              <w:left w:val="nil"/>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p>
        </w:tc>
        <w:tc>
          <w:tcPr>
            <w:tcW w:w="2655" w:type="dxa"/>
            <w:tcBorders>
              <w:top w:val="single" w:color="auto" w:sz="4" w:space="0"/>
              <w:left w:val="nil"/>
              <w:bottom w:val="single" w:color="auto" w:sz="4" w:space="0"/>
              <w:right w:val="single" w:color="auto" w:sz="4" w:space="0"/>
            </w:tcBorders>
            <w:vAlign w:val="center"/>
          </w:tcPr>
          <w:p>
            <w:pPr>
              <w:jc w:val="center"/>
              <w:rPr>
                <w:bCs/>
                <w:color w:val="000000" w:themeColor="text1"/>
                <w:sz w:val="21"/>
                <w:szCs w:val="21"/>
                <w14:textFill>
                  <w14:solidFill>
                    <w14:schemeClr w14:val="tx1"/>
                  </w14:solidFill>
                </w14:textFill>
              </w:rPr>
            </w:pPr>
          </w:p>
        </w:tc>
      </w:tr>
      <w:tr>
        <w:tblPrEx>
          <w:tblLayout w:type="fixed"/>
          <w:tblCellMar>
            <w:top w:w="0" w:type="dxa"/>
            <w:left w:w="0" w:type="dxa"/>
            <w:bottom w:w="0" w:type="dxa"/>
            <w:right w:w="0" w:type="dxa"/>
          </w:tblCellMar>
        </w:tblPrEx>
        <w:trPr>
          <w:trHeight w:val="340" w:hRule="atLeast"/>
          <w:jc w:val="center"/>
        </w:trPr>
        <w:tc>
          <w:tcPr>
            <w:tcW w:w="60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w:t>
            </w:r>
          </w:p>
        </w:tc>
        <w:tc>
          <w:tcPr>
            <w:tcW w:w="206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灰场喷洒用水</w:t>
            </w:r>
          </w:p>
        </w:tc>
        <w:tc>
          <w:tcPr>
            <w:tcW w:w="90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w:t>
            </w:r>
          </w:p>
        </w:tc>
        <w:tc>
          <w:tcPr>
            <w:tcW w:w="106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34"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w:t>
            </w:r>
          </w:p>
        </w:tc>
        <w:tc>
          <w:tcPr>
            <w:tcW w:w="265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化水浓水</w:t>
            </w:r>
          </w:p>
        </w:tc>
      </w:tr>
      <w:tr>
        <w:tblPrEx>
          <w:tblLayout w:type="fixed"/>
          <w:tblCellMar>
            <w:top w:w="0" w:type="dxa"/>
            <w:left w:w="0" w:type="dxa"/>
            <w:bottom w:w="0" w:type="dxa"/>
            <w:right w:w="0" w:type="dxa"/>
          </w:tblCellMar>
        </w:tblPrEx>
        <w:trPr>
          <w:trHeight w:val="340" w:hRule="atLeast"/>
          <w:jc w:val="center"/>
        </w:trPr>
        <w:tc>
          <w:tcPr>
            <w:tcW w:w="60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w:t>
            </w:r>
          </w:p>
        </w:tc>
        <w:tc>
          <w:tcPr>
            <w:tcW w:w="206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灰办湿</w:t>
            </w:r>
          </w:p>
        </w:tc>
        <w:tc>
          <w:tcPr>
            <w:tcW w:w="90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w:t>
            </w:r>
            <w:r>
              <w:rPr>
                <w:rFonts w:hint="eastAsia" w:ascii="宋体" w:hAnsi="宋体" w:eastAsia="宋体" w:cs="宋体"/>
                <w:bCs/>
                <w:color w:val="000000" w:themeColor="text1"/>
                <w:sz w:val="21"/>
                <w:szCs w:val="21"/>
                <w:lang w:val="en-US" w:eastAsia="zh-CN"/>
                <w14:textFill>
                  <w14:solidFill>
                    <w14:schemeClr w14:val="tx1"/>
                  </w14:solidFill>
                </w14:textFill>
              </w:rPr>
              <w:t>.</w:t>
            </w:r>
            <w:r>
              <w:rPr>
                <w:rFonts w:hint="eastAsia" w:ascii="宋体" w:hAnsi="宋体" w:eastAsia="宋体" w:cs="宋体"/>
                <w:bCs/>
                <w:color w:val="000000" w:themeColor="text1"/>
                <w:sz w:val="21"/>
                <w:szCs w:val="21"/>
                <w14:textFill>
                  <w14:solidFill>
                    <w14:schemeClr w14:val="tx1"/>
                  </w14:solidFill>
                </w14:textFill>
              </w:rPr>
              <w:t>6</w:t>
            </w:r>
          </w:p>
        </w:tc>
        <w:tc>
          <w:tcPr>
            <w:tcW w:w="106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34"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w:t>
            </w:r>
          </w:p>
        </w:tc>
        <w:tc>
          <w:tcPr>
            <w:tcW w:w="265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化水浓水</w:t>
            </w:r>
          </w:p>
        </w:tc>
      </w:tr>
      <w:tr>
        <w:tblPrEx>
          <w:tblLayout w:type="fixed"/>
          <w:tblCellMar>
            <w:top w:w="0" w:type="dxa"/>
            <w:left w:w="0" w:type="dxa"/>
            <w:bottom w:w="0" w:type="dxa"/>
            <w:right w:w="0" w:type="dxa"/>
          </w:tblCellMar>
        </w:tblPrEx>
        <w:trPr>
          <w:trHeight w:val="340" w:hRule="atLeast"/>
          <w:jc w:val="center"/>
        </w:trPr>
        <w:tc>
          <w:tcPr>
            <w:tcW w:w="60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w:t>
            </w:r>
          </w:p>
        </w:tc>
        <w:tc>
          <w:tcPr>
            <w:tcW w:w="206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制浆用水</w:t>
            </w:r>
          </w:p>
        </w:tc>
        <w:tc>
          <w:tcPr>
            <w:tcW w:w="90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rFonts w:eastAsiaTheme="minorEastAsia"/>
                <w:bCs/>
                <w:color w:val="000000" w:themeColor="text1"/>
                <w:sz w:val="2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20.09</w:t>
            </w:r>
          </w:p>
        </w:tc>
        <w:tc>
          <w:tcPr>
            <w:tcW w:w="106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34"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rFonts w:eastAsiaTheme="minorEastAsia"/>
                <w:bCs/>
                <w:color w:val="000000" w:themeColor="text1"/>
                <w:sz w:val="2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20.09</w:t>
            </w:r>
          </w:p>
        </w:tc>
        <w:tc>
          <w:tcPr>
            <w:tcW w:w="265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化水浓水</w:t>
            </w:r>
          </w:p>
        </w:tc>
      </w:tr>
      <w:tr>
        <w:tblPrEx>
          <w:tblLayout w:type="fixed"/>
          <w:tblCellMar>
            <w:top w:w="0" w:type="dxa"/>
            <w:left w:w="0" w:type="dxa"/>
            <w:bottom w:w="0" w:type="dxa"/>
            <w:right w:w="0" w:type="dxa"/>
          </w:tblCellMar>
        </w:tblPrEx>
        <w:trPr>
          <w:trHeight w:val="340" w:hRule="atLeast"/>
          <w:jc w:val="center"/>
        </w:trPr>
        <w:tc>
          <w:tcPr>
            <w:tcW w:w="609"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w:t>
            </w:r>
          </w:p>
        </w:tc>
        <w:tc>
          <w:tcPr>
            <w:tcW w:w="206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脱硫脱硝工艺用水</w:t>
            </w:r>
          </w:p>
        </w:tc>
        <w:tc>
          <w:tcPr>
            <w:tcW w:w="90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rFonts w:eastAsiaTheme="minorEastAsia"/>
                <w:bCs/>
                <w:color w:val="000000" w:themeColor="text1"/>
                <w:sz w:val="2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30</w:t>
            </w:r>
          </w:p>
        </w:tc>
        <w:tc>
          <w:tcPr>
            <w:tcW w:w="106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034"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240" w:lineRule="atLeast"/>
              <w:jc w:val="center"/>
              <w:rPr>
                <w:rFonts w:eastAsiaTheme="minorEastAsia"/>
                <w:bCs/>
                <w:color w:val="000000" w:themeColor="text1"/>
                <w:sz w:val="2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30</w:t>
            </w:r>
          </w:p>
        </w:tc>
        <w:tc>
          <w:tcPr>
            <w:tcW w:w="265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化水</w:t>
            </w:r>
            <w:r>
              <w:rPr>
                <w:rFonts w:hint="eastAsia" w:ascii="宋体" w:hAnsi="宋体" w:eastAsia="宋体" w:cs="宋体"/>
                <w:bCs/>
                <w:color w:val="000000" w:themeColor="text1"/>
                <w:sz w:val="21"/>
                <w:szCs w:val="21"/>
                <w14:textFill>
                  <w14:solidFill>
                    <w14:schemeClr w14:val="tx1"/>
                  </w14:solidFill>
                </w14:textFill>
              </w:rPr>
              <w:t>废水</w:t>
            </w:r>
          </w:p>
        </w:tc>
      </w:tr>
    </w:tbl>
    <w:p>
      <w:pPr>
        <w:pStyle w:val="2"/>
        <w:spacing w:beforeLines="100" w:line="360" w:lineRule="auto"/>
        <w:ind w:firstLine="480" w:firstLineChars="200"/>
        <w:jc w:val="both"/>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本期电厂2×25MW背压机组夏季工况耗水量</w:t>
      </w:r>
      <w:r>
        <w:rPr>
          <w:rFonts w:eastAsia="宋体"/>
          <w:color w:val="000000" w:themeColor="text1"/>
          <w:szCs w:val="24"/>
          <w14:textFill>
            <w14:solidFill>
              <w14:schemeClr w14:val="tx1"/>
            </w14:solidFill>
          </w14:textFill>
        </w:rPr>
        <w:t>628</w:t>
      </w:r>
      <w:r>
        <w:rPr>
          <w:rFonts w:hint="eastAsia" w:eastAsia="宋体"/>
          <w:color w:val="000000" w:themeColor="text1"/>
          <w:szCs w:val="24"/>
          <w14:textFill>
            <w14:solidFill>
              <w14:schemeClr w14:val="tx1"/>
            </w14:solidFill>
          </w14:textFill>
        </w:rPr>
        <w:t>.4m</w:t>
      </w:r>
      <w:r>
        <w:rPr>
          <w:rFonts w:hint="eastAsia" w:eastAsia="宋体"/>
          <w:color w:val="000000" w:themeColor="text1"/>
          <w:szCs w:val="24"/>
          <w:vertAlign w:val="superscript"/>
          <w:lang w:val="en-US"/>
          <w14:textFill>
            <w14:solidFill>
              <w14:schemeClr w14:val="tx1"/>
            </w14:solidFill>
          </w14:textFill>
        </w:rPr>
        <w:t>3</w:t>
      </w:r>
      <w:r>
        <w:rPr>
          <w:rFonts w:hint="eastAsia" w:eastAsia="宋体"/>
          <w:color w:val="000000" w:themeColor="text1"/>
          <w:szCs w:val="24"/>
          <w14:textFill>
            <w14:solidFill>
              <w14:schemeClr w14:val="tx1"/>
            </w14:solidFill>
          </w14:textFill>
        </w:rPr>
        <w:t>/h，冬季供热工况耗水量</w:t>
      </w:r>
      <w:r>
        <w:rPr>
          <w:rFonts w:eastAsia="宋体"/>
          <w:color w:val="000000" w:themeColor="text1"/>
          <w:szCs w:val="24"/>
          <w14:textFill>
            <w14:solidFill>
              <w14:schemeClr w14:val="tx1"/>
            </w14:solidFill>
          </w14:textFill>
        </w:rPr>
        <w:t>612</w:t>
      </w:r>
      <w:r>
        <w:rPr>
          <w:rFonts w:hint="eastAsia" w:eastAsia="宋体"/>
          <w:color w:val="000000" w:themeColor="text1"/>
          <w:szCs w:val="24"/>
          <w14:textFill>
            <w14:solidFill>
              <w14:schemeClr w14:val="tx1"/>
            </w14:solidFill>
          </w14:textFill>
        </w:rPr>
        <w:t>.8m</w:t>
      </w:r>
      <w:r>
        <w:rPr>
          <w:rFonts w:hint="eastAsia" w:eastAsia="宋体"/>
          <w:color w:val="000000" w:themeColor="text1"/>
          <w:szCs w:val="24"/>
          <w:vertAlign w:val="superscript"/>
          <w:lang w:val="en-US"/>
          <w14:textFill>
            <w14:solidFill>
              <w14:schemeClr w14:val="tx1"/>
            </w14:solidFill>
          </w14:textFill>
        </w:rPr>
        <w:t>3</w:t>
      </w:r>
      <w:r>
        <w:rPr>
          <w:rFonts w:hint="eastAsia" w:eastAsia="宋体"/>
          <w:color w:val="000000" w:themeColor="text1"/>
          <w:szCs w:val="24"/>
          <w14:textFill>
            <w14:solidFill>
              <w14:schemeClr w14:val="tx1"/>
            </w14:solidFill>
          </w14:textFill>
        </w:rPr>
        <w:t>/h，耗水指标0.602m</w:t>
      </w:r>
      <w:r>
        <w:rPr>
          <w:rFonts w:hint="eastAsia" w:eastAsia="宋体"/>
          <w:color w:val="000000" w:themeColor="text1"/>
          <w:szCs w:val="24"/>
          <w:vertAlign w:val="superscript"/>
          <w:lang w:val="en-US"/>
          <w14:textFill>
            <w14:solidFill>
              <w14:schemeClr w14:val="tx1"/>
            </w14:solidFill>
          </w14:textFill>
        </w:rPr>
        <w:t>3</w:t>
      </w:r>
      <w:r>
        <w:rPr>
          <w:rFonts w:hint="eastAsia" w:eastAsia="宋体"/>
          <w:color w:val="000000" w:themeColor="text1"/>
          <w:szCs w:val="24"/>
          <w14:textFill>
            <w14:solidFill>
              <w14:schemeClr w14:val="tx1"/>
            </w14:solidFill>
          </w14:textFill>
        </w:rPr>
        <w:t>/s.GW （不含外供蒸汽产生的原水量），年用水量为</w:t>
      </w:r>
      <w:r>
        <w:rPr>
          <w:rFonts w:eastAsia="宋体"/>
          <w:color w:val="000000" w:themeColor="text1"/>
          <w:szCs w:val="24"/>
          <w14:textFill>
            <w14:solidFill>
              <w14:schemeClr w14:val="tx1"/>
            </w14:solidFill>
          </w14:textFill>
        </w:rPr>
        <w:t>341.33</w:t>
      </w:r>
      <w:r>
        <w:rPr>
          <w:rFonts w:hint="eastAsia" w:eastAsia="宋体"/>
          <w:color w:val="000000" w:themeColor="text1"/>
          <w:szCs w:val="24"/>
          <w14:textFill>
            <w14:solidFill>
              <w14:schemeClr w14:val="tx1"/>
            </w14:solidFill>
          </w14:textFill>
        </w:rPr>
        <w:t>×104m</w:t>
      </w:r>
      <w:r>
        <w:rPr>
          <w:rFonts w:hint="eastAsia" w:eastAsia="宋体"/>
          <w:color w:val="000000" w:themeColor="text1"/>
          <w:szCs w:val="24"/>
          <w:vertAlign w:val="superscript"/>
          <w:lang w:val="en-US"/>
          <w14:textFill>
            <w14:solidFill>
              <w14:schemeClr w14:val="tx1"/>
            </w14:solidFill>
          </w14:textFill>
        </w:rPr>
        <w:t>3</w:t>
      </w:r>
      <w:r>
        <w:rPr>
          <w:rFonts w:hint="eastAsia" w:eastAsia="宋体"/>
          <w:color w:val="000000" w:themeColor="text1"/>
          <w:szCs w:val="24"/>
          <w14:textFill>
            <w14:solidFill>
              <w14:schemeClr w14:val="tx1"/>
            </w14:solidFill>
          </w14:textFill>
        </w:rPr>
        <w:t>/a(按机组年运行小时数</w:t>
      </w:r>
      <w:r>
        <w:rPr>
          <w:rFonts w:eastAsia="宋体"/>
          <w:color w:val="000000" w:themeColor="text1"/>
          <w:szCs w:val="24"/>
          <w14:textFill>
            <w14:solidFill>
              <w14:schemeClr w14:val="tx1"/>
            </w14:solidFill>
          </w14:textFill>
        </w:rPr>
        <w:t>55</w:t>
      </w:r>
      <w:r>
        <w:rPr>
          <w:rFonts w:hint="eastAsia" w:eastAsia="宋体"/>
          <w:color w:val="000000" w:themeColor="text1"/>
          <w:szCs w:val="24"/>
          <w14:textFill>
            <w14:solidFill>
              <w14:schemeClr w14:val="tx1"/>
            </w14:solidFill>
          </w14:textFill>
        </w:rPr>
        <w:t>00计)。</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2.2.9.</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3厂外补给水系统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lang w:val="zh-CN"/>
          <w14:textFill>
            <w14:solidFill>
              <w14:schemeClr w14:val="tx1"/>
            </w14:solidFill>
          </w14:textFill>
        </w:rPr>
      </w:pPr>
      <w:r>
        <w:rPr>
          <w:rFonts w:hint="default" w:ascii="Times New Roman" w:hAnsi="Times New Roman" w:cs="Times New Roman"/>
          <w:b w:val="0"/>
          <w:bCs/>
          <w:color w:val="000000" w:themeColor="text1"/>
          <w:lang w:val="zh-CN"/>
          <w14:textFill>
            <w14:solidFill>
              <w14:schemeClr w14:val="tx1"/>
            </w14:solidFill>
          </w14:textFill>
        </w:rPr>
        <w:t>补充水量：</w:t>
      </w:r>
      <w:r>
        <w:rPr>
          <w:rFonts w:hint="default" w:ascii="Times New Roman" w:hAnsi="Times New Roman" w:cs="Times New Roman"/>
          <w:b w:val="0"/>
          <w:bCs/>
          <w:color w:val="000000" w:themeColor="text1"/>
          <w14:textFill>
            <w14:solidFill>
              <w14:schemeClr w14:val="tx1"/>
            </w14:solidFill>
          </w14:textFill>
        </w:rPr>
        <w:t>本期机组夏季工况耗水量</w:t>
      </w:r>
      <w:r>
        <w:rPr>
          <w:rFonts w:hint="eastAsia" w:eastAsia="宋体" w:cs="Times New Roman"/>
          <w:b w:val="0"/>
          <w:bCs/>
          <w:color w:val="000000" w:themeColor="text1"/>
          <w:lang w:val="en-US" w:eastAsia="zh-CN"/>
          <w14:textFill>
            <w14:solidFill>
              <w14:schemeClr w14:val="tx1"/>
            </w14:solidFill>
          </w14:textFill>
        </w:rPr>
        <w:t>628.4</w:t>
      </w:r>
      <w:r>
        <w:rPr>
          <w:rFonts w:hint="default" w:ascii="Times New Roman" w:hAnsi="Times New Roman" w:cs="Times New Roman"/>
          <w:b w:val="0"/>
          <w:bCs/>
          <w:color w:val="000000" w:themeColor="text1"/>
          <w14:textFill>
            <w14:solidFill>
              <w14:schemeClr w14:val="tx1"/>
            </w14:solidFill>
          </w14:textFill>
        </w:rPr>
        <w:t>m³/h，冬季供热工况耗水量</w:t>
      </w:r>
      <w:r>
        <w:rPr>
          <w:rFonts w:hint="eastAsia" w:eastAsia="宋体" w:cs="Times New Roman"/>
          <w:b w:val="0"/>
          <w:bCs/>
          <w:color w:val="000000" w:themeColor="text1"/>
          <w:lang w:val="en-US" w:eastAsia="zh-CN"/>
          <w14:textFill>
            <w14:solidFill>
              <w14:schemeClr w14:val="tx1"/>
            </w14:solidFill>
          </w14:textFill>
        </w:rPr>
        <w:t>612</w:t>
      </w:r>
      <w:r>
        <w:rPr>
          <w:rFonts w:hint="default" w:ascii="Times New Roman" w:hAnsi="Times New Roman" w:cs="Times New Roman"/>
          <w:b w:val="0"/>
          <w:bCs/>
          <w:color w:val="000000" w:themeColor="text1"/>
          <w14:textFill>
            <w14:solidFill>
              <w14:schemeClr w14:val="tx1"/>
            </w14:solidFill>
          </w14:textFill>
        </w:rPr>
        <w:t>.8m³/h。本工程生产用水、消防、生活用水均由克拉玛依高新技术产业开发区统一提供，供水管线送至本工程围墙，故本工程无厂外补给水系统。</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2.2.9.</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4厂内补给水系统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本期电厂设2座1000m³工业兼消防蓄水池及1座50m³生活水蓄水池；1座综合水泵房。综合水泵房与辅机循环水泵合建。综合水泵房内除设有3台循环水泵外，设生活给水泵2台（Q=20 m</w:t>
      </w:r>
      <w:r>
        <w:rPr>
          <w:rFonts w:hint="default" w:ascii="Times New Roman" w:hAnsi="Times New Roman" w:cs="Times New Roman"/>
          <w:b w:val="0"/>
          <w:bCs/>
          <w:color w:val="000000" w:themeColor="text1"/>
          <w:vertAlign w:val="superscript"/>
          <w14:textFill>
            <w14:solidFill>
              <w14:schemeClr w14:val="tx1"/>
            </w14:solidFill>
          </w14:textFill>
        </w:rPr>
        <w:t>3</w:t>
      </w:r>
      <w:r>
        <w:rPr>
          <w:rFonts w:hint="default" w:ascii="Times New Roman" w:hAnsi="Times New Roman" w:cs="Times New Roman"/>
          <w:b w:val="0"/>
          <w:bCs/>
          <w:color w:val="000000" w:themeColor="text1"/>
          <w14:textFill>
            <w14:solidFill>
              <w14:schemeClr w14:val="tx1"/>
            </w14:solidFill>
          </w14:textFill>
        </w:rPr>
        <w:t>/h，H=60m）及1套消防给水设施。生产给水泵设置在化学水处理车间内。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综合水泵房平面尺寸为21m×12m，泵房地上高6.5m（梁下净空），地下深2.5m。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上部结构为现浇钢筋混凝土框架结构，屋面结构为现浇钢筋混凝土屋面板，围护墙为370mm厚砖墙，塑钢窗、钢大门，室内地面为混凝土地面。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地下部分为钢筋混凝土箱形结构，侧壁厚0.4m，底板厚0.5m。检修和控制跨采用钢筋混凝土条形基础，与泵池之间设沉降缝。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工业兼消防水池每座1000m³标准水池，平面尺寸为10×20m，净高6.0m，水池均为半地下式钢筋混凝土无梁楼盖结构，地上2m地下4m，侧壁、底板厚0.25m，顶板厚0.20m。水池设有不被挪用的措施。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生活蓄水池1座50m³水池，平面尺寸为4×4m；净高6m；地上2m地下2m，侧壁、底板厚0.22m，顶板厚0.18m。</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2.2.9.</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5</w:t>
      </w: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生产、生活给水</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000000" w:themeColor="text1"/>
          <w:szCs w:val="24"/>
          <w14:textFill>
            <w14:solidFill>
              <w14:schemeClr w14:val="tx1"/>
            </w14:solidFill>
          </w14:textFill>
        </w:rPr>
      </w:pPr>
      <w:r>
        <w:rPr>
          <w:rFonts w:hint="eastAsia" w:ascii="宋体" w:hAnsi="宋体"/>
          <w:bCs/>
          <w:color w:val="000000" w:themeColor="text1"/>
          <w14:textFill>
            <w14:solidFill>
              <w14:schemeClr w14:val="tx1"/>
            </w14:solidFill>
          </w14:textFill>
        </w:rPr>
        <w:t>本项目厂区设独立的生活污水管网，</w:t>
      </w:r>
      <w:r>
        <w:rPr>
          <w:rFonts w:ascii="宋体" w:hAnsi="宋体"/>
          <w:bCs/>
          <w:color w:val="000000" w:themeColor="text1"/>
          <w14:textFill>
            <w14:solidFill>
              <w14:schemeClr w14:val="tx1"/>
            </w14:solidFill>
          </w14:textFill>
        </w:rPr>
        <w:t>主厂房和各辅助建筑物的生活污水</w:t>
      </w:r>
      <w:r>
        <w:rPr>
          <w:rFonts w:hint="eastAsia" w:ascii="宋体" w:hAnsi="宋体"/>
          <w:bCs/>
          <w:color w:val="000000" w:themeColor="text1"/>
          <w14:textFill>
            <w14:solidFill>
              <w14:schemeClr w14:val="tx1"/>
            </w14:solidFill>
          </w14:textFill>
        </w:rPr>
        <w:t>通过污水管</w:t>
      </w:r>
      <w:r>
        <w:rPr>
          <w:rFonts w:hint="eastAsia" w:ascii="宋体" w:hAnsi="宋体" w:eastAsia="宋体" w:cs="宋体"/>
          <w:bCs/>
          <w:color w:val="000000" w:themeColor="text1"/>
          <w14:textFill>
            <w14:solidFill>
              <w14:schemeClr w14:val="tx1"/>
            </w14:solidFill>
          </w14:textFill>
        </w:rPr>
        <w:t>至污水井，由</w:t>
      </w:r>
      <w:r>
        <w:rPr>
          <w:rFonts w:hint="eastAsia" w:ascii="宋体" w:hAnsi="宋体"/>
          <w:bCs/>
          <w:color w:val="000000" w:themeColor="text1"/>
          <w14:textFill>
            <w14:solidFill>
              <w14:schemeClr w14:val="tx1"/>
            </w14:solidFill>
          </w14:textFill>
        </w:rPr>
        <w:t>提升泵排入</w:t>
      </w:r>
      <w:r>
        <w:rPr>
          <w:rFonts w:hint="eastAsia" w:ascii="宋体" w:hAnsi="宋体" w:eastAsia="宋体" w:cs="宋体"/>
          <w:bCs/>
          <w:color w:val="000000" w:themeColor="text1"/>
          <w14:textFill>
            <w14:solidFill>
              <w14:schemeClr w14:val="tx1"/>
            </w14:solidFill>
          </w14:textFill>
        </w:rPr>
        <w:t>园区</w:t>
      </w:r>
      <w:r>
        <w:rPr>
          <w:rFonts w:hint="eastAsia" w:ascii="宋体" w:hAnsi="宋体"/>
          <w:bCs/>
          <w:color w:val="000000" w:themeColor="text1"/>
          <w14:textFill>
            <w14:solidFill>
              <w14:schemeClr w14:val="tx1"/>
            </w14:solidFill>
          </w14:textFill>
        </w:rPr>
        <w:t>污水管网。</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2.2.9.</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6排水系统</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化学水处理系统排水：本项目化学水处理系统正常进水566m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/h，制备除盐水450m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/h，产出废水116m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废水中超滤反洗废水49m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/h、清洗过滤器反洗废水3m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/h，这部分废水收集到回收水池内（一座，容积150m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）预处理后，其中30m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/h作为脱硫塔降温喷水回用，22m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/h回用至多介质过滤器用水；</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超滤加强反洗废水6m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/h、混床再生废水3m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/h，这部分废水收集到中和池（一座，容积150m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）预处理后，其中3.6m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/h作为干灰调湿用水回用，5.4m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/h输送至场外南侧3km处的水煤浆生产基地回用；</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浓水55m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/h收集到浓水池中（一座，容积100m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）预处理后，25.6m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/h输送至场外南侧3km处的水煤浆生产基地回用，剩余29.4m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/h排入开发区污水管网中。</w:t>
      </w:r>
    </w:p>
    <w:p>
      <w:pPr>
        <w:spacing w:line="360" w:lineRule="auto"/>
        <w:ind w:firstLine="480" w:firstLineChars="20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锅炉排水：锅炉排污按用水量的1%计，锅炉排水量4.50m</w:t>
      </w:r>
      <w:r>
        <w:rPr>
          <w:rFonts w:hint="default" w:ascii="Times New Roman" w:hAnsi="Times New Roman" w:cs="Times New Roman"/>
          <w:bCs/>
          <w:color w:val="000000" w:themeColor="text1"/>
          <w:vertAlign w:val="superscript"/>
          <w14:textFill>
            <w14:solidFill>
              <w14:schemeClr w14:val="tx1"/>
            </w14:solidFill>
          </w14:textFill>
        </w:rPr>
        <w:t>3</w:t>
      </w:r>
      <w:r>
        <w:rPr>
          <w:rFonts w:hint="default" w:ascii="Times New Roman" w:hAnsi="Times New Roman" w:cs="Times New Roman"/>
          <w:bCs/>
          <w:color w:val="000000" w:themeColor="text1"/>
          <w14:textFill>
            <w14:solidFill>
              <w14:schemeClr w14:val="tx1"/>
            </w14:solidFill>
          </w14:textFill>
        </w:rPr>
        <w:t>/h（90m</w:t>
      </w:r>
      <w:r>
        <w:rPr>
          <w:rFonts w:hint="default" w:ascii="Times New Roman" w:hAnsi="Times New Roman" w:cs="Times New Roman"/>
          <w:bCs/>
          <w:color w:val="000000" w:themeColor="text1"/>
          <w:vertAlign w:val="superscript"/>
          <w14:textFill>
            <w14:solidFill>
              <w14:schemeClr w14:val="tx1"/>
            </w14:solidFill>
          </w14:textFill>
        </w:rPr>
        <w:t>3</w:t>
      </w:r>
      <w:r>
        <w:rPr>
          <w:rFonts w:hint="default" w:ascii="Times New Roman" w:hAnsi="Times New Roman" w:cs="Times New Roman"/>
          <w:bCs/>
          <w:color w:val="000000" w:themeColor="text1"/>
          <w14:textFill>
            <w14:solidFill>
              <w14:schemeClr w14:val="tx1"/>
            </w14:solidFill>
          </w14:textFill>
        </w:rPr>
        <w:t>/d、24750m</w:t>
      </w:r>
      <w:r>
        <w:rPr>
          <w:rFonts w:hint="default" w:ascii="Times New Roman" w:hAnsi="Times New Roman" w:cs="Times New Roman"/>
          <w:bCs/>
          <w:color w:val="000000" w:themeColor="text1"/>
          <w:vertAlign w:val="superscript"/>
          <w14:textFill>
            <w14:solidFill>
              <w14:schemeClr w14:val="tx1"/>
            </w14:solidFill>
          </w14:textFill>
        </w:rPr>
        <w:t>3</w:t>
      </w:r>
      <w:r>
        <w:rPr>
          <w:rFonts w:hint="default" w:ascii="Times New Roman" w:hAnsi="Times New Roman" w:cs="Times New Roman"/>
          <w:bCs/>
          <w:color w:val="000000" w:themeColor="text1"/>
          <w14:textFill>
            <w14:solidFill>
              <w14:schemeClr w14:val="tx1"/>
            </w14:solidFill>
          </w14:textFill>
        </w:rPr>
        <w:t>/a）。可</w:t>
      </w:r>
      <w:r>
        <w:rPr>
          <w:rFonts w:hint="default" w:ascii="Times New Roman" w:hAnsi="Times New Roman" w:cs="Times New Roman"/>
          <w:color w:val="000000" w:themeColor="text1"/>
          <w14:textFill>
            <w14:solidFill>
              <w14:schemeClr w14:val="tx1"/>
            </w14:solidFill>
          </w14:textFill>
        </w:rPr>
        <w:t>直接排入开发区污水管网中。</w:t>
      </w:r>
    </w:p>
    <w:p>
      <w:pPr>
        <w:spacing w:line="360" w:lineRule="auto"/>
        <w:ind w:firstLine="480" w:firstLineChars="200"/>
        <w:rPr>
          <w:rFonts w:hint="default" w:ascii="Times New Roman" w:hAnsi="Times New Roman" w:cs="Times New Roman"/>
        </w:rPr>
      </w:pPr>
      <w:r>
        <w:rPr>
          <w:rFonts w:hint="default" w:ascii="Times New Roman" w:hAnsi="Times New Roman" w:cs="Times New Roman"/>
          <w:bCs/>
        </w:rPr>
        <w:t>生活污水：生活污水量按用水量的80%计，排放量14.40m</w:t>
      </w:r>
      <w:r>
        <w:rPr>
          <w:rFonts w:hint="default" w:ascii="Times New Roman" w:hAnsi="Times New Roman" w:cs="Times New Roman"/>
          <w:bCs/>
          <w:vertAlign w:val="superscript"/>
        </w:rPr>
        <w:t>3</w:t>
      </w:r>
      <w:r>
        <w:rPr>
          <w:rFonts w:hint="default" w:ascii="Times New Roman" w:hAnsi="Times New Roman" w:cs="Times New Roman"/>
          <w:bCs/>
        </w:rPr>
        <w:t>/d、4320m</w:t>
      </w:r>
      <w:r>
        <w:rPr>
          <w:rFonts w:hint="default" w:ascii="Times New Roman" w:hAnsi="Times New Roman" w:cs="Times New Roman"/>
          <w:bCs/>
          <w:vertAlign w:val="superscript"/>
        </w:rPr>
        <w:t>3</w:t>
      </w:r>
      <w:r>
        <w:rPr>
          <w:rFonts w:hint="default" w:ascii="Times New Roman" w:hAnsi="Times New Roman" w:cs="Times New Roman"/>
          <w:bCs/>
        </w:rPr>
        <w:t>/a。</w:t>
      </w:r>
      <w:r>
        <w:rPr>
          <w:rFonts w:hint="default" w:ascii="Times New Roman" w:hAnsi="Times New Roman" w:cs="Times New Roman"/>
        </w:rPr>
        <w:t>直接</w:t>
      </w:r>
      <w:r>
        <w:rPr>
          <w:rFonts w:hint="default" w:ascii="Times New Roman" w:hAnsi="Times New Roman" w:cs="Times New Roman"/>
          <w:kern w:val="24"/>
        </w:rPr>
        <w:t>排入</w:t>
      </w:r>
      <w:r>
        <w:rPr>
          <w:rFonts w:hint="default" w:ascii="Times New Roman" w:hAnsi="Times New Roman" w:cs="Times New Roman"/>
        </w:rPr>
        <w:t>开发区污水管网中，最终汇入开发区污水厂集中处理。</w:t>
      </w:r>
    </w:p>
    <w:p>
      <w:pPr>
        <w:pStyle w:val="2"/>
        <w:spacing w:line="360" w:lineRule="auto"/>
        <w:ind w:firstLine="480" w:firstLineChars="200"/>
        <w:jc w:val="both"/>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本工程设有氨水储罐，在氨罐储存区域设置1座100m</w:t>
      </w:r>
      <w:r>
        <w:rPr>
          <w:rFonts w:hint="default" w:ascii="Times New Roman" w:hAnsi="Times New Roman" w:cs="Times New Roman"/>
          <w:bCs/>
          <w:color w:val="000000" w:themeColor="text1"/>
          <w:vertAlign w:val="superscript"/>
          <w14:textFill>
            <w14:solidFill>
              <w14:schemeClr w14:val="tx1"/>
            </w14:solidFill>
          </w14:textFill>
        </w:rPr>
        <w:t>3</w:t>
      </w:r>
      <w:r>
        <w:rPr>
          <w:rFonts w:hint="default" w:ascii="Times New Roman" w:hAnsi="Times New Roman" w:cs="Times New Roman"/>
          <w:bCs/>
          <w:color w:val="000000" w:themeColor="text1"/>
          <w14:textFill>
            <w14:solidFill>
              <w14:schemeClr w14:val="tx1"/>
            </w14:solidFill>
          </w14:textFill>
        </w:rPr>
        <w:t>的事故排水池，存放含氨水排水，待处理达标后排至园区污水处理厂。</w:t>
      </w:r>
    </w:p>
    <w:p>
      <w:pPr>
        <w:pStyle w:val="2"/>
        <w:spacing w:line="360" w:lineRule="auto"/>
        <w:ind w:firstLine="480" w:firstLineChars="200"/>
        <w:jc w:val="both"/>
        <w:rPr>
          <w:rFonts w:hint="default" w:eastAsia="宋体"/>
          <w:bCs/>
          <w:color w:val="000000" w:themeColor="text1"/>
          <w:lang w:val="en-US" w:eastAsia="zh-CN"/>
          <w14:textFill>
            <w14:solidFill>
              <w14:schemeClr w14:val="tx1"/>
            </w14:solidFill>
          </w14:textFill>
        </w:rPr>
      </w:pPr>
      <w:r>
        <w:rPr>
          <w:rFonts w:hint="eastAsia" w:eastAsia="宋体"/>
          <w:bCs/>
          <w:color w:val="000000" w:themeColor="text1"/>
          <w:lang w:eastAsia="zh-CN"/>
          <w14:textFill>
            <w14:solidFill>
              <w14:schemeClr w14:val="tx1"/>
            </w14:solidFill>
          </w14:textFill>
        </w:rPr>
        <w:t>全厂水平衡见图</w:t>
      </w:r>
      <w:r>
        <w:rPr>
          <w:rFonts w:hint="eastAsia" w:eastAsia="宋体"/>
          <w:bCs/>
          <w:color w:val="000000" w:themeColor="text1"/>
          <w:lang w:val="en-US" w:eastAsia="zh-CN"/>
          <w14:textFill>
            <w14:solidFill>
              <w14:schemeClr w14:val="tx1"/>
            </w14:solidFill>
          </w14:textFill>
        </w:rPr>
        <w:t>2.2-3。</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0" w:firstLineChars="0"/>
        <w:jc w:val="both"/>
        <w:textAlignment w:val="auto"/>
        <w:outlineLvl w:val="2"/>
        <w:rPr>
          <w:rFonts w:hint="eastAsia" w:eastAsia="宋体" w:cs="Times New Roman"/>
          <w:b/>
          <w:bCs/>
          <w:snapToGrid/>
          <w:color w:val="000000" w:themeColor="text1"/>
          <w:spacing w:val="0"/>
          <w:w w:val="100"/>
          <w:kern w:val="0"/>
          <w:position w:val="0"/>
          <w:sz w:val="28"/>
          <w:szCs w:val="28"/>
          <w:u w:val="none"/>
          <w:lang w:val="en-US" w:eastAsia="zh-CN" w:bidi="zh-CN"/>
          <w14:textFill>
            <w14:solidFill>
              <w14:schemeClr w14:val="tx1"/>
            </w14:solidFill>
          </w14:textFill>
        </w:rPr>
      </w:pPr>
      <w:r>
        <w:rPr>
          <w:rFonts w:hint="eastAsia" w:eastAsia="宋体" w:cs="Times New Roman"/>
          <w:b/>
          <w:bCs/>
          <w:snapToGrid/>
          <w:color w:val="000000" w:themeColor="text1"/>
          <w:spacing w:val="0"/>
          <w:w w:val="100"/>
          <w:kern w:val="0"/>
          <w:position w:val="0"/>
          <w:sz w:val="28"/>
          <w:szCs w:val="28"/>
          <w:u w:val="none"/>
          <w:lang w:val="en-US" w:eastAsia="zh-CN" w:bidi="zh-CN"/>
          <w14:textFill>
            <w14:solidFill>
              <w14:schemeClr w14:val="tx1"/>
            </w14:solidFill>
          </w14:textFill>
        </w:rPr>
        <w:t>2.2.10电厂与系统的连接</w:t>
      </w:r>
    </w:p>
    <w:p>
      <w:pPr>
        <w:keepNext w:val="0"/>
        <w:keepLines w:val="0"/>
        <w:pageBreakBefore w:val="0"/>
        <w:widowControl w:val="0"/>
        <w:kinsoku/>
        <w:wordWrap w:val="0"/>
        <w:overflowPunct/>
        <w:topLinePunct w:val="0"/>
        <w:autoSpaceDE/>
        <w:autoSpaceDN/>
        <w:bidi w:val="0"/>
        <w:adjustRightInd/>
        <w:snapToGrid/>
        <w:spacing w:line="360" w:lineRule="auto"/>
        <w:textAlignment w:val="auto"/>
        <w:outlineLvl w:val="3"/>
        <w:rPr>
          <w:rFonts w:hint="default" w:ascii="Times New Roman" w:hAnsi="Times New Roman" w:cs="Times New Roman"/>
          <w:b/>
          <w:bCs w:val="0"/>
          <w:color w:val="auto"/>
        </w:rPr>
      </w:pPr>
      <w:r>
        <w:rPr>
          <w:rFonts w:hint="default" w:ascii="Times New Roman" w:hAnsi="Times New Roman" w:cs="Times New Roman"/>
          <w:b/>
          <w:bCs w:val="0"/>
          <w:color w:val="auto"/>
        </w:rPr>
        <w:t>2.</w:t>
      </w:r>
      <w:r>
        <w:rPr>
          <w:rFonts w:hint="default" w:ascii="Times New Roman" w:hAnsi="Times New Roman" w:eastAsia="宋体" w:cs="Times New Roman"/>
          <w:b/>
          <w:bCs w:val="0"/>
          <w:color w:val="auto"/>
          <w:lang w:val="en-US" w:eastAsia="zh-CN"/>
        </w:rPr>
        <w:t>2.10.1</w:t>
      </w:r>
      <w:r>
        <w:rPr>
          <w:rFonts w:hint="default" w:ascii="Times New Roman" w:hAnsi="Times New Roman" w:cs="Times New Roman"/>
          <w:b/>
          <w:bCs w:val="0"/>
          <w:color w:val="auto"/>
        </w:rPr>
        <w:t>电厂接入系统方案</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bCs/>
          <w:color w:val="000000" w:themeColor="text1"/>
          <w:lang w:val="en-US" w:eastAsia="zh-CN"/>
          <w14:textFill>
            <w14:solidFill>
              <w14:schemeClr w14:val="tx1"/>
            </w14:solidFill>
          </w14:textFill>
        </w:rPr>
      </w:pPr>
      <w:r>
        <w:rPr>
          <w:rFonts w:hint="eastAsia"/>
          <w:bCs/>
          <w:color w:val="000000" w:themeColor="text1"/>
          <w14:textFill>
            <w14:solidFill>
              <w14:schemeClr w14:val="tx1"/>
            </w14:solidFill>
          </w14:textFill>
        </w:rPr>
        <w:t>电厂本期装机容量为2×25MW，采用发电机-变压器组单元接线接入110kV母线，110kV电气主接线采用单母线分段接线型式。电厂升压站110kV出线规划2回，本期建设1回，至220kV白碱滩变电站110kV母线，线路长度为7.8km，导线型号为LGJ-240。</w:t>
      </w:r>
      <w:r>
        <w:rPr>
          <w:rFonts w:hint="eastAsia" w:eastAsia="宋体"/>
          <w:bCs/>
          <w:color w:val="000000" w:themeColor="text1"/>
          <w:lang w:eastAsia="zh-CN"/>
          <w14:textFill>
            <w14:solidFill>
              <w14:schemeClr w14:val="tx1"/>
            </w14:solidFill>
          </w14:textFill>
        </w:rPr>
        <w:t>电厂接入系统方案见图</w:t>
      </w:r>
      <w:r>
        <w:rPr>
          <w:rFonts w:hint="eastAsia" w:eastAsia="宋体"/>
          <w:bCs/>
          <w:color w:val="000000" w:themeColor="text1"/>
          <w:lang w:val="en-US" w:eastAsia="zh-CN"/>
          <w14:textFill>
            <w14:solidFill>
              <w14:schemeClr w14:val="tx1"/>
            </w14:solidFill>
          </w14:textFill>
        </w:rPr>
        <w:t>2.2-4。</w:t>
      </w:r>
    </w:p>
    <w:p>
      <w:pPr>
        <w:keepNext w:val="0"/>
        <w:keepLines w:val="0"/>
        <w:pageBreakBefore w:val="0"/>
        <w:widowControl w:val="0"/>
        <w:shd w:val="clear" w:color="auto" w:fill="auto"/>
        <w:kinsoku/>
        <w:wordWrap w:val="0"/>
        <w:overflowPunct/>
        <w:topLinePunct w:val="0"/>
        <w:autoSpaceDE/>
        <w:autoSpaceDN/>
        <w:bidi w:val="0"/>
        <w:adjustRightInd/>
        <w:snapToGrid/>
        <w:spacing w:line="360" w:lineRule="auto"/>
        <w:textAlignment w:val="auto"/>
        <w:outlineLvl w:val="3"/>
        <w:rPr>
          <w:rFonts w:hint="default" w:ascii="Times New Roman" w:hAnsi="Times New Roman" w:cs="Times New Roman"/>
          <w:b/>
          <w:bCs w:val="0"/>
          <w:color w:val="auto"/>
        </w:rPr>
      </w:pPr>
      <w:r>
        <w:rPr>
          <w:rFonts w:hint="default" w:ascii="Times New Roman" w:hAnsi="Times New Roman" w:cs="Times New Roman"/>
          <w:b/>
          <w:bCs w:val="0"/>
          <w:color w:val="auto"/>
        </w:rPr>
        <w:t>2.</w:t>
      </w:r>
      <w:r>
        <w:rPr>
          <w:rFonts w:hint="eastAsia" w:eastAsia="宋体" w:cs="Times New Roman"/>
          <w:b/>
          <w:bCs w:val="0"/>
          <w:color w:val="auto"/>
          <w:lang w:val="en-US" w:eastAsia="zh-CN"/>
        </w:rPr>
        <w:t>2.10.2</w:t>
      </w:r>
      <w:r>
        <w:rPr>
          <w:rFonts w:hint="default" w:ascii="Times New Roman" w:hAnsi="Times New Roman" w:cs="Times New Roman"/>
          <w:b/>
          <w:bCs w:val="0"/>
          <w:color w:val="auto"/>
        </w:rPr>
        <w:t>电厂电气原则主接线</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电厂本期采用发电机-变压器组单元接线接入110kV母线，110kV电气主接线采用单母线分段接线型式。电厂升压站110kV出线规划2回，本期建设1回，接至220kV白碱滩变电站110kV母线（并网方案以电网公司批复的意见为准）。</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default"/>
          <w:bCs/>
          <w:color w:val="000000" w:themeColor="text1"/>
          <w:lang w:val="en-US" w:eastAsia="zh-CN"/>
          <w14:textFill>
            <w14:solidFill>
              <w14:schemeClr w14:val="tx1"/>
            </w14:solidFill>
          </w14:textFill>
        </w:rPr>
      </w:pPr>
      <w:r>
        <w:rPr>
          <w:rFonts w:hint="eastAsia"/>
          <w:bCs/>
          <w:color w:val="000000" w:themeColor="text1"/>
          <w14:textFill>
            <w14:solidFill>
              <w14:schemeClr w14:val="tx1"/>
            </w14:solidFill>
          </w14:textFill>
        </w:rPr>
        <w:t>110kV升压变选择为三相双卷有载调压变压器，容量为40.0MVA，共2台，本期建设2台，电压比为：121±8×1.25%/10.5kV，容量比100/100，接线组别YN，d11，主变110kV侧中性点按直接接地设计，低压侧按不接地设计。</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0" w:firstLineChars="0"/>
        <w:jc w:val="both"/>
        <w:textAlignment w:val="auto"/>
        <w:outlineLvl w:val="2"/>
        <w:rPr>
          <w:rFonts w:hint="eastAsia" w:ascii="Times New Roman" w:hAnsi="Times New Roman" w:eastAsia="宋体" w:cs="Times New Roman"/>
          <w:b/>
          <w:bCs/>
          <w:snapToGrid/>
          <w:color w:val="000000" w:themeColor="text1"/>
          <w:spacing w:val="0"/>
          <w:w w:val="100"/>
          <w:kern w:val="0"/>
          <w:position w:val="0"/>
          <w:sz w:val="28"/>
          <w:szCs w:val="28"/>
          <w:u w:val="none"/>
          <w:lang w:val="en-US" w:eastAsia="zh-CN" w:bidi="zh-CN"/>
          <w14:textFill>
            <w14:solidFill>
              <w14:schemeClr w14:val="tx1"/>
            </w14:solidFill>
          </w14:textFill>
        </w:rPr>
      </w:pPr>
      <w:r>
        <w:rPr>
          <w:rFonts w:hint="eastAsia" w:ascii="Times New Roman" w:hAnsi="Times New Roman" w:eastAsia="宋体" w:cs="Times New Roman"/>
          <w:b/>
          <w:bCs/>
          <w:snapToGrid/>
          <w:color w:val="000000" w:themeColor="text1"/>
          <w:spacing w:val="0"/>
          <w:w w:val="100"/>
          <w:kern w:val="0"/>
          <w:position w:val="0"/>
          <w:sz w:val="28"/>
          <w:szCs w:val="28"/>
          <w:u w:val="none"/>
          <w:lang w:val="en-US" w:eastAsia="zh-CN" w:bidi="zh-CN"/>
          <w14:textFill>
            <w14:solidFill>
              <w14:schemeClr w14:val="tx1"/>
            </w14:solidFill>
          </w14:textFill>
        </w:rPr>
        <w:t>2.2.</w:t>
      </w:r>
      <w:r>
        <w:rPr>
          <w:rFonts w:hint="eastAsia" w:eastAsia="宋体" w:cs="Times New Roman"/>
          <w:b/>
          <w:bCs/>
          <w:snapToGrid/>
          <w:color w:val="000000" w:themeColor="text1"/>
          <w:spacing w:val="0"/>
          <w:w w:val="100"/>
          <w:kern w:val="0"/>
          <w:position w:val="0"/>
          <w:sz w:val="28"/>
          <w:szCs w:val="28"/>
          <w:u w:val="none"/>
          <w:lang w:val="en-US" w:eastAsia="zh-CN" w:bidi="zh-CN"/>
          <w14:textFill>
            <w14:solidFill>
              <w14:schemeClr w14:val="tx1"/>
            </w14:solidFill>
          </w14:textFill>
        </w:rPr>
        <w:t>11贮灰</w:t>
      </w:r>
      <w:r>
        <w:rPr>
          <w:rFonts w:hint="eastAsia" w:ascii="Times New Roman" w:hAnsi="Times New Roman" w:eastAsia="宋体" w:cs="Times New Roman"/>
          <w:b/>
          <w:bCs/>
          <w:snapToGrid/>
          <w:color w:val="000000" w:themeColor="text1"/>
          <w:spacing w:val="0"/>
          <w:w w:val="100"/>
          <w:kern w:val="0"/>
          <w:position w:val="0"/>
          <w:sz w:val="28"/>
          <w:szCs w:val="28"/>
          <w:u w:val="none"/>
          <w:lang w:val="en-US" w:eastAsia="zh-CN" w:bidi="zh-CN"/>
          <w14:textFill>
            <w14:solidFill>
              <w14:schemeClr w14:val="tx1"/>
            </w14:solidFill>
          </w14:textFill>
        </w:rPr>
        <w:t>场</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根据水煤浆煤质资料计算，本工程建设2×130t/h水煤浆锅炉+1×25MW高温高压背压汽轮机组及1×220t/h水煤浆锅炉+1×25MW高温高压背压汽轮机组年产粉煤灰量为10.92×10</w:t>
      </w:r>
      <w:r>
        <w:rPr>
          <w:rFonts w:hint="eastAsia"/>
          <w:bCs/>
          <w:color w:val="000000" w:themeColor="text1"/>
          <w:vertAlign w:val="superscript"/>
          <w14:textFill>
            <w14:solidFill>
              <w14:schemeClr w14:val="tx1"/>
            </w14:solidFill>
          </w14:textFill>
        </w:rPr>
        <w:t>4</w:t>
      </w:r>
      <w:r>
        <w:rPr>
          <w:rFonts w:hint="eastAsia"/>
          <w:bCs/>
          <w:color w:val="000000" w:themeColor="text1"/>
          <w14:textFill>
            <w14:solidFill>
              <w14:schemeClr w14:val="tx1"/>
            </w14:solidFill>
          </w14:textFill>
        </w:rPr>
        <w:t>t。</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本工程产生的粉煤灰及脱硫灰全部综合利用，事故情况时在克拉玛依市垃圾场临时堆放。本工程不新设置灰场。在克拉玛依地区，粉煤灰综合利用有比较广泛的用户，目前正恒能源公司已经和部分粉煤灰用户签定了综合利用协议。</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0" w:firstLineChars="0"/>
        <w:jc w:val="both"/>
        <w:textAlignment w:val="auto"/>
        <w:outlineLvl w:val="2"/>
        <w:rPr>
          <w:rFonts w:hint="eastAsia" w:ascii="Times New Roman" w:hAnsi="Times New Roman" w:eastAsia="宋体" w:cs="Times New Roman"/>
          <w:b/>
          <w:bCs/>
          <w:snapToGrid/>
          <w:color w:val="000000" w:themeColor="text1"/>
          <w:spacing w:val="0"/>
          <w:w w:val="100"/>
          <w:kern w:val="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snapToGrid/>
          <w:color w:val="000000" w:themeColor="text1"/>
          <w:spacing w:val="0"/>
          <w:w w:val="100"/>
          <w:kern w:val="0"/>
          <w:position w:val="0"/>
          <w:sz w:val="28"/>
          <w:szCs w:val="28"/>
          <w:u w:val="none"/>
          <w:lang w:val="en-US" w:eastAsia="en-US" w:bidi="zh-CN"/>
          <w14:textFill>
            <w14:solidFill>
              <w14:schemeClr w14:val="tx1"/>
            </w14:solidFill>
          </w14:textFill>
        </w:rPr>
        <w:t>2.2.1</w:t>
      </w:r>
      <w:r>
        <w:rPr>
          <w:rFonts w:hint="eastAsia" w:eastAsia="宋体" w:cs="Times New Roman"/>
          <w:b/>
          <w:bCs/>
          <w:snapToGrid/>
          <w:color w:val="000000" w:themeColor="text1"/>
          <w:spacing w:val="0"/>
          <w:w w:val="100"/>
          <w:kern w:val="0"/>
          <w:position w:val="0"/>
          <w:sz w:val="28"/>
          <w:szCs w:val="28"/>
          <w:u w:val="none"/>
          <w:lang w:val="en-US" w:eastAsia="en-US" w:bidi="zh-CN"/>
          <w14:textFill>
            <w14:solidFill>
              <w14:schemeClr w14:val="tx1"/>
            </w14:solidFill>
          </w14:textFill>
        </w:rPr>
        <w:t>2</w:t>
      </w:r>
      <w:r>
        <w:rPr>
          <w:rFonts w:hint="eastAsia" w:ascii="Times New Roman" w:hAnsi="Times New Roman" w:eastAsia="宋体" w:cs="Times New Roman"/>
          <w:b/>
          <w:bCs/>
          <w:snapToGrid/>
          <w:color w:val="000000" w:themeColor="text1"/>
          <w:spacing w:val="0"/>
          <w:w w:val="100"/>
          <w:kern w:val="0"/>
          <w:position w:val="0"/>
          <w:sz w:val="28"/>
          <w:szCs w:val="28"/>
          <w:u w:val="none"/>
          <w:lang w:val="zh-CN" w:eastAsia="zh-CN" w:bidi="zh-CN"/>
          <w14:textFill>
            <w14:solidFill>
              <w14:schemeClr w14:val="tx1"/>
            </w14:solidFill>
          </w14:textFill>
        </w:rPr>
        <w:t>消防系统</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themeColor="text1"/>
          <w14:textFill>
            <w14:solidFill>
              <w14:schemeClr w14:val="tx1"/>
            </w14:solidFill>
          </w14:textFill>
        </w:rPr>
      </w:pPr>
      <w:bookmarkStart w:id="82" w:name="bookmark13"/>
      <w:bookmarkStart w:id="83" w:name="_Toc3258"/>
      <w:bookmarkStart w:id="84" w:name="bookmark12"/>
      <w:bookmarkStart w:id="85" w:name="_Toc19674"/>
      <w:r>
        <w:rPr>
          <w:rFonts w:hint="eastAsia"/>
          <w:bCs/>
          <w:color w:val="000000" w:themeColor="text1"/>
          <w14:textFill>
            <w14:solidFill>
              <w14:schemeClr w14:val="tx1"/>
            </w14:solidFill>
          </w14:textFill>
        </w:rPr>
        <w:t>贯彻“预防为主，防消结合”的方针，各专业根据工艺流程特点，在设备与器材的选择及布置上充分考虑预防为主的措施，在建筑物的防火间距及建筑物结构设计上采取有效措施，预防火灾的发生与蔓延。</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厂区设独立的消防给水系统。全厂设置1套消防给水设施（含1台电动消防给水泵、1台柴油发电机消防给水备用泵、2台稳压泵及2台稳压罐）、2座1000m3生产、消防蓄水池，水池设防止消防水被挪用的措施。</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消防给水设施引出2条管道接入厂区的相应的消防给水系统，为确保消防给水的可靠性，消防给水管网在汽机房和锅炉房四周及整个厂区布置成若干个相邻的环状网络。</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水消防系统包括室内外消火栓及自动喷水灭火系统。本工程在主厂房、锅炉房及附属建筑物等设置室内消火栓及厂区室外消火栓；在主变压器、氨罐及办公楼设置自动喷水灭火系统。</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全厂设有火灾自动探测报警系统,此外，在各保护区范围内，还将配置一定数量的移动灭火装置。</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本项目位于高新技术产业开发区内，本阶段暂按城市消防车可在5分钟内到达电厂考虑，因此本电厂不单独设置消防车。</w:t>
      </w:r>
    </w:p>
    <w:p>
      <w:pPr>
        <w:pStyle w:val="3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2.3</w:t>
      </w:r>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供热设计</w:t>
      </w:r>
      <w:bookmarkEnd w:id="82"/>
      <w:bookmarkEnd w:id="83"/>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2.3.1</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供热范围及目前热源分布情况</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克拉玛依高新技术产业开发区是以高新技术为先导，以石油化工为主的产业区；同时，综合考虑石油物资仓储、石油化学工程技术服务和市域工业置换等产业为辅的综合工业园。石化园区迄今没有配套为化工企业提供工业蒸汽的热动力屮心，现园区企业使用的工业蒸汽大部分是由石化厂提供，目前石化厂使用的工业蒸汽自身都无法满足生产需求，石化厂多次要求园区管委会自行解决工业蒸汽的用量。同时园区周围三坪镇目前 供热由中石油热力公司提供（中石油承建）采用原煤锅炉供热，现锅炉设备全部移交给克拉玛依白碱滩区政府为三坪镇供热，锅炉年限已久，污染严重，急需热源替代。金龙镇供热由中石化热电厂提供，由于中石化的工业蒸汽用量无法满足自身需求，中石化已向克拉玛依市政府提交报告，要求克拉玛依高新技术产业开发区解决金龙镇的热源问题。由此本项目建成后将主要解决克拉玛依石化园区用热企业需求和三坪镇、金龙镇供热需求。</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2.3.2</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热负荷现状</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区域供热片区现状供暖情况调查详见表</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2.3</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-1。</w:t>
      </w:r>
    </w:p>
    <w:p>
      <w:pPr>
        <w:pStyle w:val="44"/>
        <w:keepNext w:val="0"/>
        <w:keepLines w:val="0"/>
        <w:pageBreakBefore w:val="0"/>
        <w:widowControl w:val="0"/>
        <w:shd w:val="clear" w:color="auto" w:fill="auto"/>
        <w:tabs>
          <w:tab w:val="left" w:pos="3710"/>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2.3-1</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ab/>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项目所在地区域内供热情况调查表</w:t>
      </w:r>
    </w:p>
    <w:tbl>
      <w:tblPr>
        <w:tblStyle w:val="21"/>
        <w:tblW w:w="14188" w:type="dxa"/>
        <w:jc w:val="center"/>
        <w:tblInd w:w="0" w:type="dxa"/>
        <w:tblLayout w:type="fixed"/>
        <w:tblCellMar>
          <w:top w:w="0" w:type="dxa"/>
          <w:left w:w="10" w:type="dxa"/>
          <w:bottom w:w="0" w:type="dxa"/>
          <w:right w:w="10" w:type="dxa"/>
        </w:tblCellMar>
      </w:tblPr>
      <w:tblGrid>
        <w:gridCol w:w="726"/>
        <w:gridCol w:w="4424"/>
        <w:gridCol w:w="5"/>
        <w:gridCol w:w="1"/>
        <w:gridCol w:w="4"/>
        <w:gridCol w:w="1132"/>
        <w:gridCol w:w="5"/>
        <w:gridCol w:w="1"/>
        <w:gridCol w:w="4"/>
        <w:gridCol w:w="856"/>
        <w:gridCol w:w="1270"/>
        <w:gridCol w:w="5"/>
        <w:gridCol w:w="5"/>
        <w:gridCol w:w="1"/>
        <w:gridCol w:w="1554"/>
        <w:gridCol w:w="5"/>
        <w:gridCol w:w="1"/>
        <w:gridCol w:w="1060"/>
        <w:gridCol w:w="9"/>
        <w:gridCol w:w="1"/>
        <w:gridCol w:w="790"/>
        <w:gridCol w:w="865"/>
        <w:gridCol w:w="1445"/>
        <w:gridCol w:w="14"/>
        <w:gridCol w:w="1"/>
        <w:gridCol w:w="1"/>
        <w:gridCol w:w="3"/>
      </w:tblGrid>
      <w:tr>
        <w:tblPrEx>
          <w:tblLayout w:type="fixed"/>
          <w:tblCellMar>
            <w:top w:w="0" w:type="dxa"/>
            <w:left w:w="10" w:type="dxa"/>
            <w:bottom w:w="0" w:type="dxa"/>
            <w:right w:w="10" w:type="dxa"/>
          </w:tblCellMar>
        </w:tblPrEx>
        <w:trPr>
          <w:trHeight w:val="667" w:hRule="exact"/>
          <w:jc w:val="center"/>
        </w:trPr>
        <w:tc>
          <w:tcPr>
            <w:tcW w:w="14188" w:type="dxa"/>
            <w:gridSpan w:val="27"/>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近调</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时间：</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2017年3月</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11日</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-2017</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年6月</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10日</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制表</w:t>
            </w:r>
            <w:r>
              <w:rPr>
                <w:rStyle w:val="38"/>
                <w:rFonts w:hint="default" w:ascii="Times New Roman" w:hAnsi="Times New Roman" w:eastAsia="宋体" w:cs="Times New Roman"/>
                <w:b w:val="0"/>
                <w:bCs w:val="0"/>
                <w:i w:val="0"/>
                <w:iCs w:val="0"/>
                <w:smallCaps w:val="0"/>
                <w:strike w:val="0"/>
                <w:color w:val="000000" w:themeColor="text1"/>
                <w:sz w:val="21"/>
                <w:szCs w:val="21"/>
                <w:lang w:eastAsia="zh-CN"/>
                <w14:textFill>
                  <w14:solidFill>
                    <w14:schemeClr w14:val="tx1"/>
                  </w14:solidFill>
                </w14:textFill>
              </w:rPr>
              <w:t>日期</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2017年6月13日</w:t>
            </w:r>
          </w:p>
        </w:tc>
      </w:tr>
      <w:tr>
        <w:tblPrEx>
          <w:tblLayout w:type="fixed"/>
          <w:tblCellMar>
            <w:top w:w="0" w:type="dxa"/>
            <w:left w:w="10" w:type="dxa"/>
            <w:bottom w:w="0" w:type="dxa"/>
            <w:right w:w="10" w:type="dxa"/>
          </w:tblCellMar>
        </w:tblPrEx>
        <w:trPr>
          <w:trHeight w:val="581"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序号</w:t>
            </w:r>
          </w:p>
        </w:tc>
        <w:tc>
          <w:tcPr>
            <w:tcW w:w="443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企业名称</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锅炉吨位</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数量</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燃料</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蒸汽压力</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工业</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供暖</w:t>
            </w:r>
          </w:p>
        </w:tc>
        <w:tc>
          <w:tcPr>
            <w:tcW w:w="865" w:type="dxa"/>
            <w:tcBorders>
              <w:top w:val="single" w:color="auto" w:sz="4" w:space="0"/>
              <w:left w:val="single" w:color="auto" w:sz="4" w:space="0"/>
            </w:tcBorders>
            <w:shd w:val="clear" w:color="auto" w:fill="FFFFFF"/>
            <w:noWrap w:val="0"/>
            <w:textDirection w:val="tbRlV"/>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产况</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投情</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备注</w:t>
            </w:r>
          </w:p>
        </w:tc>
      </w:tr>
      <w:tr>
        <w:tblPrEx>
          <w:tblLayout w:type="fixed"/>
          <w:tblCellMar>
            <w:top w:w="0" w:type="dxa"/>
            <w:left w:w="10" w:type="dxa"/>
            <w:bottom w:w="0" w:type="dxa"/>
            <w:right w:w="10" w:type="dxa"/>
          </w:tblCellMar>
        </w:tblPrEx>
        <w:trPr>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443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克拉玛依安泰炼化工程有限责任公司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20</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燃煤</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1.0/4.0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20</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443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克拉玛依市奥泽工贸有限责任公司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443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克拉玛依市邦博石油科技有限责任公司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78"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4430" w:type="dxa"/>
            <w:gridSpan w:val="3"/>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克拉玛依博奥工贸有限责任公司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78"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30" w:type="dxa"/>
            <w:gridSpan w:val="3"/>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1400kw</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导热油</w:t>
            </w:r>
          </w:p>
        </w:tc>
      </w:tr>
      <w:tr>
        <w:tblPrEx>
          <w:tblLayout w:type="fixed"/>
          <w:tblCellMar>
            <w:top w:w="0" w:type="dxa"/>
            <w:left w:w="10" w:type="dxa"/>
            <w:bottom w:w="0" w:type="dxa"/>
            <w:right w:w="10" w:type="dxa"/>
          </w:tblCellMar>
        </w:tblPrEx>
        <w:trPr>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443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新疆贝肯能源工程股份有限公司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w:t>
            </w:r>
          </w:p>
        </w:tc>
        <w:tc>
          <w:tcPr>
            <w:tcW w:w="443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克拉玛依市贝德化工有限责任公司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1.0/2.0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83"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w:t>
            </w:r>
          </w:p>
        </w:tc>
        <w:tc>
          <w:tcPr>
            <w:tcW w:w="4430" w:type="dxa"/>
            <w:gridSpan w:val="3"/>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新疆宝利沥青有限公司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1.0/1.</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78"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30" w:type="dxa"/>
            <w:gridSpan w:val="3"/>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1.0/1.</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w:t>
            </w:r>
          </w:p>
        </w:tc>
        <w:tc>
          <w:tcPr>
            <w:tcW w:w="443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宝鸡钢管克拉玛依有限公司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9</w:t>
            </w:r>
          </w:p>
        </w:tc>
        <w:tc>
          <w:tcPr>
            <w:tcW w:w="443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宝钢克拉玛依钢管有限公司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35</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88"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w:t>
            </w:r>
          </w:p>
        </w:tc>
        <w:tc>
          <w:tcPr>
            <w:tcW w:w="4430" w:type="dxa"/>
            <w:gridSpan w:val="3"/>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博达生态环保科技有限责任公司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20</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燃油</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1.0/3.5</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78"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30" w:type="dxa"/>
            <w:gridSpan w:val="3"/>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1.0/3.</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53"/>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3</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83"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11</w:t>
            </w:r>
          </w:p>
        </w:tc>
        <w:tc>
          <w:tcPr>
            <w:tcW w:w="4430" w:type="dxa"/>
            <w:gridSpan w:val="3"/>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克拉玛依博峰实业有限责任公司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78"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30" w:type="dxa"/>
            <w:gridSpan w:val="3"/>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74"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w:t>
            </w:r>
          </w:p>
        </w:tc>
        <w:tc>
          <w:tcPr>
            <w:tcW w:w="443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克拉玛依市常盛建材有限公司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13</w:t>
            </w:r>
          </w:p>
        </w:tc>
        <w:tc>
          <w:tcPr>
            <w:tcW w:w="443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新疆诚智安节石油科技发展有限公司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88"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14</w:t>
            </w:r>
          </w:p>
        </w:tc>
        <w:tc>
          <w:tcPr>
            <w:tcW w:w="4430" w:type="dxa"/>
            <w:gridSpan w:val="3"/>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克拉玛依市创拓有限责任公司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供暖</w:t>
            </w:r>
          </w:p>
        </w:tc>
      </w:tr>
      <w:tr>
        <w:tblPrEx>
          <w:tblLayout w:type="fixed"/>
          <w:tblCellMar>
            <w:top w:w="0" w:type="dxa"/>
            <w:left w:w="10" w:type="dxa"/>
            <w:bottom w:w="0" w:type="dxa"/>
            <w:right w:w="10" w:type="dxa"/>
          </w:tblCellMar>
        </w:tblPrEx>
        <w:trPr>
          <w:trHeight w:val="283"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30" w:type="dxa"/>
            <w:gridSpan w:val="3"/>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供暖</w:t>
            </w:r>
          </w:p>
        </w:tc>
      </w:tr>
      <w:tr>
        <w:tblPrEx>
          <w:tblLayout w:type="fixed"/>
          <w:tblCellMar>
            <w:top w:w="0" w:type="dxa"/>
            <w:left w:w="10" w:type="dxa"/>
            <w:bottom w:w="0" w:type="dxa"/>
            <w:right w:w="10" w:type="dxa"/>
          </w:tblCellMar>
        </w:tblPrEx>
        <w:trPr>
          <w:trHeight w:val="274"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30" w:type="dxa"/>
            <w:gridSpan w:val="3"/>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供暖</w:t>
            </w:r>
          </w:p>
        </w:tc>
      </w:tr>
      <w:tr>
        <w:tblPrEx>
          <w:tblLayout w:type="fixed"/>
          <w:tblCellMar>
            <w:top w:w="0" w:type="dxa"/>
            <w:left w:w="10" w:type="dxa"/>
            <w:bottom w:w="0" w:type="dxa"/>
            <w:right w:w="10" w:type="dxa"/>
          </w:tblCellMar>
        </w:tblPrEx>
        <w:trPr>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15</w:t>
            </w:r>
          </w:p>
        </w:tc>
        <w:tc>
          <w:tcPr>
            <w:tcW w:w="443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克拉玛依市依创业有限公司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2.5</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2.5</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供暖</w:t>
            </w:r>
          </w:p>
        </w:tc>
      </w:tr>
      <w:tr>
        <w:tblPrEx>
          <w:tblLayout w:type="fixed"/>
          <w:tblCellMar>
            <w:top w:w="0" w:type="dxa"/>
            <w:left w:w="10" w:type="dxa"/>
            <w:bottom w:w="0" w:type="dxa"/>
            <w:right w:w="10" w:type="dxa"/>
          </w:tblCellMar>
        </w:tblPrEx>
        <w:trPr>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16</w:t>
            </w:r>
          </w:p>
        </w:tc>
        <w:tc>
          <w:tcPr>
            <w:tcW w:w="443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克拉玛依市德和电气设备公司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电暖器</w:t>
            </w:r>
          </w:p>
        </w:tc>
      </w:tr>
      <w:tr>
        <w:tblPrEx>
          <w:tblLayout w:type="fixed"/>
          <w:tblCellMar>
            <w:top w:w="0" w:type="dxa"/>
            <w:left w:w="10" w:type="dxa"/>
            <w:bottom w:w="0" w:type="dxa"/>
            <w:right w:w="10" w:type="dxa"/>
          </w:tblCellMar>
        </w:tblPrEx>
        <w:trPr>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17</w:t>
            </w:r>
          </w:p>
        </w:tc>
        <w:tc>
          <w:tcPr>
            <w:tcW w:w="443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克拉玛依依东宝特管有限公司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53"/>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3</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53"/>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3</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74"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18</w:t>
            </w:r>
          </w:p>
        </w:tc>
        <w:tc>
          <w:tcPr>
            <w:tcW w:w="443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新疆敦华绿色石油科技有限公司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0.8/1.0/1.</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140</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19</w:t>
            </w:r>
          </w:p>
        </w:tc>
        <w:tc>
          <w:tcPr>
            <w:tcW w:w="443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新疆克拉玛依市奋进有限责任公司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307" w:hRule="exact"/>
          <w:jc w:val="center"/>
        </w:trPr>
        <w:tc>
          <w:tcPr>
            <w:tcW w:w="726"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20</w:t>
            </w:r>
          </w:p>
        </w:tc>
        <w:tc>
          <w:tcPr>
            <w:tcW w:w="4430" w:type="dxa"/>
            <w:gridSpan w:val="3"/>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克拉玛依市丰业节能建材有限公司</w:t>
            </w:r>
          </w:p>
        </w:tc>
        <w:tc>
          <w:tcPr>
            <w:tcW w:w="1142" w:type="dxa"/>
            <w:gridSpan w:val="4"/>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860" w:type="dxa"/>
            <w:gridSpan w:val="2"/>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5" w:type="dxa"/>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4"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29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21</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新疆石油管理局工程技术公司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22</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克拉玛依广陆有限责任公司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547"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23</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克拉玛依市广盛城市建设投资开发有限责任 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广盛热力</w:t>
            </w:r>
          </w:p>
        </w:tc>
      </w:tr>
      <w:tr>
        <w:tblPrEx>
          <w:tblLayout w:type="fixed"/>
          <w:tblCellMar>
            <w:top w:w="0" w:type="dxa"/>
            <w:left w:w="10" w:type="dxa"/>
            <w:bottom w:w="0" w:type="dxa"/>
            <w:right w:w="10" w:type="dxa"/>
          </w:tblCellMar>
        </w:tblPrEx>
        <w:trPr>
          <w:gridAfter w:val="2"/>
          <w:wAfter w:w="4" w:type="dxa"/>
          <w:trHeight w:val="28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24</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新疆广阳工程建设有限公司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iCs/>
                <w:smallCaps w:val="0"/>
                <w:strike w:val="0"/>
                <w:color w:val="000000" w:themeColor="text1"/>
                <w:sz w:val="21"/>
                <w:szCs w:val="21"/>
                <w14:textFill>
                  <w14:solidFill>
                    <w14:schemeClr w14:val="tx1"/>
                  </w14:solidFill>
                </w14:textFill>
              </w:rPr>
              <w:t>1</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274"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25</w:t>
            </w:r>
          </w:p>
        </w:tc>
        <w:tc>
          <w:tcPr>
            <w:tcW w:w="4434" w:type="dxa"/>
            <w:gridSpan w:val="4"/>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克拉玛依市广振石油技术服务有限责任公司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0.35</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0.35</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iCs/>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278"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34" w:type="dxa"/>
            <w:gridSpan w:val="4"/>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0.75</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0.75</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28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26</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国电克拉玛依发电有限公司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27</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克拉玛依市国中建筑安装有限公司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283"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28</w:t>
            </w:r>
          </w:p>
        </w:tc>
        <w:tc>
          <w:tcPr>
            <w:tcW w:w="4434" w:type="dxa"/>
            <w:gridSpan w:val="4"/>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克拉玛依市昊峰工贸有限责任公司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设备</w:t>
            </w:r>
          </w:p>
        </w:tc>
      </w:tr>
      <w:tr>
        <w:tblPrEx>
          <w:tblLayout w:type="fixed"/>
          <w:tblCellMar>
            <w:top w:w="0" w:type="dxa"/>
            <w:left w:w="10" w:type="dxa"/>
            <w:bottom w:w="0" w:type="dxa"/>
            <w:right w:w="10" w:type="dxa"/>
          </w:tblCellMar>
        </w:tblPrEx>
        <w:trPr>
          <w:gridAfter w:val="2"/>
          <w:wAfter w:w="4" w:type="dxa"/>
          <w:trHeight w:val="278"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34" w:type="dxa"/>
            <w:gridSpan w:val="4"/>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采暖</w:t>
            </w:r>
          </w:p>
        </w:tc>
      </w:tr>
      <w:tr>
        <w:tblPrEx>
          <w:tblLayout w:type="fixed"/>
          <w:tblCellMar>
            <w:top w:w="0" w:type="dxa"/>
            <w:left w:w="10" w:type="dxa"/>
            <w:bottom w:w="0" w:type="dxa"/>
            <w:right w:w="10" w:type="dxa"/>
          </w:tblCellMar>
        </w:tblPrEx>
        <w:trPr>
          <w:gridAfter w:val="2"/>
          <w:wAfter w:w="4" w:type="dxa"/>
          <w:trHeight w:val="274"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29</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克拉玛依合理有限责任公司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石化厂供</w:t>
            </w:r>
          </w:p>
        </w:tc>
      </w:tr>
      <w:tr>
        <w:tblPrEx>
          <w:tblLayout w:type="fixed"/>
          <w:tblCellMar>
            <w:top w:w="0" w:type="dxa"/>
            <w:left w:w="10" w:type="dxa"/>
            <w:bottom w:w="0" w:type="dxa"/>
            <w:right w:w="10" w:type="dxa"/>
          </w:tblCellMar>
        </w:tblPrEx>
        <w:trPr>
          <w:gridAfter w:val="2"/>
          <w:wAfter w:w="4"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30</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克拉玛依宏吉工程建设有限公司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煤改气</w:t>
            </w:r>
          </w:p>
        </w:tc>
      </w:tr>
      <w:tr>
        <w:tblPrEx>
          <w:tblLayout w:type="fixed"/>
          <w:tblCellMar>
            <w:top w:w="0" w:type="dxa"/>
            <w:left w:w="10" w:type="dxa"/>
            <w:bottom w:w="0" w:type="dxa"/>
            <w:right w:w="10" w:type="dxa"/>
          </w:tblCellMar>
        </w:tblPrEx>
        <w:trPr>
          <w:gridAfter w:val="2"/>
          <w:wAfter w:w="4" w:type="dxa"/>
          <w:trHeight w:val="274"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31</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克拉玛依宏兴有限责任公司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广盛热力</w:t>
            </w:r>
          </w:p>
        </w:tc>
      </w:tr>
      <w:tr>
        <w:tblPrEx>
          <w:tblLayout w:type="fixed"/>
          <w:tblCellMar>
            <w:top w:w="0" w:type="dxa"/>
            <w:left w:w="10" w:type="dxa"/>
            <w:bottom w:w="0" w:type="dxa"/>
            <w:right w:w="10" w:type="dxa"/>
          </w:tblCellMar>
        </w:tblPrEx>
        <w:trPr>
          <w:gridAfter w:val="2"/>
          <w:wAfter w:w="4"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32</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新疆华澳能源化工股份有限公司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20</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0.8/1.0/4.0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40</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33</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克拉玛依华滨石油技术服务有限责任公司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煤改气</w:t>
            </w:r>
          </w:p>
        </w:tc>
      </w:tr>
      <w:tr>
        <w:tblPrEx>
          <w:tblLayout w:type="fixed"/>
          <w:tblCellMar>
            <w:top w:w="0" w:type="dxa"/>
            <w:left w:w="10" w:type="dxa"/>
            <w:bottom w:w="0" w:type="dxa"/>
            <w:right w:w="10" w:type="dxa"/>
          </w:tblCellMar>
        </w:tblPrEx>
        <w:trPr>
          <w:gridAfter w:val="2"/>
          <w:wAfter w:w="4" w:type="dxa"/>
          <w:trHeight w:val="278"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34</w:t>
            </w:r>
          </w:p>
        </w:tc>
        <w:tc>
          <w:tcPr>
            <w:tcW w:w="4434" w:type="dxa"/>
            <w:gridSpan w:val="4"/>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华新润通运输服务有限公司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0.8</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278"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34" w:type="dxa"/>
            <w:gridSpan w:val="4"/>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1.5</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0.8</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1.5</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35</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新疆华易石油工程技术有限公司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36</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克拉玛依市华油精细化工有限责任公司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37</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克拉玛依环亚有限责任公司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38</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克拉玛依依汇利科技发展有限责任公司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39</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克拉玛依市加士伦化工有限责任公司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6"/>
                <w:rFonts w:hint="default" w:ascii="Times New Roman" w:hAnsi="Times New Roman" w:eastAsia="宋体" w:cs="Times New Roman"/>
                <w:b w:val="0"/>
                <w:bCs w:val="0"/>
                <w:i/>
                <w:iCs/>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外接气源</w:t>
            </w:r>
          </w:p>
        </w:tc>
      </w:tr>
      <w:tr>
        <w:tblPrEx>
          <w:tblLayout w:type="fixed"/>
          <w:tblCellMar>
            <w:top w:w="0" w:type="dxa"/>
            <w:left w:w="10" w:type="dxa"/>
            <w:bottom w:w="0" w:type="dxa"/>
            <w:right w:w="10" w:type="dxa"/>
          </w:tblCellMar>
        </w:tblPrEx>
        <w:trPr>
          <w:gridAfter w:val="2"/>
          <w:wAfter w:w="4"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40</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新疆建投宝塑管业有限公司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煤改气</w:t>
            </w:r>
          </w:p>
        </w:tc>
      </w:tr>
      <w:tr>
        <w:tblPrEx>
          <w:tblLayout w:type="fixed"/>
          <w:tblCellMar>
            <w:top w:w="0" w:type="dxa"/>
            <w:left w:w="10" w:type="dxa"/>
            <w:bottom w:w="0" w:type="dxa"/>
            <w:right w:w="10" w:type="dxa"/>
          </w:tblCellMar>
        </w:tblPrEx>
        <w:trPr>
          <w:gridAfter w:val="2"/>
          <w:wAfter w:w="4"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41</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克拉玛依市江成有限责任公司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274"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42</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克拉玛依市杰德科技有限责任公司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43</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克拉玛依市杰龙运业有限责任公司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石化厂供</w:t>
            </w:r>
          </w:p>
        </w:tc>
      </w:tr>
      <w:tr>
        <w:tblPrEx>
          <w:tblLayout w:type="fixed"/>
          <w:tblCellMar>
            <w:top w:w="0" w:type="dxa"/>
            <w:left w:w="10" w:type="dxa"/>
            <w:bottom w:w="0" w:type="dxa"/>
            <w:right w:w="10" w:type="dxa"/>
          </w:tblCellMar>
        </w:tblPrEx>
        <w:trPr>
          <w:gridAfter w:val="2"/>
          <w:wAfter w:w="4" w:type="dxa"/>
          <w:trHeight w:val="274"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44</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克拉玛依市金科工程监理有限责任公司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2"/>
                <w:rFonts w:hint="default" w:ascii="Times New Roman" w:hAnsi="Times New Roman" w:eastAsia="宋体" w:cs="Times New Roman"/>
                <w:b w:val="0"/>
                <w:bCs w:val="0"/>
                <w:i/>
                <w:iCs/>
                <w:smallCaps w:val="0"/>
                <w:strike w:val="0"/>
                <w:color w:val="000000" w:themeColor="text1"/>
                <w:sz w:val="21"/>
                <w:szCs w:val="21"/>
                <w14:textFill>
                  <w14:solidFill>
                    <w14:schemeClr w14:val="tx1"/>
                  </w14:solidFill>
                </w14:textFill>
              </w:rPr>
              <w:t>j</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石化厂供</w:t>
            </w:r>
          </w:p>
        </w:tc>
      </w:tr>
      <w:tr>
        <w:tblPrEx>
          <w:tblLayout w:type="fixed"/>
          <w:tblCellMar>
            <w:top w:w="0" w:type="dxa"/>
            <w:left w:w="10" w:type="dxa"/>
            <w:bottom w:w="0" w:type="dxa"/>
            <w:right w:w="10" w:type="dxa"/>
          </w:tblCellMar>
        </w:tblPrEx>
        <w:trPr>
          <w:gridAfter w:val="2"/>
          <w:wAfter w:w="4" w:type="dxa"/>
          <w:trHeight w:val="274"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45</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克拉玛依市金磊建材有限公司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燃煤</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iCs/>
                <w:smallCaps w:val="0"/>
                <w:strike w:val="0"/>
                <w:color w:val="000000" w:themeColor="text1"/>
                <w:sz w:val="21"/>
                <w:szCs w:val="21"/>
                <w14:textFill>
                  <w14:solidFill>
                    <w14:schemeClr w14:val="tx1"/>
                  </w14:solidFill>
                </w14:textFill>
              </w:rPr>
              <w:t>2</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46</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克拉玛依市金利化工有限责任公司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石化厂供</w:t>
            </w:r>
          </w:p>
        </w:tc>
      </w:tr>
      <w:tr>
        <w:tblPrEx>
          <w:tblLayout w:type="fixed"/>
          <w:tblCellMar>
            <w:top w:w="0" w:type="dxa"/>
            <w:left w:w="10" w:type="dxa"/>
            <w:bottom w:w="0" w:type="dxa"/>
            <w:right w:w="10" w:type="dxa"/>
          </w:tblCellMar>
        </w:tblPrEx>
        <w:trPr>
          <w:gridAfter w:val="2"/>
          <w:wAfter w:w="4"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47</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克拉玛依市金牛信泰石油设备有限公司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5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2"/>
          <w:wAfter w:w="4" w:type="dxa"/>
          <w:trHeight w:val="326" w:hRule="exact"/>
          <w:jc w:val="center"/>
        </w:trPr>
        <w:tc>
          <w:tcPr>
            <w:tcW w:w="726"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48</w:t>
            </w:r>
          </w:p>
        </w:tc>
        <w:tc>
          <w:tcPr>
            <w:tcW w:w="4434" w:type="dxa"/>
            <w:gridSpan w:val="4"/>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新疆金石钻采设备有限公司</w:t>
            </w:r>
          </w:p>
        </w:tc>
        <w:tc>
          <w:tcPr>
            <w:tcW w:w="1142" w:type="dxa"/>
            <w:gridSpan w:val="4"/>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856"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0" w:type="dxa"/>
            <w:gridSpan w:val="3"/>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w:t>
            </w:r>
          </w:p>
        </w:tc>
        <w:tc>
          <w:tcPr>
            <w:tcW w:w="865" w:type="dxa"/>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0"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49</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新疆金塔投资（集团）有限公司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0.8/1.0/1.</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石化厂供</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50</w:t>
            </w:r>
          </w:p>
        </w:tc>
        <w:tc>
          <w:tcPr>
            <w:tcW w:w="4434" w:type="dxa"/>
            <w:gridSpan w:val="4"/>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克拉玛依市金鑫科技有限公司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生产</w:t>
            </w:r>
          </w:p>
        </w:tc>
      </w:tr>
      <w:tr>
        <w:tblPrEx>
          <w:tblLayout w:type="fixed"/>
          <w:tblCellMar>
            <w:top w:w="0" w:type="dxa"/>
            <w:left w:w="10" w:type="dxa"/>
            <w:bottom w:w="0" w:type="dxa"/>
            <w:right w:w="10" w:type="dxa"/>
          </w:tblCellMar>
        </w:tblPrEx>
        <w:trPr>
          <w:gridAfter w:val="1"/>
          <w:wAfter w:w="3" w:type="dxa"/>
          <w:trHeight w:val="288"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34" w:type="dxa"/>
            <w:gridSpan w:val="4"/>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供热</w:t>
            </w:r>
          </w:p>
        </w:tc>
      </w:tr>
      <w:tr>
        <w:tblPrEx>
          <w:tblLayout w:type="fixed"/>
          <w:tblCellMar>
            <w:top w:w="0" w:type="dxa"/>
            <w:left w:w="10" w:type="dxa"/>
            <w:bottom w:w="0" w:type="dxa"/>
            <w:right w:w="10" w:type="dxa"/>
          </w:tblCellMar>
        </w:tblPrEx>
        <w:trPr>
          <w:gridAfter w:val="1"/>
          <w:wAfter w:w="3" w:type="dxa"/>
          <w:trHeight w:val="408"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51</w:t>
            </w:r>
          </w:p>
        </w:tc>
        <w:tc>
          <w:tcPr>
            <w:tcW w:w="4434" w:type="dxa"/>
            <w:gridSpan w:val="4"/>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克拉玛依金叶化工有限贵任公司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0.8</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6"/>
                <w:rFonts w:hint="default" w:ascii="Times New Roman" w:hAnsi="Times New Roman" w:eastAsia="宋体" w:cs="Times New Roman"/>
                <w:b w:val="0"/>
                <w:bCs w:val="0"/>
                <w:i/>
                <w:iCs/>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34" w:type="dxa"/>
            <w:gridSpan w:val="4"/>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供热</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52</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克拉玛依金源精细化工有限责任公司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30</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1.0/1.</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60</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53</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克拉玛依金运有限责任公司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供热</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54</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克拉玛依锦泰国际物流股份有限公司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I用1备</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55</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克拉玛依市聚油节能材料有限公司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56</w:t>
            </w:r>
          </w:p>
        </w:tc>
        <w:tc>
          <w:tcPr>
            <w:tcW w:w="4434" w:type="dxa"/>
            <w:gridSpan w:val="4"/>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克拉玛依市玖鼎石油科技有限公司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生产</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34" w:type="dxa"/>
            <w:gridSpan w:val="4"/>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57</w:t>
            </w:r>
          </w:p>
        </w:tc>
        <w:tc>
          <w:tcPr>
            <w:tcW w:w="4434" w:type="dxa"/>
            <w:gridSpan w:val="4"/>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克拉玛依凯德化工科技有限公司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547"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34" w:type="dxa"/>
            <w:gridSpan w:val="4"/>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生产（导热 油）</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58</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克拉玛依开通运输有限责任公司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广盛热力</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59</w:t>
            </w:r>
          </w:p>
        </w:tc>
        <w:tc>
          <w:tcPr>
            <w:tcW w:w="4434" w:type="dxa"/>
            <w:gridSpan w:val="4"/>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新疆康采恩工业科技有限责任公司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0.8</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34" w:type="dxa"/>
            <w:gridSpan w:val="4"/>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0.8</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60</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克拉玛依康佳包装有限责任公司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石化供热</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61</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克拉玛依康佳化工有限责任公司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石化供热</w:t>
            </w:r>
          </w:p>
        </w:tc>
      </w:tr>
      <w:tr>
        <w:tblPrEx>
          <w:tblLayout w:type="fixed"/>
          <w:tblCellMar>
            <w:top w:w="0" w:type="dxa"/>
            <w:left w:w="10" w:type="dxa"/>
            <w:bottom w:w="0" w:type="dxa"/>
            <w:right w:w="10" w:type="dxa"/>
          </w:tblCellMar>
        </w:tblPrEx>
        <w:trPr>
          <w:gridAfter w:val="1"/>
          <w:wAfter w:w="3" w:type="dxa"/>
          <w:trHeight w:val="547"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62</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克拉玛依金砖钢结构工程有限公司（原名：康 晶陶粒棚块厂）</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63</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克拉玛依市科比技术有限责任公司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广盛热力</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64</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克拉玛依市科达石化科技有限责任公司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4"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65</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克拉玛依市科化技术服务有限贵任公司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广盛热力</w:t>
            </w:r>
          </w:p>
        </w:tc>
      </w:tr>
      <w:tr>
        <w:tblPrEx>
          <w:tblLayout w:type="fixed"/>
          <w:tblCellMar>
            <w:top w:w="0" w:type="dxa"/>
            <w:left w:w="10" w:type="dxa"/>
            <w:bottom w:w="0" w:type="dxa"/>
            <w:right w:w="10" w:type="dxa"/>
          </w:tblCellMar>
        </w:tblPrEx>
        <w:trPr>
          <w:gridAfter w:val="1"/>
          <w:wAfter w:w="3" w:type="dxa"/>
          <w:trHeight w:val="288"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66</w:t>
            </w:r>
          </w:p>
        </w:tc>
        <w:tc>
          <w:tcPr>
            <w:tcW w:w="4434" w:type="dxa"/>
            <w:gridSpan w:val="4"/>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新疆科力新技术发展有限公司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0.7</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生产</w:t>
            </w:r>
          </w:p>
        </w:tc>
      </w:tr>
      <w:tr>
        <w:tblPrEx>
          <w:tblLayout w:type="fixed"/>
          <w:tblCellMar>
            <w:top w:w="0" w:type="dxa"/>
            <w:left w:w="10" w:type="dxa"/>
            <w:bottom w:w="0" w:type="dxa"/>
            <w:right w:w="10" w:type="dxa"/>
          </w:tblCellMar>
        </w:tblPrEx>
        <w:trPr>
          <w:gridAfter w:val="1"/>
          <w:wAfter w:w="3" w:type="dxa"/>
          <w:trHeight w:val="274"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34" w:type="dxa"/>
            <w:gridSpan w:val="4"/>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0.7</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67</w:t>
            </w:r>
          </w:p>
        </w:tc>
        <w:tc>
          <w:tcPr>
            <w:tcW w:w="4434" w:type="dxa"/>
            <w:gridSpan w:val="4"/>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克拉玛依市科能防腐技术有限责任公司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燃煤</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生产</w:t>
            </w:r>
          </w:p>
        </w:tc>
      </w:tr>
      <w:tr>
        <w:tblPrEx>
          <w:tblLayout w:type="fixed"/>
          <w:tblCellMar>
            <w:top w:w="0" w:type="dxa"/>
            <w:left w:w="10" w:type="dxa"/>
            <w:bottom w:w="0" w:type="dxa"/>
            <w:right w:w="10" w:type="dxa"/>
          </w:tblCellMar>
        </w:tblPrEx>
        <w:trPr>
          <w:gridAfter w:val="1"/>
          <w:wAfter w:w="3" w:type="dxa"/>
          <w:trHeight w:val="274"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34" w:type="dxa"/>
            <w:gridSpan w:val="4"/>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68</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克拉玛依市科腾工贸有限公司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69</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克拉玛依新奥达石油石化技术服务有限公司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0.8/1.0/3.0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150</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302" w:hRule="exact"/>
          <w:jc w:val="center"/>
        </w:trPr>
        <w:tc>
          <w:tcPr>
            <w:tcW w:w="726"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70</w:t>
            </w:r>
          </w:p>
        </w:tc>
        <w:tc>
          <w:tcPr>
            <w:tcW w:w="4434" w:type="dxa"/>
            <w:gridSpan w:val="4"/>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克拉玛依市克利达油脂化工有限责任公司</w:t>
            </w:r>
          </w:p>
        </w:tc>
        <w:tc>
          <w:tcPr>
            <w:tcW w:w="1138" w:type="dxa"/>
            <w:gridSpan w:val="3"/>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w:t>
            </w:r>
          </w:p>
        </w:tc>
        <w:tc>
          <w:tcPr>
            <w:tcW w:w="860" w:type="dxa"/>
            <w:gridSpan w:val="2"/>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1" w:type="dxa"/>
            <w:gridSpan w:val="4"/>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0.5/1.</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0</w:t>
            </w:r>
          </w:p>
        </w:tc>
        <w:tc>
          <w:tcPr>
            <w:tcW w:w="1070" w:type="dxa"/>
            <w:gridSpan w:val="3"/>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w:t>
            </w:r>
          </w:p>
        </w:tc>
        <w:tc>
          <w:tcPr>
            <w:tcW w:w="790"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导热油</w:t>
            </w:r>
          </w:p>
        </w:tc>
      </w:tr>
      <w:tr>
        <w:tblPrEx>
          <w:tblLayout w:type="fixed"/>
          <w:tblCellMar>
            <w:top w:w="0" w:type="dxa"/>
            <w:left w:w="10" w:type="dxa"/>
            <w:bottom w:w="0" w:type="dxa"/>
            <w:right w:w="10" w:type="dxa"/>
          </w:tblCellMar>
        </w:tblPrEx>
        <w:trPr>
          <w:gridAfter w:val="1"/>
          <w:wAfter w:w="3" w:type="dxa"/>
          <w:trHeight w:val="562"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71</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中国石油天然气股份有限公司克拉玛依石化分公司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130</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燃煤</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1.0/1.5/4.0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380</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生产</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72</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新疆坤隆石油装备有限公司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0" w:type="dxa"/>
            <w:gridSpan w:val="2"/>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1.0/1.</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73</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克拉玛依市利德奥园林工程有限公司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2"/>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 xml:space="preserve">' </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74</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新疆龙桥工程塑料有限公司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1.0/3.0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广盛热力</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75</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新疆鲁通新材料有限公司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2"/>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3</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2"/>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2</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1.0/1.</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76</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新疆路睿通公路工程技术有限公司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77</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克拉玛依市绿海园艺有限公司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4"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78</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克拉玛依荣泰化工有限公司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79</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克拉玛依市三达新技术开发有限责任公司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80</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新疆三凯石油技术有限公司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2"/>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3</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1.5</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81</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克拉玛依市圣起钻采设备有限责任公司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2"/>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2</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8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82</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克拉玛依胜利高原机械有限公司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83</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克拉玛依市顺通工贸有限责任公司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84</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新疆腾捷机电设备有限责任公司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冬季停工</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85</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克拉玛依市天明化工有限责任公司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86</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克拉玛依市天瑞石油化工有限公司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87</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克拉玛依天圣工程建设有限责任公司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88</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克拉玛依市同仁商贸有限责任公司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壁挂炉</w:t>
            </w:r>
          </w:p>
        </w:tc>
      </w:tr>
      <w:tr>
        <w:tblPrEx>
          <w:tblLayout w:type="fixed"/>
          <w:tblCellMar>
            <w:top w:w="0" w:type="dxa"/>
            <w:left w:w="10" w:type="dxa"/>
            <w:bottom w:w="0" w:type="dxa"/>
            <w:right w:w="10" w:type="dxa"/>
          </w:tblCellMar>
        </w:tblPrEx>
        <w:trPr>
          <w:gridAfter w:val="1"/>
          <w:wAfter w:w="3" w:type="dxa"/>
          <w:trHeight w:val="28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89</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新疆同益投资有限公司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0.8/1.0/1.5/3.0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40</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克石化+自建</w:t>
            </w:r>
          </w:p>
        </w:tc>
      </w:tr>
      <w:tr>
        <w:tblPrEx>
          <w:tblLayout w:type="fixed"/>
          <w:tblCellMar>
            <w:top w:w="0" w:type="dxa"/>
            <w:left w:w="10" w:type="dxa"/>
            <w:bottom w:w="0" w:type="dxa"/>
            <w:right w:w="10" w:type="dxa"/>
          </w:tblCellMar>
        </w:tblPrEx>
        <w:trPr>
          <w:gridAfter w:val="1"/>
          <w:wAfter w:w="3" w:type="dxa"/>
          <w:trHeight w:val="274"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90</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新疆威奥科技股份有限公司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91</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克拉玛依威隆物业服务有限责任公司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92</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克拉玛依市威特科技有限责任公司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93</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克拉玛依沃森环保科技有限公司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4.4</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燃油</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4.4</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94</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克拉玛依市五杰工贸有限责任公司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燃煤</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4"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95</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西部黄金克拉玛依哈图金矿有限责任公司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3"/>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4"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96</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新疆熙泰石油装备有限公司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97</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克拉玛依市新锋锐金刚石钻头制造有限公司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69"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98</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克拉玛依新捷液化天然气有限公司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1.0/1.</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99</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克拉玛依市新鲁能源化工科技有限公司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0.4/1.5/3.0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石化厂供</w:t>
            </w:r>
          </w:p>
        </w:tc>
      </w:tr>
      <w:tr>
        <w:tblPrEx>
          <w:tblLayout w:type="fixed"/>
          <w:tblCellMar>
            <w:top w:w="0" w:type="dxa"/>
            <w:left w:w="10" w:type="dxa"/>
            <w:bottom w:w="0" w:type="dxa"/>
            <w:right w:w="10" w:type="dxa"/>
          </w:tblCellMar>
        </w:tblPrEx>
        <w:trPr>
          <w:gridAfter w:val="1"/>
          <w:wAfter w:w="3"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100</w:t>
            </w:r>
          </w:p>
        </w:tc>
        <w:tc>
          <w:tcPr>
            <w:tcW w:w="4434"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克拉玛依市新陆油科技有限公司</w:t>
            </w:r>
          </w:p>
        </w:tc>
        <w:tc>
          <w:tcPr>
            <w:tcW w:w="1138"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0"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81"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0.5/1</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79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1"/>
          <w:wAfter w:w="3" w:type="dxa"/>
          <w:trHeight w:val="322" w:hRule="exact"/>
          <w:jc w:val="center"/>
        </w:trPr>
        <w:tc>
          <w:tcPr>
            <w:tcW w:w="726"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101</w:t>
            </w:r>
          </w:p>
        </w:tc>
        <w:tc>
          <w:tcPr>
            <w:tcW w:w="4434" w:type="dxa"/>
            <w:gridSpan w:val="4"/>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新疆新投康佳股份有限公司</w:t>
            </w:r>
          </w:p>
        </w:tc>
        <w:tc>
          <w:tcPr>
            <w:tcW w:w="1138" w:type="dxa"/>
            <w:gridSpan w:val="3"/>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30</w:t>
            </w:r>
          </w:p>
        </w:tc>
        <w:tc>
          <w:tcPr>
            <w:tcW w:w="860" w:type="dxa"/>
            <w:gridSpan w:val="2"/>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81" w:type="dxa"/>
            <w:gridSpan w:val="4"/>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0" w:type="dxa"/>
            <w:gridSpan w:val="3"/>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1.0/3.0/4.5</w:t>
            </w:r>
          </w:p>
        </w:tc>
        <w:tc>
          <w:tcPr>
            <w:tcW w:w="1070" w:type="dxa"/>
            <w:gridSpan w:val="3"/>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110</w:t>
            </w:r>
          </w:p>
        </w:tc>
        <w:tc>
          <w:tcPr>
            <w:tcW w:w="790"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20</w:t>
            </w:r>
          </w:p>
        </w:tc>
        <w:tc>
          <w:tcPr>
            <w:tcW w:w="865" w:type="dxa"/>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61" w:type="dxa"/>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83"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102</w:t>
            </w:r>
          </w:p>
        </w:tc>
        <w:tc>
          <w:tcPr>
            <w:tcW w:w="4429" w:type="dxa"/>
            <w:gridSpan w:val="2"/>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新疆新油国际石油装备有限责任公司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iCs/>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78"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29" w:type="dxa"/>
            <w:gridSpan w:val="2"/>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iCs/>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83"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29" w:type="dxa"/>
            <w:gridSpan w:val="2"/>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iCs/>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78"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29" w:type="dxa"/>
            <w:gridSpan w:val="2"/>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20</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20</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导热油</w:t>
            </w:r>
          </w:p>
        </w:tc>
      </w:tr>
      <w:tr>
        <w:tblPrEx>
          <w:tblLayout w:type="fixed"/>
          <w:tblCellMar>
            <w:top w:w="0" w:type="dxa"/>
            <w:left w:w="10" w:type="dxa"/>
            <w:bottom w:w="0" w:type="dxa"/>
            <w:right w:w="10" w:type="dxa"/>
          </w:tblCellMar>
        </w:tblPrEx>
        <w:trPr>
          <w:gridAfter w:val="3"/>
          <w:wAfter w:w="5"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103</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新疆信泰鹏飞新型建材有限公司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104</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克拉玛依雪拓设备工程有限责任公司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0.8</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0.8</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74"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105</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克拉玛依亚龙石油机械有限公司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106</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克拉玛依市义恩技术服务有限责任公司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107</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克拉玛依中石油翼龙高级润滑油有限公司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0.8/1.0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108</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克拉玛依盈德气体有限公司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8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109</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新疆油城物资有限公司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2"/>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3</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2"/>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3</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542"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110</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新疆岳麓巨星建材有限责任公司克拉玛依分公司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111</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克拉玛依长海塑料制品有限公司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生产</w:t>
            </w:r>
          </w:p>
        </w:tc>
      </w:tr>
      <w:tr>
        <w:tblPrEx>
          <w:tblLayout w:type="fixed"/>
          <w:tblCellMar>
            <w:top w:w="0" w:type="dxa"/>
            <w:left w:w="10" w:type="dxa"/>
            <w:bottom w:w="0" w:type="dxa"/>
            <w:right w:w="10" w:type="dxa"/>
          </w:tblCellMar>
        </w:tblPrEx>
        <w:trPr>
          <w:gridAfter w:val="3"/>
          <w:wAfter w:w="5" w:type="dxa"/>
          <w:trHeight w:val="274"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112</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克拉玛依市正名工贸有限责任公司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1.5</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78"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113</w:t>
            </w:r>
          </w:p>
        </w:tc>
        <w:tc>
          <w:tcPr>
            <w:tcW w:w="4429" w:type="dxa"/>
            <w:gridSpan w:val="2"/>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克拉玛依市正诚有限公司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生产</w:t>
            </w:r>
          </w:p>
        </w:tc>
      </w:tr>
      <w:tr>
        <w:tblPrEx>
          <w:tblLayout w:type="fixed"/>
          <w:tblCellMar>
            <w:top w:w="0" w:type="dxa"/>
            <w:left w:w="10" w:type="dxa"/>
            <w:bottom w:w="0" w:type="dxa"/>
            <w:right w:w="10" w:type="dxa"/>
          </w:tblCellMar>
        </w:tblPrEx>
        <w:trPr>
          <w:gridAfter w:val="3"/>
          <w:wAfter w:w="5" w:type="dxa"/>
          <w:trHeight w:val="283"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29" w:type="dxa"/>
            <w:gridSpan w:val="2"/>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生产</w:t>
            </w:r>
          </w:p>
        </w:tc>
      </w:tr>
      <w:tr>
        <w:tblPrEx>
          <w:tblLayout w:type="fixed"/>
          <w:tblCellMar>
            <w:top w:w="0" w:type="dxa"/>
            <w:left w:w="10" w:type="dxa"/>
            <w:bottom w:w="0" w:type="dxa"/>
            <w:right w:w="10" w:type="dxa"/>
          </w:tblCellMar>
        </w:tblPrEx>
        <w:trPr>
          <w:gridAfter w:val="3"/>
          <w:wAfter w:w="5" w:type="dxa"/>
          <w:trHeight w:val="283"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114</w:t>
            </w:r>
          </w:p>
        </w:tc>
        <w:tc>
          <w:tcPr>
            <w:tcW w:w="4429" w:type="dxa"/>
            <w:gridSpan w:val="2"/>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新疆正通实业有限公司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2"/>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3</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83"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29" w:type="dxa"/>
            <w:gridSpan w:val="2"/>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0.5</w:t>
            </w:r>
          </w:p>
        </w:tc>
        <w:tc>
          <w:tcPr>
            <w:tcW w:w="861" w:type="dxa"/>
            <w:gridSpan w:val="3"/>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78"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115</w:t>
            </w:r>
          </w:p>
        </w:tc>
        <w:tc>
          <w:tcPr>
            <w:tcW w:w="4429" w:type="dxa"/>
            <w:gridSpan w:val="2"/>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克拉玛依市志博工贸有限贵任公司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2000pa</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83"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29" w:type="dxa"/>
            <w:gridSpan w:val="2"/>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8300pa</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116</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克拉玛依致信有限责任公司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供热</w:t>
            </w:r>
          </w:p>
        </w:tc>
      </w:tr>
      <w:tr>
        <w:tblPrEx>
          <w:tblLayout w:type="fixed"/>
          <w:tblCellMar>
            <w:top w:w="0" w:type="dxa"/>
            <w:left w:w="10" w:type="dxa"/>
            <w:bottom w:w="0" w:type="dxa"/>
            <w:right w:w="10" w:type="dxa"/>
          </w:tblCellMar>
        </w:tblPrEx>
        <w:trPr>
          <w:gridAfter w:val="3"/>
          <w:wAfter w:w="5"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117</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中船重工新疆海源能源装备有限公司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83" w:hRule="exact"/>
          <w:jc w:val="center"/>
        </w:trPr>
        <w:tc>
          <w:tcPr>
            <w:tcW w:w="726"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118</w:t>
            </w:r>
          </w:p>
        </w:tc>
        <w:tc>
          <w:tcPr>
            <w:tcW w:w="4429" w:type="dxa"/>
            <w:gridSpan w:val="2"/>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克拉玛依中大远东石油机械设备有限公司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燃煤</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用</w:t>
            </w:r>
          </w:p>
        </w:tc>
      </w:tr>
      <w:tr>
        <w:tblPrEx>
          <w:tblLayout w:type="fixed"/>
          <w:tblCellMar>
            <w:top w:w="0" w:type="dxa"/>
            <w:left w:w="10" w:type="dxa"/>
            <w:bottom w:w="0" w:type="dxa"/>
            <w:right w:w="10" w:type="dxa"/>
          </w:tblCellMar>
        </w:tblPrEx>
        <w:trPr>
          <w:gridAfter w:val="3"/>
          <w:wAfter w:w="5" w:type="dxa"/>
          <w:trHeight w:val="278" w:hRule="exact"/>
          <w:jc w:val="center"/>
        </w:trPr>
        <w:tc>
          <w:tcPr>
            <w:tcW w:w="726"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29" w:type="dxa"/>
            <w:gridSpan w:val="2"/>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燃煤</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备</w:t>
            </w:r>
          </w:p>
        </w:tc>
      </w:tr>
      <w:tr>
        <w:tblPrEx>
          <w:tblLayout w:type="fixed"/>
          <w:tblCellMar>
            <w:top w:w="0" w:type="dxa"/>
            <w:left w:w="10" w:type="dxa"/>
            <w:bottom w:w="0" w:type="dxa"/>
            <w:right w:w="10" w:type="dxa"/>
          </w:tblCellMar>
        </w:tblPrEx>
        <w:trPr>
          <w:gridAfter w:val="3"/>
          <w:wAfter w:w="5"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119</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新疆中工动力能源有限公司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壁挂炉</w:t>
            </w:r>
          </w:p>
        </w:tc>
      </w:tr>
      <w:tr>
        <w:tblPrEx>
          <w:tblLayout w:type="fixed"/>
          <w:tblCellMar>
            <w:top w:w="0" w:type="dxa"/>
            <w:left w:w="10" w:type="dxa"/>
            <w:bottom w:w="0" w:type="dxa"/>
            <w:right w:w="10" w:type="dxa"/>
          </w:tblCellMar>
        </w:tblPrEx>
        <w:trPr>
          <w:gridAfter w:val="3"/>
          <w:wAfter w:w="5" w:type="dxa"/>
          <w:trHeight w:val="269"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120</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新疆中陆石油技术有限公司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壁挂炉</w:t>
            </w:r>
          </w:p>
        </w:tc>
      </w:tr>
      <w:tr>
        <w:tblPrEx>
          <w:tblLayout w:type="fixed"/>
          <w:tblCellMar>
            <w:top w:w="0" w:type="dxa"/>
            <w:left w:w="10" w:type="dxa"/>
            <w:bottom w:w="0" w:type="dxa"/>
            <w:right w:w="10" w:type="dxa"/>
          </w:tblCellMar>
        </w:tblPrEx>
        <w:trPr>
          <w:gridAfter w:val="3"/>
          <w:wAfter w:w="5"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121</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新疆中太化工有限贵任公司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0.8/1.2</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生产</w:t>
            </w:r>
          </w:p>
        </w:tc>
      </w:tr>
      <w:tr>
        <w:tblPrEx>
          <w:tblLayout w:type="fixed"/>
          <w:tblCellMar>
            <w:top w:w="0" w:type="dxa"/>
            <w:left w:w="10" w:type="dxa"/>
            <w:bottom w:w="0" w:type="dxa"/>
            <w:right w:w="10" w:type="dxa"/>
          </w:tblCellMar>
        </w:tblPrEx>
        <w:trPr>
          <w:gridAfter w:val="3"/>
          <w:wAfter w:w="5"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122</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新疆众利禾石油机械制造有限公司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1"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123</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克拉玛依紫光技术有限公司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1.5</w:t>
            </w:r>
          </w:p>
        </w:tc>
        <w:tc>
          <w:tcPr>
            <w:tcW w:w="861" w:type="dxa"/>
            <w:gridSpan w:val="3"/>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1.5</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124</w:t>
            </w:r>
          </w:p>
        </w:tc>
        <w:tc>
          <w:tcPr>
            <w:tcW w:w="4429"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新疆美叶油气能源储运有限公司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861" w:type="dxa"/>
            <w:gridSpan w:val="3"/>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5"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3"/>
          <w:wAfter w:w="5" w:type="dxa"/>
          <w:trHeight w:val="298" w:hRule="exact"/>
          <w:jc w:val="center"/>
        </w:trPr>
        <w:tc>
          <w:tcPr>
            <w:tcW w:w="726"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125</w:t>
            </w:r>
          </w:p>
        </w:tc>
        <w:tc>
          <w:tcPr>
            <w:tcW w:w="4429" w:type="dxa"/>
            <w:gridSpan w:val="2"/>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克拉玛依中克有限责任公司</w:t>
            </w:r>
          </w:p>
        </w:tc>
        <w:tc>
          <w:tcPr>
            <w:tcW w:w="1142" w:type="dxa"/>
            <w:gridSpan w:val="4"/>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0.2</w:t>
            </w:r>
          </w:p>
        </w:tc>
        <w:tc>
          <w:tcPr>
            <w:tcW w:w="861" w:type="dxa"/>
            <w:gridSpan w:val="3"/>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5" w:type="dxa"/>
            <w:gridSpan w:val="2"/>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70" w:type="dxa"/>
            <w:gridSpan w:val="3"/>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791" w:type="dxa"/>
            <w:gridSpan w:val="2"/>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0.2</w:t>
            </w:r>
          </w:p>
        </w:tc>
        <w:tc>
          <w:tcPr>
            <w:tcW w:w="865" w:type="dxa"/>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59"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4"/>
          <w:wAfter w:w="19" w:type="dxa"/>
          <w:trHeight w:val="302"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126</w:t>
            </w:r>
          </w:p>
        </w:tc>
        <w:tc>
          <w:tcPr>
            <w:tcW w:w="44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克拉玛依金华燃气有限责任公司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6"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66"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0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4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新华润通供</w:t>
            </w:r>
          </w:p>
        </w:tc>
      </w:tr>
      <w:tr>
        <w:tblPrEx>
          <w:tblLayout w:type="fixed"/>
          <w:tblCellMar>
            <w:top w:w="0" w:type="dxa"/>
            <w:left w:w="10" w:type="dxa"/>
            <w:bottom w:w="0" w:type="dxa"/>
            <w:right w:w="10" w:type="dxa"/>
          </w:tblCellMar>
        </w:tblPrEx>
        <w:trPr>
          <w:gridAfter w:val="4"/>
          <w:wAfter w:w="19" w:type="dxa"/>
          <w:trHeight w:val="547"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127</w:t>
            </w:r>
          </w:p>
        </w:tc>
        <w:tc>
          <w:tcPr>
            <w:tcW w:w="44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新疆油田公司物资供应总公司克拉玛依储运 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6"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7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66"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0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4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1用1备</w:t>
            </w:r>
          </w:p>
        </w:tc>
      </w:tr>
      <w:tr>
        <w:tblPrEx>
          <w:tblLayout w:type="fixed"/>
          <w:tblCellMar>
            <w:top w:w="0" w:type="dxa"/>
            <w:left w:w="10" w:type="dxa"/>
            <w:bottom w:w="0" w:type="dxa"/>
            <w:right w:w="10" w:type="dxa"/>
          </w:tblCellMar>
        </w:tblPrEx>
        <w:trPr>
          <w:gridAfter w:val="4"/>
          <w:wAfter w:w="19"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128</w:t>
            </w:r>
          </w:p>
        </w:tc>
        <w:tc>
          <w:tcPr>
            <w:tcW w:w="44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石化工业园区污水处理厂1号提升泵站</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6"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66"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0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4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电暖气</w:t>
            </w:r>
          </w:p>
        </w:tc>
      </w:tr>
      <w:tr>
        <w:tblPrEx>
          <w:tblLayout w:type="fixed"/>
          <w:tblCellMar>
            <w:top w:w="0" w:type="dxa"/>
            <w:left w:w="10" w:type="dxa"/>
            <w:bottom w:w="0" w:type="dxa"/>
            <w:right w:w="10" w:type="dxa"/>
          </w:tblCellMar>
        </w:tblPrEx>
        <w:trPr>
          <w:gridAfter w:val="4"/>
          <w:wAfter w:w="19"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129</w:t>
            </w:r>
          </w:p>
        </w:tc>
        <w:tc>
          <w:tcPr>
            <w:tcW w:w="44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炼油化工研宄院中试车间</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6"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66"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0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4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石化公司</w:t>
            </w:r>
          </w:p>
        </w:tc>
      </w:tr>
      <w:tr>
        <w:tblPrEx>
          <w:tblLayout w:type="fixed"/>
          <w:tblCellMar>
            <w:top w:w="0" w:type="dxa"/>
            <w:left w:w="10" w:type="dxa"/>
            <w:bottom w:w="0" w:type="dxa"/>
            <w:right w:w="10" w:type="dxa"/>
          </w:tblCellMar>
        </w:tblPrEx>
        <w:trPr>
          <w:gridAfter w:val="4"/>
          <w:wAfter w:w="19"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130</w:t>
            </w:r>
          </w:p>
        </w:tc>
        <w:tc>
          <w:tcPr>
            <w:tcW w:w="44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克拉玛依微型消防站</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1.5</w:t>
            </w:r>
          </w:p>
        </w:tc>
        <w:tc>
          <w:tcPr>
            <w:tcW w:w="866"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27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天然气</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66"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0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1.5</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4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4"/>
          <w:wAfter w:w="19"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131</w:t>
            </w:r>
          </w:p>
        </w:tc>
        <w:tc>
          <w:tcPr>
            <w:tcW w:w="44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西部钻探固井公司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6"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66"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0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4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4"/>
          <w:wAfter w:w="19"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132</w:t>
            </w:r>
          </w:p>
        </w:tc>
        <w:tc>
          <w:tcPr>
            <w:tcW w:w="44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克拉玛依试油调度室</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6"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66"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0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4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gridAfter w:val="4"/>
          <w:wAfter w:w="19" w:type="dxa"/>
          <w:trHeight w:val="274"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133</w:t>
            </w:r>
          </w:p>
        </w:tc>
        <w:tc>
          <w:tcPr>
            <w:tcW w:w="44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振兴铸管厂</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6"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66"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0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4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冬季停产</w:t>
            </w:r>
          </w:p>
        </w:tc>
      </w:tr>
      <w:tr>
        <w:tblPrEx>
          <w:tblLayout w:type="fixed"/>
          <w:tblCellMar>
            <w:top w:w="0" w:type="dxa"/>
            <w:left w:w="10" w:type="dxa"/>
            <w:bottom w:w="0" w:type="dxa"/>
            <w:right w:w="10" w:type="dxa"/>
          </w:tblCellMar>
        </w:tblPrEx>
        <w:trPr>
          <w:gridAfter w:val="4"/>
          <w:wAfter w:w="19" w:type="dxa"/>
          <w:trHeight w:val="278"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134</w:t>
            </w:r>
          </w:p>
        </w:tc>
        <w:tc>
          <w:tcPr>
            <w:tcW w:w="44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克拉玛依市金山石油化工有限公司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6"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1.0/1.</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1066"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80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4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石化公司</w:t>
            </w:r>
          </w:p>
        </w:tc>
      </w:tr>
      <w:tr>
        <w:tblPrEx>
          <w:tblLayout w:type="fixed"/>
          <w:tblCellMar>
            <w:top w:w="0" w:type="dxa"/>
            <w:left w:w="10" w:type="dxa"/>
            <w:bottom w:w="0" w:type="dxa"/>
            <w:right w:w="10" w:type="dxa"/>
          </w:tblCellMar>
        </w:tblPrEx>
        <w:trPr>
          <w:gridAfter w:val="4"/>
          <w:wAfter w:w="19"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135</w:t>
            </w:r>
          </w:p>
        </w:tc>
        <w:tc>
          <w:tcPr>
            <w:tcW w:w="44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克拉玛依陆峰工贸有限责任公司</w:t>
            </w:r>
          </w:p>
        </w:tc>
        <w:tc>
          <w:tcPr>
            <w:tcW w:w="1142"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6"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1.0/1.</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1066"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w:t>
            </w:r>
          </w:p>
        </w:tc>
        <w:tc>
          <w:tcPr>
            <w:tcW w:w="80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4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石化公司</w:t>
            </w:r>
          </w:p>
        </w:tc>
      </w:tr>
      <w:tr>
        <w:tblPrEx>
          <w:tblLayout w:type="fixed"/>
          <w:tblCellMar>
            <w:top w:w="0" w:type="dxa"/>
            <w:left w:w="10" w:type="dxa"/>
            <w:bottom w:w="0" w:type="dxa"/>
            <w:right w:w="10" w:type="dxa"/>
          </w:tblCellMar>
        </w:tblPrEx>
        <w:trPr>
          <w:gridAfter w:val="4"/>
          <w:wAfter w:w="19" w:type="dxa"/>
          <w:trHeight w:val="322"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136</w:t>
            </w:r>
          </w:p>
        </w:tc>
        <w:tc>
          <w:tcPr>
            <w:tcW w:w="44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金龙镇</w:t>
            </w:r>
          </w:p>
        </w:tc>
        <w:tc>
          <w:tcPr>
            <w:tcW w:w="1142" w:type="dxa"/>
            <w:gridSpan w:val="4"/>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66"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66"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0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220</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4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供暖</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+24h</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热水</w:t>
            </w:r>
          </w:p>
        </w:tc>
      </w:tr>
      <w:tr>
        <w:tblPrEx>
          <w:tblLayout w:type="fixed"/>
          <w:tblCellMar>
            <w:top w:w="0" w:type="dxa"/>
            <w:left w:w="10" w:type="dxa"/>
            <w:bottom w:w="0" w:type="dxa"/>
            <w:right w:w="10" w:type="dxa"/>
          </w:tblCellMar>
        </w:tblPrEx>
        <w:trPr>
          <w:gridAfter w:val="4"/>
          <w:wAfter w:w="19" w:type="dxa"/>
          <w:trHeight w:val="283" w:hRule="exact"/>
          <w:jc w:val="center"/>
        </w:trPr>
        <w:tc>
          <w:tcPr>
            <w:tcW w:w="7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137</w:t>
            </w:r>
          </w:p>
        </w:tc>
        <w:tc>
          <w:tcPr>
            <w:tcW w:w="44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三平镇</w:t>
            </w:r>
          </w:p>
        </w:tc>
        <w:tc>
          <w:tcPr>
            <w:tcW w:w="1142" w:type="dxa"/>
            <w:gridSpan w:val="4"/>
            <w:tcBorders>
              <w:top w:val="single" w:color="auto" w:sz="4" w:space="0"/>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66"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27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56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066"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00" w:type="dxa"/>
            <w:gridSpan w:val="3"/>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80</w:t>
            </w:r>
          </w:p>
        </w:tc>
        <w:tc>
          <w:tcPr>
            <w:tcW w:w="8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运营</w:t>
            </w:r>
          </w:p>
        </w:tc>
        <w:tc>
          <w:tcPr>
            <w:tcW w:w="144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供暖</w:t>
            </w:r>
          </w:p>
        </w:tc>
      </w:tr>
      <w:tr>
        <w:tblPrEx>
          <w:tblLayout w:type="fixed"/>
          <w:tblCellMar>
            <w:top w:w="0" w:type="dxa"/>
            <w:left w:w="10" w:type="dxa"/>
            <w:bottom w:w="0" w:type="dxa"/>
            <w:right w:w="10" w:type="dxa"/>
          </w:tblCellMar>
        </w:tblPrEx>
        <w:trPr>
          <w:gridAfter w:val="4"/>
          <w:wAfter w:w="19" w:type="dxa"/>
          <w:trHeight w:val="307" w:hRule="exact"/>
          <w:jc w:val="center"/>
        </w:trPr>
        <w:tc>
          <w:tcPr>
            <w:tcW w:w="726" w:type="dxa"/>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24"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合计</w:t>
            </w:r>
          </w:p>
        </w:tc>
        <w:tc>
          <w:tcPr>
            <w:tcW w:w="1142" w:type="dxa"/>
            <w:gridSpan w:val="4"/>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1082</w:t>
            </w:r>
          </w:p>
        </w:tc>
        <w:tc>
          <w:tcPr>
            <w:tcW w:w="866" w:type="dxa"/>
            <w:gridSpan w:val="4"/>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143</w:t>
            </w:r>
          </w:p>
        </w:tc>
        <w:tc>
          <w:tcPr>
            <w:tcW w:w="1270" w:type="dxa"/>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5" w:type="dxa"/>
            <w:gridSpan w:val="4"/>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66" w:type="dxa"/>
            <w:gridSpan w:val="3"/>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1138.35</w:t>
            </w:r>
          </w:p>
        </w:tc>
        <w:tc>
          <w:tcPr>
            <w:tcW w:w="800" w:type="dxa"/>
            <w:gridSpan w:val="3"/>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438.15</w:t>
            </w:r>
          </w:p>
        </w:tc>
        <w:tc>
          <w:tcPr>
            <w:tcW w:w="865" w:type="dxa"/>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bl>
    <w:p>
      <w:pPr>
        <w:pStyle w:val="44"/>
        <w:keepNext w:val="0"/>
        <w:keepLines w:val="0"/>
        <w:widowControl w:val="0"/>
        <w:shd w:val="clear" w:color="auto" w:fill="auto"/>
        <w:tabs>
          <w:tab w:val="left" w:pos="3710"/>
        </w:tabs>
        <w:bidi w:val="0"/>
        <w:spacing w:before="0" w:after="0"/>
        <w:ind w:left="0" w:right="0" w:firstLine="0"/>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sectPr>
          <w:pgSz w:w="16838" w:h="11906" w:orient="landscape"/>
          <w:pgMar w:top="1800" w:right="1440" w:bottom="1800" w:left="1440" w:header="851" w:footer="992" w:gutter="0"/>
          <w:pgNumType w:fmt="decimal"/>
          <w:cols w:space="425" w:num="1"/>
          <w:docGrid w:type="lines" w:linePitch="312" w:charSpace="0"/>
        </w:sectPr>
      </w:pP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2.3.3</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热负荷预测</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根据当前收集到的资料，克拉玛依高新技术产业园区工业及采暖蒸汽需求量见表</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 xml:space="preserve">2. </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-2。</w:t>
      </w:r>
    </w:p>
    <w:p>
      <w:pPr>
        <w:pStyle w:val="44"/>
        <w:keepNext w:val="0"/>
        <w:keepLines w:val="0"/>
        <w:pageBreakBefore w:val="0"/>
        <w:widowControl w:val="0"/>
        <w:shd w:val="clear" w:color="auto" w:fill="auto"/>
        <w:tabs>
          <w:tab w:val="left" w:pos="3710"/>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2.3-2</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本项目所在克拉玛依高新技术产业园区工业及采暖蒸汽需求量一览表</w:t>
      </w:r>
    </w:p>
    <w:tbl>
      <w:tblPr>
        <w:tblStyle w:val="21"/>
        <w:tblW w:w="8525" w:type="dxa"/>
        <w:jc w:val="center"/>
        <w:tblInd w:w="0" w:type="dxa"/>
        <w:tblLayout w:type="fixed"/>
        <w:tblCellMar>
          <w:top w:w="0" w:type="dxa"/>
          <w:left w:w="10" w:type="dxa"/>
          <w:bottom w:w="0" w:type="dxa"/>
          <w:right w:w="10" w:type="dxa"/>
        </w:tblCellMar>
      </w:tblPr>
      <w:tblGrid>
        <w:gridCol w:w="632"/>
        <w:gridCol w:w="2728"/>
        <w:gridCol w:w="1614"/>
        <w:gridCol w:w="1880"/>
        <w:gridCol w:w="1671"/>
      </w:tblGrid>
      <w:tr>
        <w:tblPrEx>
          <w:tblLayout w:type="fixed"/>
          <w:tblCellMar>
            <w:top w:w="0" w:type="dxa"/>
            <w:left w:w="10" w:type="dxa"/>
            <w:bottom w:w="0" w:type="dxa"/>
            <w:right w:w="10" w:type="dxa"/>
          </w:tblCellMar>
        </w:tblPrEx>
        <w:trPr>
          <w:trHeight w:val="319" w:hRule="exact"/>
          <w:jc w:val="center"/>
        </w:trPr>
        <w:tc>
          <w:tcPr>
            <w:tcW w:w="6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序号</w:t>
            </w:r>
          </w:p>
        </w:tc>
        <w:tc>
          <w:tcPr>
            <w:tcW w:w="272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企业项目</w:t>
            </w:r>
          </w:p>
        </w:tc>
        <w:tc>
          <w:tcPr>
            <w:tcW w:w="161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 xml:space="preserve">最大用汽量 </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t/h</w:t>
            </w:r>
          </w:p>
        </w:tc>
        <w:tc>
          <w:tcPr>
            <w:tcW w:w="188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 xml:space="preserve">正常蒸汽压力 </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MPa</w:t>
            </w:r>
          </w:p>
        </w:tc>
        <w:tc>
          <w:tcPr>
            <w:tcW w:w="1671"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主要用途</w:t>
            </w:r>
          </w:p>
        </w:tc>
      </w:tr>
      <w:tr>
        <w:tblPrEx>
          <w:tblLayout w:type="fixed"/>
          <w:tblCellMar>
            <w:top w:w="0" w:type="dxa"/>
            <w:left w:w="10" w:type="dxa"/>
            <w:bottom w:w="0" w:type="dxa"/>
            <w:right w:w="10" w:type="dxa"/>
          </w:tblCellMar>
        </w:tblPrEx>
        <w:trPr>
          <w:trHeight w:val="338" w:hRule="exact"/>
          <w:jc w:val="center"/>
        </w:trPr>
        <w:tc>
          <w:tcPr>
            <w:tcW w:w="6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272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康佳20万吨/年芳烃构化</w:t>
            </w:r>
          </w:p>
        </w:tc>
        <w:tc>
          <w:tcPr>
            <w:tcW w:w="161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90</w:t>
            </w:r>
          </w:p>
        </w:tc>
        <w:tc>
          <w:tcPr>
            <w:tcW w:w="188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671"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消防、火炬 除烟</w:t>
            </w:r>
          </w:p>
        </w:tc>
      </w:tr>
      <w:tr>
        <w:tblPrEx>
          <w:tblLayout w:type="fixed"/>
          <w:tblCellMar>
            <w:top w:w="0" w:type="dxa"/>
            <w:left w:w="10" w:type="dxa"/>
            <w:bottom w:w="0" w:type="dxa"/>
            <w:right w:w="10" w:type="dxa"/>
          </w:tblCellMar>
        </w:tblPrEx>
        <w:trPr>
          <w:trHeight w:val="314" w:hRule="exact"/>
          <w:jc w:val="center"/>
        </w:trPr>
        <w:tc>
          <w:tcPr>
            <w:tcW w:w="6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272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康佳40万吨/年芳烃构化扩建</w:t>
            </w:r>
          </w:p>
        </w:tc>
        <w:tc>
          <w:tcPr>
            <w:tcW w:w="161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22</w:t>
            </w:r>
          </w:p>
        </w:tc>
        <w:tc>
          <w:tcPr>
            <w:tcW w:w="188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671"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消防、火炬 除烟</w:t>
            </w:r>
          </w:p>
        </w:tc>
      </w:tr>
      <w:tr>
        <w:tblPrEx>
          <w:tblLayout w:type="fixed"/>
          <w:tblCellMar>
            <w:top w:w="0" w:type="dxa"/>
            <w:left w:w="10" w:type="dxa"/>
            <w:bottom w:w="0" w:type="dxa"/>
            <w:right w:w="10" w:type="dxa"/>
          </w:tblCellMar>
        </w:tblPrEx>
        <w:trPr>
          <w:trHeight w:val="283" w:hRule="exact"/>
          <w:jc w:val="center"/>
        </w:trPr>
        <w:tc>
          <w:tcPr>
            <w:tcW w:w="6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272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同益顺酐</w:t>
            </w:r>
          </w:p>
        </w:tc>
        <w:tc>
          <w:tcPr>
            <w:tcW w:w="161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w:t>
            </w:r>
          </w:p>
        </w:tc>
        <w:tc>
          <w:tcPr>
            <w:tcW w:w="188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1.2</w:t>
            </w:r>
          </w:p>
        </w:tc>
        <w:tc>
          <w:tcPr>
            <w:tcW w:w="1671"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工艺用汽</w:t>
            </w:r>
          </w:p>
        </w:tc>
      </w:tr>
      <w:tr>
        <w:tblPrEx>
          <w:tblLayout w:type="fixed"/>
          <w:tblCellMar>
            <w:top w:w="0" w:type="dxa"/>
            <w:left w:w="10" w:type="dxa"/>
            <w:bottom w:w="0" w:type="dxa"/>
            <w:right w:w="10" w:type="dxa"/>
          </w:tblCellMar>
        </w:tblPrEx>
        <w:trPr>
          <w:trHeight w:val="283" w:hRule="exact"/>
          <w:jc w:val="center"/>
        </w:trPr>
        <w:tc>
          <w:tcPr>
            <w:tcW w:w="6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272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同益制氢</w:t>
            </w:r>
          </w:p>
        </w:tc>
        <w:tc>
          <w:tcPr>
            <w:tcW w:w="161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w:t>
            </w:r>
          </w:p>
        </w:tc>
        <w:tc>
          <w:tcPr>
            <w:tcW w:w="188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1.2</w:t>
            </w:r>
          </w:p>
        </w:tc>
        <w:tc>
          <w:tcPr>
            <w:tcW w:w="1671"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工艺用汽</w:t>
            </w:r>
          </w:p>
        </w:tc>
      </w:tr>
      <w:tr>
        <w:tblPrEx>
          <w:tblLayout w:type="fixed"/>
          <w:tblCellMar>
            <w:top w:w="0" w:type="dxa"/>
            <w:left w:w="10" w:type="dxa"/>
            <w:bottom w:w="0" w:type="dxa"/>
            <w:right w:w="10" w:type="dxa"/>
          </w:tblCellMar>
        </w:tblPrEx>
        <w:trPr>
          <w:trHeight w:val="283" w:hRule="exact"/>
          <w:jc w:val="center"/>
        </w:trPr>
        <w:tc>
          <w:tcPr>
            <w:tcW w:w="6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272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同益聚丙烯</w:t>
            </w:r>
          </w:p>
        </w:tc>
        <w:tc>
          <w:tcPr>
            <w:tcW w:w="161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w:t>
            </w:r>
          </w:p>
        </w:tc>
        <w:tc>
          <w:tcPr>
            <w:tcW w:w="188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671"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工艺用汽</w:t>
            </w:r>
          </w:p>
        </w:tc>
      </w:tr>
      <w:tr>
        <w:tblPrEx>
          <w:tblLayout w:type="fixed"/>
          <w:tblCellMar>
            <w:top w:w="0" w:type="dxa"/>
            <w:left w:w="10" w:type="dxa"/>
            <w:bottom w:w="0" w:type="dxa"/>
            <w:right w:w="10" w:type="dxa"/>
          </w:tblCellMar>
        </w:tblPrEx>
        <w:trPr>
          <w:trHeight w:val="283" w:hRule="exact"/>
          <w:jc w:val="center"/>
        </w:trPr>
        <w:tc>
          <w:tcPr>
            <w:tcW w:w="6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w:t>
            </w:r>
          </w:p>
        </w:tc>
        <w:tc>
          <w:tcPr>
            <w:tcW w:w="272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陆峰</w:t>
            </w:r>
          </w:p>
        </w:tc>
        <w:tc>
          <w:tcPr>
            <w:tcW w:w="161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16</w:t>
            </w:r>
          </w:p>
        </w:tc>
        <w:tc>
          <w:tcPr>
            <w:tcW w:w="188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1.3</w:t>
            </w:r>
          </w:p>
        </w:tc>
        <w:tc>
          <w:tcPr>
            <w:tcW w:w="1671"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工艺用汽</w:t>
            </w:r>
          </w:p>
        </w:tc>
      </w:tr>
      <w:tr>
        <w:tblPrEx>
          <w:tblLayout w:type="fixed"/>
          <w:tblCellMar>
            <w:top w:w="0" w:type="dxa"/>
            <w:left w:w="10" w:type="dxa"/>
            <w:bottom w:w="0" w:type="dxa"/>
            <w:right w:w="10" w:type="dxa"/>
          </w:tblCellMar>
        </w:tblPrEx>
        <w:trPr>
          <w:trHeight w:val="283" w:hRule="exact"/>
          <w:jc w:val="center"/>
        </w:trPr>
        <w:tc>
          <w:tcPr>
            <w:tcW w:w="6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w:t>
            </w:r>
          </w:p>
        </w:tc>
        <w:tc>
          <w:tcPr>
            <w:tcW w:w="272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新奥达</w:t>
            </w:r>
          </w:p>
        </w:tc>
        <w:tc>
          <w:tcPr>
            <w:tcW w:w="161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120</w:t>
            </w:r>
          </w:p>
        </w:tc>
        <w:tc>
          <w:tcPr>
            <w:tcW w:w="188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1.2</w:t>
            </w:r>
          </w:p>
        </w:tc>
        <w:tc>
          <w:tcPr>
            <w:tcW w:w="1671"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工艺用汽</w:t>
            </w:r>
          </w:p>
        </w:tc>
      </w:tr>
      <w:tr>
        <w:tblPrEx>
          <w:tblLayout w:type="fixed"/>
          <w:tblCellMar>
            <w:top w:w="0" w:type="dxa"/>
            <w:left w:w="10" w:type="dxa"/>
            <w:bottom w:w="0" w:type="dxa"/>
            <w:right w:w="10" w:type="dxa"/>
          </w:tblCellMar>
        </w:tblPrEx>
        <w:trPr>
          <w:trHeight w:val="283" w:hRule="exact"/>
          <w:jc w:val="center"/>
        </w:trPr>
        <w:tc>
          <w:tcPr>
            <w:tcW w:w="6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w:t>
            </w:r>
          </w:p>
        </w:tc>
        <w:tc>
          <w:tcPr>
            <w:tcW w:w="272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敦化石油</w:t>
            </w:r>
          </w:p>
        </w:tc>
        <w:tc>
          <w:tcPr>
            <w:tcW w:w="161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130</w:t>
            </w:r>
          </w:p>
        </w:tc>
        <w:tc>
          <w:tcPr>
            <w:tcW w:w="188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 xml:space="preserve">1. </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671"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工艺用汽</w:t>
            </w:r>
          </w:p>
        </w:tc>
      </w:tr>
      <w:tr>
        <w:tblPrEx>
          <w:tblLayout w:type="fixed"/>
          <w:tblCellMar>
            <w:top w:w="0" w:type="dxa"/>
            <w:left w:w="10" w:type="dxa"/>
            <w:bottom w:w="0" w:type="dxa"/>
            <w:right w:w="10" w:type="dxa"/>
          </w:tblCellMar>
        </w:tblPrEx>
        <w:trPr>
          <w:trHeight w:val="278" w:hRule="exact"/>
          <w:jc w:val="center"/>
        </w:trPr>
        <w:tc>
          <w:tcPr>
            <w:tcW w:w="6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9</w:t>
            </w:r>
          </w:p>
        </w:tc>
        <w:tc>
          <w:tcPr>
            <w:tcW w:w="272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三坪镇</w:t>
            </w:r>
          </w:p>
        </w:tc>
        <w:tc>
          <w:tcPr>
            <w:tcW w:w="161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37</w:t>
            </w:r>
          </w:p>
        </w:tc>
        <w:tc>
          <w:tcPr>
            <w:tcW w:w="188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 xml:space="preserve">1. </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671"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采暖</w:t>
            </w:r>
          </w:p>
        </w:tc>
      </w:tr>
      <w:tr>
        <w:tblPrEx>
          <w:tblLayout w:type="fixed"/>
          <w:tblCellMar>
            <w:top w:w="0" w:type="dxa"/>
            <w:left w:w="10" w:type="dxa"/>
            <w:bottom w:w="0" w:type="dxa"/>
            <w:right w:w="10" w:type="dxa"/>
          </w:tblCellMar>
        </w:tblPrEx>
        <w:trPr>
          <w:trHeight w:val="283" w:hRule="exact"/>
          <w:jc w:val="center"/>
        </w:trPr>
        <w:tc>
          <w:tcPr>
            <w:tcW w:w="6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w:t>
            </w:r>
          </w:p>
        </w:tc>
        <w:tc>
          <w:tcPr>
            <w:tcW w:w="272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金龙镇</w:t>
            </w:r>
          </w:p>
        </w:tc>
        <w:tc>
          <w:tcPr>
            <w:tcW w:w="161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57</w:t>
            </w:r>
          </w:p>
        </w:tc>
        <w:tc>
          <w:tcPr>
            <w:tcW w:w="188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 xml:space="preserve">1. </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1671"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采暖</w:t>
            </w:r>
          </w:p>
        </w:tc>
      </w:tr>
      <w:tr>
        <w:tblPrEx>
          <w:tblLayout w:type="fixed"/>
          <w:tblCellMar>
            <w:top w:w="0" w:type="dxa"/>
            <w:left w:w="10" w:type="dxa"/>
            <w:bottom w:w="0" w:type="dxa"/>
            <w:right w:w="10" w:type="dxa"/>
          </w:tblCellMar>
        </w:tblPrEx>
        <w:trPr>
          <w:trHeight w:val="288" w:hRule="exact"/>
          <w:jc w:val="center"/>
        </w:trPr>
        <w:tc>
          <w:tcPr>
            <w:tcW w:w="6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11</w:t>
            </w:r>
          </w:p>
        </w:tc>
        <w:tc>
          <w:tcPr>
            <w:tcW w:w="272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克石化</w:t>
            </w:r>
          </w:p>
        </w:tc>
        <w:tc>
          <w:tcPr>
            <w:tcW w:w="161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70</w:t>
            </w:r>
          </w:p>
        </w:tc>
        <w:tc>
          <w:tcPr>
            <w:tcW w:w="188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 xml:space="preserve">4. 0/1. </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1671"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278" w:hRule="exact"/>
          <w:jc w:val="center"/>
        </w:trPr>
        <w:tc>
          <w:tcPr>
            <w:tcW w:w="6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w:t>
            </w:r>
          </w:p>
        </w:tc>
        <w:tc>
          <w:tcPr>
            <w:tcW w:w="272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华澳</w:t>
            </w:r>
          </w:p>
        </w:tc>
        <w:tc>
          <w:tcPr>
            <w:tcW w:w="161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100</w:t>
            </w:r>
          </w:p>
        </w:tc>
        <w:tc>
          <w:tcPr>
            <w:tcW w:w="188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9.4/6. 5/1. 5/1.0</w:t>
            </w:r>
          </w:p>
        </w:tc>
        <w:tc>
          <w:tcPr>
            <w:tcW w:w="1671"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283" w:hRule="exact"/>
          <w:jc w:val="center"/>
        </w:trPr>
        <w:tc>
          <w:tcPr>
            <w:tcW w:w="6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13</w:t>
            </w:r>
          </w:p>
        </w:tc>
        <w:tc>
          <w:tcPr>
            <w:tcW w:w="272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龙桥</w:t>
            </w:r>
          </w:p>
        </w:tc>
        <w:tc>
          <w:tcPr>
            <w:tcW w:w="161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w:t>
            </w:r>
          </w:p>
        </w:tc>
        <w:tc>
          <w:tcPr>
            <w:tcW w:w="188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1.0</w:t>
            </w:r>
          </w:p>
        </w:tc>
        <w:tc>
          <w:tcPr>
            <w:tcW w:w="1671"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283" w:hRule="exact"/>
          <w:jc w:val="center"/>
        </w:trPr>
        <w:tc>
          <w:tcPr>
            <w:tcW w:w="6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14</w:t>
            </w:r>
          </w:p>
        </w:tc>
        <w:tc>
          <w:tcPr>
            <w:tcW w:w="272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博达</w:t>
            </w:r>
          </w:p>
        </w:tc>
        <w:tc>
          <w:tcPr>
            <w:tcW w:w="161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80</w:t>
            </w:r>
          </w:p>
        </w:tc>
        <w:tc>
          <w:tcPr>
            <w:tcW w:w="188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3. 5/1.0</w:t>
            </w:r>
          </w:p>
        </w:tc>
        <w:tc>
          <w:tcPr>
            <w:tcW w:w="1671"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293" w:hRule="exact"/>
          <w:jc w:val="center"/>
        </w:trPr>
        <w:tc>
          <w:tcPr>
            <w:tcW w:w="632" w:type="dxa"/>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28"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合计</w:t>
            </w:r>
          </w:p>
        </w:tc>
        <w:tc>
          <w:tcPr>
            <w:tcW w:w="1614"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768</w:t>
            </w:r>
          </w:p>
        </w:tc>
        <w:tc>
          <w:tcPr>
            <w:tcW w:w="1880" w:type="dxa"/>
            <w:tcBorders>
              <w:top w:val="single" w:color="auto" w:sz="4" w:space="0"/>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67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bl>
    <w:p>
      <w:pPr>
        <w:pStyle w:val="33"/>
        <w:keepNext w:val="0"/>
        <w:keepLines w:val="0"/>
        <w:pageBreakBefore w:val="0"/>
        <w:widowControl w:val="0"/>
        <w:shd w:val="clear" w:color="auto" w:fill="auto"/>
        <w:kinsoku/>
        <w:wordWrap/>
        <w:overflowPunct/>
        <w:topLinePunct w:val="0"/>
        <w:autoSpaceDE/>
        <w:autoSpaceDN/>
        <w:bidi w:val="0"/>
        <w:adjustRightInd/>
        <w:snapToGrid/>
        <w:spacing w:before="313" w:beforeLines="100" w:after="0" w:line="360" w:lineRule="auto"/>
        <w:ind w:left="0" w:right="0" w:firstLine="480" w:firstLineChars="200"/>
        <w:jc w:val="both"/>
        <w:textAlignment w:val="auto"/>
        <w:outlineLvl w:val="9"/>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由于热负荷多为工业用汽热负荷，其中三坪镇、金龙镇为采暖热负荷，因此在总蒸汽耗量基础上取</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0.</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8同时率系数，折合所需热负荷排气量约为</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600</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h</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2.3.4</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运行方式</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本工程</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w:t>
      </w:r>
      <w:r>
        <w:rPr>
          <w:rFonts w:hint="default" w:ascii="Arial" w:hAnsi="Arial" w:eastAsia="宋体" w:cs="Arial"/>
          <w:snapToGrid w:val="0"/>
          <w:color w:val="000000" w:themeColor="text1"/>
          <w:spacing w:val="0"/>
          <w:w w:val="100"/>
          <w:kern w:val="0"/>
          <w:position w:val="0"/>
          <w:sz w:val="24"/>
          <w:szCs w:val="24"/>
          <w:u w:val="none"/>
          <w:lang w:val="zh-CN" w:eastAsia="zh-CN"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25</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MW背压机组全年运行，背压排汽参数根据上表工业热负荷要求，背压排汽参数取</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1.4</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MPa</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，350℃，</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至各个用汽点后由用汽企业自行设置减温减压器进行供热。</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园区大部分工业热负荷及采暖热负荷所需蒸汽压力约</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1-1.2</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MPa</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考虑沿途管道压力损失，因此本项目所选背压机组暂确定排汽压力为</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1.4</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MPa对于压力小于</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1</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MPa的用户，用汽企业可自行设置减温减压器进行供热；对于压力大于</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1.4</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MPa的用户，由于目前需求量不大，可以和电厂签订相关协议，由电厂直接提供</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9.81</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MPa</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、540℃</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新蒸汽，由用户自行减温减压供热。本工程暂未考虑设置减温减压装置。采暖热负荷和工业热负荷目前计划均以蒸汽形式送出厂区，由外网根据热网情况，由园区规划确定设置汽水换热站或 直接提供给热用户。</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2.3.5</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机组热经济性指标</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本项目供热机组经济性指标见表</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2.3</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-3。</w:t>
      </w:r>
    </w:p>
    <w:p>
      <w:pPr>
        <w:pStyle w:val="44"/>
        <w:keepNext w:val="0"/>
        <w:keepLines w:val="0"/>
        <w:pageBreakBefore w:val="0"/>
        <w:widowControl w:val="0"/>
        <w:shd w:val="clear" w:color="auto" w:fill="auto"/>
        <w:tabs>
          <w:tab w:val="left" w:pos="3710"/>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p>
    <w:p>
      <w:pPr>
        <w:pStyle w:val="44"/>
        <w:keepNext w:val="0"/>
        <w:keepLines w:val="0"/>
        <w:pageBreakBefore w:val="0"/>
        <w:widowControl w:val="0"/>
        <w:shd w:val="clear" w:color="auto" w:fill="auto"/>
        <w:tabs>
          <w:tab w:val="left" w:pos="3710"/>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2.3-</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3</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zh-CN" w:bidi="zh-CN"/>
          <w14:textFill>
            <w14:solidFill>
              <w14:schemeClr w14:val="tx1"/>
            </w14:solidFill>
          </w14:textFill>
        </w:rPr>
        <w:t xml:space="preserve">    </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本项目供热机组热经济性指标计算表</w:t>
      </w:r>
    </w:p>
    <w:tbl>
      <w:tblPr>
        <w:tblStyle w:val="21"/>
        <w:tblW w:w="8525" w:type="dxa"/>
        <w:jc w:val="center"/>
        <w:tblInd w:w="0" w:type="dxa"/>
        <w:tblLayout w:type="fixed"/>
        <w:tblCellMar>
          <w:top w:w="0" w:type="dxa"/>
          <w:left w:w="10" w:type="dxa"/>
          <w:bottom w:w="0" w:type="dxa"/>
          <w:right w:w="10" w:type="dxa"/>
        </w:tblCellMar>
      </w:tblPr>
      <w:tblGrid>
        <w:gridCol w:w="2840"/>
        <w:gridCol w:w="2841"/>
        <w:gridCol w:w="2844"/>
      </w:tblGrid>
      <w:tr>
        <w:tblPrEx>
          <w:tblLayout w:type="fixed"/>
          <w:tblCellMar>
            <w:top w:w="0" w:type="dxa"/>
            <w:left w:w="10" w:type="dxa"/>
            <w:bottom w:w="0" w:type="dxa"/>
            <w:right w:w="10" w:type="dxa"/>
          </w:tblCellMar>
        </w:tblPrEx>
        <w:trPr>
          <w:trHeight w:val="293" w:hRule="exact"/>
          <w:jc w:val="center"/>
        </w:trPr>
        <w:tc>
          <w:tcPr>
            <w:tcW w:w="2840"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项目</w:t>
            </w:r>
          </w:p>
        </w:tc>
        <w:tc>
          <w:tcPr>
            <w:tcW w:w="2841"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单位</w:t>
            </w:r>
          </w:p>
        </w:tc>
        <w:tc>
          <w:tcPr>
            <w:tcW w:w="2844" w:type="dxa"/>
            <w:tcBorders>
              <w:top w:val="single" w:color="auto" w:sz="4" w:space="0"/>
              <w:left w:val="single" w:color="auto" w:sz="4" w:space="0"/>
              <w:righ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数值</w:t>
            </w:r>
          </w:p>
        </w:tc>
      </w:tr>
      <w:tr>
        <w:tblPrEx>
          <w:tblLayout w:type="fixed"/>
          <w:tblCellMar>
            <w:top w:w="0" w:type="dxa"/>
            <w:left w:w="10" w:type="dxa"/>
            <w:bottom w:w="0" w:type="dxa"/>
            <w:right w:w="10" w:type="dxa"/>
          </w:tblCellMar>
        </w:tblPrEx>
        <w:trPr>
          <w:trHeight w:val="283" w:hRule="exact"/>
          <w:jc w:val="center"/>
        </w:trPr>
        <w:tc>
          <w:tcPr>
            <w:tcW w:w="2840" w:type="dxa"/>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年发电量</w:t>
            </w:r>
          </w:p>
        </w:tc>
        <w:tc>
          <w:tcPr>
            <w:tcW w:w="2841" w:type="dxa"/>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 xml:space="preserve">亿 </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kW • h</w:t>
            </w:r>
          </w:p>
        </w:tc>
        <w:tc>
          <w:tcPr>
            <w:tcW w:w="2844" w:type="dxa"/>
            <w:tcBorders>
              <w:top w:val="single" w:color="auto" w:sz="4" w:space="0"/>
              <w:left w:val="single" w:color="auto" w:sz="4" w:space="0"/>
              <w:righ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3</w:t>
            </w:r>
          </w:p>
        </w:tc>
      </w:tr>
      <w:tr>
        <w:tblPrEx>
          <w:tblLayout w:type="fixed"/>
          <w:tblCellMar>
            <w:top w:w="0" w:type="dxa"/>
            <w:left w:w="10" w:type="dxa"/>
            <w:bottom w:w="0" w:type="dxa"/>
            <w:right w:w="10" w:type="dxa"/>
          </w:tblCellMar>
        </w:tblPrEx>
        <w:trPr>
          <w:trHeight w:val="283" w:hRule="exact"/>
          <w:jc w:val="center"/>
        </w:trPr>
        <w:tc>
          <w:tcPr>
            <w:tcW w:w="2840"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年供热量</w:t>
            </w:r>
          </w:p>
        </w:tc>
        <w:tc>
          <w:tcPr>
            <w:tcW w:w="2841"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万</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GJ</w:t>
            </w:r>
          </w:p>
        </w:tc>
        <w:tc>
          <w:tcPr>
            <w:tcW w:w="2844" w:type="dxa"/>
            <w:tcBorders>
              <w:top w:val="single" w:color="auto" w:sz="4" w:space="0"/>
              <w:left w:val="single" w:color="auto" w:sz="4" w:space="0"/>
              <w:righ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568.4928</w:t>
            </w:r>
          </w:p>
        </w:tc>
      </w:tr>
      <w:tr>
        <w:tblPrEx>
          <w:tblLayout w:type="fixed"/>
          <w:tblCellMar>
            <w:top w:w="0" w:type="dxa"/>
            <w:left w:w="10" w:type="dxa"/>
            <w:bottom w:w="0" w:type="dxa"/>
            <w:right w:w="10" w:type="dxa"/>
          </w:tblCellMar>
        </w:tblPrEx>
        <w:trPr>
          <w:trHeight w:val="283" w:hRule="exact"/>
          <w:jc w:val="center"/>
        </w:trPr>
        <w:tc>
          <w:tcPr>
            <w:tcW w:w="2840" w:type="dxa"/>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年均发电标准煤耗率</w:t>
            </w:r>
          </w:p>
        </w:tc>
        <w:tc>
          <w:tcPr>
            <w:tcW w:w="2841" w:type="dxa"/>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Kg/Kwh</w:t>
            </w:r>
          </w:p>
        </w:tc>
        <w:tc>
          <w:tcPr>
            <w:tcW w:w="2844" w:type="dxa"/>
            <w:tcBorders>
              <w:top w:val="single" w:color="auto" w:sz="4" w:space="0"/>
              <w:left w:val="single" w:color="auto" w:sz="4" w:space="0"/>
              <w:righ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0.1654</w:t>
            </w:r>
          </w:p>
        </w:tc>
      </w:tr>
      <w:tr>
        <w:tblPrEx>
          <w:tblLayout w:type="fixed"/>
          <w:tblCellMar>
            <w:top w:w="0" w:type="dxa"/>
            <w:left w:w="10" w:type="dxa"/>
            <w:bottom w:w="0" w:type="dxa"/>
            <w:right w:w="10" w:type="dxa"/>
          </w:tblCellMar>
        </w:tblPrEx>
        <w:trPr>
          <w:trHeight w:val="283" w:hRule="exact"/>
          <w:jc w:val="center"/>
        </w:trPr>
        <w:tc>
          <w:tcPr>
            <w:tcW w:w="2840" w:type="dxa"/>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年均供热标准煤耗率</w:t>
            </w:r>
          </w:p>
        </w:tc>
        <w:tc>
          <w:tcPr>
            <w:tcW w:w="2841" w:type="dxa"/>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Kg/GJ</w:t>
            </w:r>
          </w:p>
        </w:tc>
        <w:tc>
          <w:tcPr>
            <w:tcW w:w="2844" w:type="dxa"/>
            <w:tcBorders>
              <w:top w:val="single" w:color="auto" w:sz="4" w:space="0"/>
              <w:left w:val="single" w:color="auto" w:sz="4" w:space="0"/>
              <w:righ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40.55</w:t>
            </w:r>
          </w:p>
        </w:tc>
      </w:tr>
      <w:tr>
        <w:tblPrEx>
          <w:tblLayout w:type="fixed"/>
          <w:tblCellMar>
            <w:top w:w="0" w:type="dxa"/>
            <w:left w:w="10" w:type="dxa"/>
            <w:bottom w:w="0" w:type="dxa"/>
            <w:right w:w="10" w:type="dxa"/>
          </w:tblCellMar>
        </w:tblPrEx>
        <w:trPr>
          <w:trHeight w:val="283" w:hRule="exact"/>
          <w:jc w:val="center"/>
        </w:trPr>
        <w:tc>
          <w:tcPr>
            <w:tcW w:w="2840" w:type="dxa"/>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年均热电比</w:t>
            </w:r>
          </w:p>
        </w:tc>
        <w:tc>
          <w:tcPr>
            <w:tcW w:w="2841" w:type="dxa"/>
            <w:tcBorders>
              <w:top w:val="single" w:color="auto" w:sz="4" w:space="0"/>
              <w:lef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2844" w:type="dxa"/>
            <w:tcBorders>
              <w:top w:val="single" w:color="auto" w:sz="4" w:space="0"/>
              <w:left w:val="single" w:color="auto" w:sz="4" w:space="0"/>
              <w:righ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245.16</w:t>
            </w:r>
          </w:p>
        </w:tc>
      </w:tr>
      <w:tr>
        <w:tblPrEx>
          <w:tblLayout w:type="fixed"/>
          <w:tblCellMar>
            <w:top w:w="0" w:type="dxa"/>
            <w:left w:w="10" w:type="dxa"/>
            <w:bottom w:w="0" w:type="dxa"/>
            <w:right w:w="10" w:type="dxa"/>
          </w:tblCellMar>
        </w:tblPrEx>
        <w:trPr>
          <w:trHeight w:val="293" w:hRule="exact"/>
          <w:jc w:val="center"/>
        </w:trPr>
        <w:tc>
          <w:tcPr>
            <w:tcW w:w="2840" w:type="dxa"/>
            <w:tcBorders>
              <w:top w:val="single" w:color="auto" w:sz="4" w:space="0"/>
              <w:left w:val="single" w:color="auto" w:sz="4" w:space="0"/>
              <w:bottom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电厂总热效率</w:t>
            </w:r>
          </w:p>
        </w:tc>
        <w:tc>
          <w:tcPr>
            <w:tcW w:w="2841" w:type="dxa"/>
            <w:tcBorders>
              <w:top w:val="single" w:color="auto" w:sz="4" w:space="0"/>
              <w:left w:val="single" w:color="auto" w:sz="4" w:space="0"/>
              <w:bottom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2844"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82.89</w:t>
            </w:r>
          </w:p>
        </w:tc>
      </w:tr>
    </w:tbl>
    <w:p>
      <w:pPr>
        <w:pStyle w:val="33"/>
        <w:keepNext w:val="0"/>
        <w:keepLines w:val="0"/>
        <w:pageBreakBefore w:val="0"/>
        <w:widowControl w:val="0"/>
        <w:shd w:val="clear" w:color="auto" w:fill="auto"/>
        <w:kinsoku/>
        <w:wordWrap/>
        <w:overflowPunct/>
        <w:topLinePunct w:val="0"/>
        <w:autoSpaceDE/>
        <w:autoSpaceDN/>
        <w:bidi w:val="0"/>
        <w:adjustRightInd/>
        <w:snapToGrid/>
        <w:spacing w:before="361" w:beforeLines="10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通过以上计算，仅就目前供热面积所需采暖耗汽量进行保守的计算，己经完全符合《热电联产项目可行性研宄技术规定》中应符合的下列指标：</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总热效率年平均大于45%；</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单机容量在50MW以下的热电机组，其热电比年平均应大于100%。综上所述，本项目采取背压式汽轮发电机组的模式是合理的，符合目前国家关于产业政策的要求。</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综上所述，本项目采取背压式汽轮发电机组的模式是合理的，符合目前国家关于产业政策的要求。</w:t>
      </w:r>
    </w:p>
    <w:p>
      <w:pPr>
        <w:pStyle w:val="3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2.</w:t>
      </w:r>
      <w:bookmarkEnd w:id="84"/>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4</w:t>
      </w:r>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产污环节与污染物排放分析</w:t>
      </w:r>
      <w:bookmarkEnd w:id="85"/>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2.4.1废气</w:t>
      </w:r>
    </w:p>
    <w:p>
      <w:pPr>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废气主要有锅炉烟气和无组织粉尘。其中烟囱排放的锅炉烟气，主要污染因子为烟尘、SO</w:t>
      </w:r>
      <w:r>
        <w:rPr>
          <w:rFonts w:hint="default" w:ascii="Times New Roman" w:hAnsi="Times New Roman" w:cs="Times New Roman"/>
          <w:color w:val="000000" w:themeColor="text1"/>
          <w:kern w:val="0"/>
          <w:sz w:val="24"/>
          <w:vertAlign w:val="subscript"/>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、NO</w:t>
      </w:r>
      <w:r>
        <w:rPr>
          <w:rFonts w:hint="default" w:ascii="Times New Roman" w:hAnsi="Times New Roman" w:cs="Times New Roman"/>
          <w:color w:val="000000" w:themeColor="text1"/>
          <w:kern w:val="0"/>
          <w:sz w:val="24"/>
          <w:vertAlign w:val="subscript"/>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；无组织粉尘主要产生在2座灰仓、2座石灰石粉仓、1座消石灰粉仓的物料装卸过程中。</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t>2.4.1.1</w:t>
      </w: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锅炉烟气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本工程建设2×130t/h水煤浆锅炉及1×220t/h水煤浆锅炉，所需水煤浆60.42万t（折合原煤42.3万t）。本项目采用循环流化床锅炉，</w:t>
      </w:r>
      <w:r>
        <w:rPr>
          <w:rFonts w:hint="default" w:ascii="Times New Roman" w:hAnsi="Times New Roman" w:cs="Times New Roman"/>
          <w:color w:val="000000" w:themeColor="text1"/>
          <w:kern w:val="24"/>
          <w:sz w:val="24"/>
          <w14:textFill>
            <w14:solidFill>
              <w14:schemeClr w14:val="tx1"/>
            </w14:solidFill>
          </w14:textFill>
        </w:rPr>
        <w:t>锅炉烟气采取</w:t>
      </w:r>
      <w:r>
        <w:rPr>
          <w:rFonts w:hint="eastAsia"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炉内喷钙脱硫+SNCR法脱硝+炉外烟气循环流化床干法脱硫除尘一体化工艺脱硫和布袋除尘器</w:t>
      </w:r>
      <w:r>
        <w:rPr>
          <w:rFonts w:hint="eastAsia"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工艺处理，每台锅炉均配置一套脱硫脱硝除尘环保设备。除尘器采用布袋除尘器，除尘效率很高，一般都可以达到99.98%以上，本项目设计除尘效率按99.98%计；脱硫采用炉内喷钙+烟气循环流化床干法脱硫除尘一体化工艺，脱硫效率不低于96.5%，本项目设计脱硫效率按96.5%计；循环流化床锅炉属于低NOx燃烧技术，</w:t>
      </w:r>
      <w:r>
        <w:rPr>
          <w:rFonts w:hint="default" w:ascii="Times New Roman" w:hAnsi="Times New Roman" w:cs="Times New Roman"/>
          <w:bCs/>
          <w:color w:val="000000" w:themeColor="text1"/>
          <w:sz w:val="24"/>
          <w14:textFill>
            <w14:solidFill>
              <w14:schemeClr w14:val="tx1"/>
            </w14:solidFill>
          </w14:textFill>
        </w:rPr>
        <w:t>脱硝工艺采用非催化还原(SNCR)烟气脱硝技术，外购氨水（浓度20%）作为脱硝还原剂，脱硝效率大于60%</w:t>
      </w:r>
      <w:r>
        <w:rPr>
          <w:rFonts w:hint="default" w:ascii="Times New Roman" w:hAnsi="Times New Roman" w:cs="Times New Roman"/>
          <w:color w:val="000000" w:themeColor="text1"/>
          <w:sz w:val="24"/>
          <w14:textFill>
            <w14:solidFill>
              <w14:schemeClr w14:val="tx1"/>
            </w14:solidFill>
          </w14:textFill>
        </w:rPr>
        <w:t>，本项目设计脱</w:t>
      </w:r>
      <w:r>
        <w:rPr>
          <w:rFonts w:hint="default" w:ascii="Times New Roman" w:hAnsi="Times New Roman" w:cs="Times New Roman"/>
          <w:bCs/>
          <w:color w:val="000000" w:themeColor="text1"/>
          <w:sz w:val="24"/>
          <w14:textFill>
            <w14:solidFill>
              <w14:schemeClr w14:val="tx1"/>
            </w14:solidFill>
          </w14:textFill>
        </w:rPr>
        <w:t>硝</w:t>
      </w:r>
      <w:r>
        <w:rPr>
          <w:rFonts w:hint="default" w:ascii="Times New Roman" w:hAnsi="Times New Roman" w:cs="Times New Roman"/>
          <w:color w:val="000000" w:themeColor="text1"/>
          <w:sz w:val="24"/>
          <w14:textFill>
            <w14:solidFill>
              <w14:schemeClr w14:val="tx1"/>
            </w14:solidFill>
          </w14:textFill>
        </w:rPr>
        <w:t>效率按60%计</w:t>
      </w:r>
      <w:r>
        <w:rPr>
          <w:rFonts w:hint="default" w:ascii="Times New Roman" w:hAnsi="Times New Roman" w:cs="Times New Roman"/>
          <w:bCs/>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本次环评大气污染源源强核算参照《建设项目环境影响评价技术导则 总纲》(HJ 2.1-2016)中推荐的《污染源源强核算技术指南火电》(HJ884-2018)中的物料衡算法，物料衡算法是根据物质质量守恒定律对生产过程中使用的物料变化情况进行定量分析。</w:t>
      </w:r>
      <w:r>
        <w:rPr>
          <w:rFonts w:hint="eastAsia" w:ascii="宋体" w:hAnsi="宋体" w:cs="宋体"/>
          <w:color w:val="000000" w:themeColor="text1"/>
          <w:kern w:val="0"/>
          <w:sz w:val="24"/>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烟尘排放量计算</w:t>
      </w:r>
    </w:p>
    <w:p>
      <w:pPr>
        <w:snapToGrid w:val="0"/>
        <w:ind w:firstLine="1200" w:firstLineChars="500"/>
        <w:rPr>
          <w:rFonts w:hint="eastAsia" w:ascii="宋体" w:hAnsi="宋体"/>
          <w:color w:val="000000" w:themeColor="text1"/>
          <w:kern w:val="0"/>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"C:\\Users\\ADMINI~1\\AppData\\Local\\Temp\\ksohtml4144\\wps1.jpg"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drawing>
          <wp:inline distT="0" distB="0" distL="114300" distR="114300">
            <wp:extent cx="2971165" cy="504825"/>
            <wp:effectExtent l="0" t="0" r="635" b="9525"/>
            <wp:docPr id="4" name="图片 38"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8" descr="wps1"/>
                    <pic:cNvPicPr>
                      <a:picLocks noChangeAspect="1"/>
                    </pic:cNvPicPr>
                  </pic:nvPicPr>
                  <pic:blipFill>
                    <a:blip r:embed="rId14"/>
                    <a:stretch>
                      <a:fillRect/>
                    </a:stretch>
                  </pic:blipFill>
                  <pic:spPr>
                    <a:xfrm>
                      <a:off x="0" y="0"/>
                      <a:ext cx="2971165" cy="504825"/>
                    </a:xfrm>
                    <a:prstGeom prst="rect">
                      <a:avLst/>
                    </a:prstGeom>
                    <a:noFill/>
                    <a:ln>
                      <a:noFill/>
                    </a:ln>
                  </pic:spPr>
                </pic:pic>
              </a:graphicData>
            </a:graphic>
          </wp:inline>
        </w:drawing>
      </w:r>
      <w:r>
        <w:rPr>
          <w:color w:val="000000" w:themeColor="text1"/>
          <w14:textFill>
            <w14:solidFill>
              <w14:schemeClr w14:val="tx1"/>
            </w14:solidFill>
          </w14:textFill>
        </w:rPr>
        <w:fldChar w:fldCharType="end"/>
      </w:r>
      <w:r>
        <w:rPr>
          <w:rFonts w:hint="eastAsia" w:ascii="宋体" w:hAnsi="宋体"/>
          <w:color w:val="000000" w:themeColor="text1"/>
          <w:kern w:val="0"/>
          <w:sz w:val="24"/>
          <w:szCs w:val="24"/>
          <w14:textFill>
            <w14:solidFill>
              <w14:schemeClr w14:val="tx1"/>
            </w14:solidFill>
          </w14:textFill>
        </w:rPr>
        <w:t xml:space="preserve"> （1）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式中：M</w:t>
      </w:r>
      <w:r>
        <w:rPr>
          <w:rFonts w:hint="default" w:ascii="Times New Roman" w:hAnsi="Times New Roman" w:cs="Times New Roman"/>
          <w:color w:val="000000" w:themeColor="text1"/>
          <w:kern w:val="0"/>
          <w:sz w:val="24"/>
          <w:szCs w:val="24"/>
          <w:vertAlign w:val="subscript"/>
          <w14:textFill>
            <w14:solidFill>
              <w14:schemeClr w14:val="tx1"/>
            </w14:solidFill>
          </w14:textFill>
        </w:rPr>
        <w:t>A</w:t>
      </w:r>
      <w:r>
        <w:rPr>
          <w:rFonts w:hint="default" w:ascii="Times New Roman" w:hAnsi="Times New Roman" w:cs="Times New Roman"/>
          <w:color w:val="000000" w:themeColor="text1"/>
          <w:kern w:val="0"/>
          <w:sz w:val="24"/>
          <w:szCs w:val="24"/>
          <w14:textFill>
            <w14:solidFill>
              <w14:schemeClr w14:val="tx1"/>
            </w14:solidFill>
          </w14:textFill>
        </w:rPr>
        <w:t xml:space="preserve">——核算时段内烟尘排放量，t；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B</w:t>
      </w:r>
      <w:r>
        <w:rPr>
          <w:rFonts w:hint="default" w:ascii="Times New Roman" w:hAnsi="Times New Roman" w:cs="Times New Roman"/>
          <w:color w:val="000000" w:themeColor="text1"/>
          <w:kern w:val="0"/>
          <w:sz w:val="24"/>
          <w:szCs w:val="24"/>
          <w:vertAlign w:val="subscript"/>
          <w14:textFill>
            <w14:solidFill>
              <w14:schemeClr w14:val="tx1"/>
            </w14:solidFill>
          </w14:textFill>
        </w:rPr>
        <w:t>g</w:t>
      </w:r>
      <w:r>
        <w:rPr>
          <w:rFonts w:hint="default" w:ascii="Times New Roman" w:hAnsi="Times New Roman" w:cs="Times New Roman"/>
          <w:color w:val="000000" w:themeColor="text1"/>
          <w:kern w:val="0"/>
          <w:sz w:val="24"/>
          <w:szCs w:val="24"/>
          <w14:textFill>
            <w14:solidFill>
              <w14:schemeClr w14:val="tx1"/>
            </w14:solidFill>
          </w14:textFill>
        </w:rPr>
        <w:t xml:space="preserve">——核算时段内锅炉燃料耗量，t；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η</w:t>
      </w:r>
      <w:r>
        <w:rPr>
          <w:rFonts w:hint="default" w:ascii="Times New Roman" w:hAnsi="Times New Roman" w:cs="Times New Roman"/>
          <w:color w:val="000000" w:themeColor="text1"/>
          <w:kern w:val="0"/>
          <w:sz w:val="24"/>
          <w:szCs w:val="24"/>
          <w:vertAlign w:val="subscript"/>
          <w14:textFill>
            <w14:solidFill>
              <w14:schemeClr w14:val="tx1"/>
            </w14:solidFill>
          </w14:textFill>
        </w:rPr>
        <w:t>c</w:t>
      </w:r>
      <w:r>
        <w:rPr>
          <w:rFonts w:hint="default" w:ascii="Times New Roman" w:hAnsi="Times New Roman" w:cs="Times New Roman"/>
          <w:color w:val="000000" w:themeColor="text1"/>
          <w:kern w:val="0"/>
          <w:sz w:val="24"/>
          <w:szCs w:val="24"/>
          <w14:textFill>
            <w14:solidFill>
              <w14:schemeClr w14:val="tx1"/>
            </w14:solidFill>
          </w14:textFill>
        </w:rPr>
        <w:t>——除尘效率，%，当除尘器下游设有湿法脱硫、湿式静电除尘等设备时，应考虑其协同除尘效果；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A</w:t>
      </w:r>
      <w:r>
        <w:rPr>
          <w:rFonts w:hint="default" w:ascii="Times New Roman" w:hAnsi="Times New Roman" w:cs="Times New Roman"/>
          <w:color w:val="000000" w:themeColor="text1"/>
          <w:kern w:val="0"/>
          <w:sz w:val="24"/>
          <w:szCs w:val="24"/>
          <w:vertAlign w:val="subscript"/>
          <w14:textFill>
            <w14:solidFill>
              <w14:schemeClr w14:val="tx1"/>
            </w14:solidFill>
          </w14:textFill>
        </w:rPr>
        <w:t>ar</w:t>
      </w:r>
      <w:r>
        <w:rPr>
          <w:rFonts w:hint="default" w:ascii="Times New Roman" w:hAnsi="Times New Roman" w:cs="Times New Roman"/>
          <w:color w:val="000000" w:themeColor="text1"/>
          <w:kern w:val="0"/>
          <w:sz w:val="24"/>
          <w:szCs w:val="24"/>
          <w14:textFill>
            <w14:solidFill>
              <w14:schemeClr w14:val="tx1"/>
            </w14:solidFill>
          </w14:textFill>
        </w:rPr>
        <w:t xml:space="preserve">——燃料收到基灰分的质量分数，%；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q</w:t>
      </w:r>
      <w:r>
        <w:rPr>
          <w:rFonts w:hint="default" w:ascii="Times New Roman" w:hAnsi="Times New Roman" w:cs="Times New Roman"/>
          <w:color w:val="000000" w:themeColor="text1"/>
          <w:kern w:val="0"/>
          <w:sz w:val="24"/>
          <w:szCs w:val="24"/>
          <w:vertAlign w:val="subscript"/>
          <w14:textFill>
            <w14:solidFill>
              <w14:schemeClr w14:val="tx1"/>
            </w14:solidFill>
          </w14:textFill>
        </w:rPr>
        <w:t>4</w:t>
      </w:r>
      <w:r>
        <w:rPr>
          <w:rFonts w:hint="default" w:ascii="Times New Roman" w:hAnsi="Times New Roman" w:cs="Times New Roman"/>
          <w:color w:val="000000" w:themeColor="text1"/>
          <w:kern w:val="0"/>
          <w:sz w:val="24"/>
          <w:szCs w:val="24"/>
          <w14:textFill>
            <w14:solidFill>
              <w14:schemeClr w14:val="tx1"/>
            </w14:solidFill>
          </w14:textFill>
        </w:rPr>
        <w:t xml:space="preserve">——锅炉机械不完全燃烧热损失，%；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Q</w:t>
      </w:r>
      <w:r>
        <w:rPr>
          <w:rFonts w:hint="default" w:ascii="Times New Roman" w:hAnsi="Times New Roman" w:cs="Times New Roman"/>
          <w:color w:val="000000" w:themeColor="text1"/>
          <w:kern w:val="0"/>
          <w:sz w:val="24"/>
          <w:szCs w:val="24"/>
          <w:vertAlign w:val="subscript"/>
          <w14:textFill>
            <w14:solidFill>
              <w14:schemeClr w14:val="tx1"/>
            </w14:solidFill>
          </w14:textFill>
        </w:rPr>
        <w:t>net,ar</w:t>
      </w:r>
      <w:r>
        <w:rPr>
          <w:rFonts w:hint="default" w:ascii="Times New Roman" w:hAnsi="Times New Roman" w:cs="Times New Roman"/>
          <w:color w:val="000000" w:themeColor="text1"/>
          <w:kern w:val="0"/>
          <w:sz w:val="24"/>
          <w:szCs w:val="24"/>
          <w14:textFill>
            <w14:solidFill>
              <w14:schemeClr w14:val="tx1"/>
            </w14:solidFill>
          </w14:textFill>
        </w:rPr>
        <w:t xml:space="preserve">——燃料收到基低位发热量，kJ/kg；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α</w:t>
      </w:r>
      <w:r>
        <w:rPr>
          <w:rFonts w:hint="default" w:ascii="Times New Roman" w:hAnsi="Times New Roman" w:cs="Times New Roman"/>
          <w:color w:val="000000" w:themeColor="text1"/>
          <w:kern w:val="0"/>
          <w:sz w:val="24"/>
          <w:szCs w:val="24"/>
          <w:vertAlign w:val="subscript"/>
          <w14:textFill>
            <w14:solidFill>
              <w14:schemeClr w14:val="tx1"/>
            </w14:solidFill>
          </w14:textFill>
        </w:rPr>
        <w:t>fh</w:t>
      </w:r>
      <w:r>
        <w:rPr>
          <w:rFonts w:hint="default" w:ascii="Times New Roman" w:hAnsi="Times New Roman" w:cs="Times New Roman"/>
          <w:color w:val="000000" w:themeColor="text1"/>
          <w:kern w:val="0"/>
          <w:sz w:val="24"/>
          <w:szCs w:val="24"/>
          <w14:textFill>
            <w14:solidFill>
              <w14:schemeClr w14:val="tx1"/>
            </w14:solidFill>
          </w14:textFill>
        </w:rPr>
        <w:t xml:space="preserve">——锅炉烟气带出的飞灰份额。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当循环流化床锅炉添加石灰石等脱硫剂时，入炉物料的灰分可用折算灰分表示，将下列公式折算灰分A</w:t>
      </w:r>
      <w:r>
        <w:rPr>
          <w:rFonts w:hint="default" w:ascii="Times New Roman" w:hAnsi="Times New Roman" w:cs="Times New Roman"/>
          <w:color w:val="000000" w:themeColor="text1"/>
          <w:kern w:val="0"/>
          <w:sz w:val="24"/>
          <w:szCs w:val="24"/>
          <w:vertAlign w:val="subscript"/>
          <w14:textFill>
            <w14:solidFill>
              <w14:schemeClr w14:val="tx1"/>
            </w14:solidFill>
          </w14:textFill>
        </w:rPr>
        <w:t>zs</w:t>
      </w:r>
      <w:r>
        <w:rPr>
          <w:rFonts w:hint="default" w:ascii="Times New Roman" w:hAnsi="Times New Roman" w:cs="Times New Roman"/>
          <w:color w:val="000000" w:themeColor="text1"/>
          <w:kern w:val="0"/>
          <w:sz w:val="24"/>
          <w:szCs w:val="24"/>
          <w14:textFill>
            <w14:solidFill>
              <w14:schemeClr w14:val="tx1"/>
            </w14:solidFill>
          </w14:textFill>
        </w:rPr>
        <w:t>代入上列公式。</w:t>
      </w:r>
    </w:p>
    <w:p>
      <w:pPr>
        <w:snapToGrid w:val="0"/>
        <w:ind w:firstLine="1200" w:firstLineChars="500"/>
        <w:rPr>
          <w:rFonts w:hint="eastAsia" w:ascii="宋体" w:hAnsi="宋体"/>
          <w:color w:val="000000" w:themeColor="text1"/>
          <w:kern w:val="0"/>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"C:\\Users\\ADMINI~1\\AppData\\Local\\Temp\\ksohtml4144\\wps2.jpg"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drawing>
          <wp:inline distT="0" distB="0" distL="114300" distR="114300">
            <wp:extent cx="3105150" cy="570865"/>
            <wp:effectExtent l="0" t="0" r="0" b="635"/>
            <wp:docPr id="18" name="图片 39"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9" descr="wps2"/>
                    <pic:cNvPicPr>
                      <a:picLocks noChangeAspect="1"/>
                    </pic:cNvPicPr>
                  </pic:nvPicPr>
                  <pic:blipFill>
                    <a:blip r:embed="rId15"/>
                    <a:stretch>
                      <a:fillRect/>
                    </a:stretch>
                  </pic:blipFill>
                  <pic:spPr>
                    <a:xfrm>
                      <a:off x="0" y="0"/>
                      <a:ext cx="3105150" cy="570865"/>
                    </a:xfrm>
                    <a:prstGeom prst="rect">
                      <a:avLst/>
                    </a:prstGeom>
                    <a:noFill/>
                    <a:ln>
                      <a:noFill/>
                    </a:ln>
                  </pic:spPr>
                </pic:pic>
              </a:graphicData>
            </a:graphic>
          </wp:inline>
        </w:drawing>
      </w:r>
      <w:r>
        <w:rPr>
          <w:color w:val="000000" w:themeColor="text1"/>
          <w14:textFill>
            <w14:solidFill>
              <w14:schemeClr w14:val="tx1"/>
            </w14:solidFill>
          </w14:textFill>
        </w:rPr>
        <w:fldChar w:fldCharType="end"/>
      </w:r>
      <w:r>
        <w:rPr>
          <w:rFonts w:hint="eastAsia" w:ascii="宋体" w:hAnsi="宋体"/>
          <w:color w:val="000000" w:themeColor="text1"/>
          <w:kern w:val="0"/>
          <w:sz w:val="24"/>
          <w:szCs w:val="24"/>
          <w14:textFill>
            <w14:solidFill>
              <w14:schemeClr w14:val="tx1"/>
            </w14:solidFill>
          </w14:textFill>
        </w:rPr>
        <w:t xml:space="preserve"> （2）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式中：A</w:t>
      </w:r>
      <w:r>
        <w:rPr>
          <w:rFonts w:hint="default" w:ascii="Times New Roman" w:hAnsi="Times New Roman" w:cs="Times New Roman"/>
          <w:color w:val="000000" w:themeColor="text1"/>
          <w:kern w:val="0"/>
          <w:sz w:val="24"/>
          <w:szCs w:val="24"/>
          <w:vertAlign w:val="subscript"/>
          <w14:textFill>
            <w14:solidFill>
              <w14:schemeClr w14:val="tx1"/>
            </w14:solidFill>
          </w14:textFill>
        </w:rPr>
        <w:t>zs</w:t>
      </w:r>
      <w:r>
        <w:rPr>
          <w:rFonts w:hint="default" w:ascii="Times New Roman" w:hAnsi="Times New Roman" w:cs="Times New Roman"/>
          <w:color w:val="000000" w:themeColor="text1"/>
          <w:kern w:val="0"/>
          <w:sz w:val="24"/>
          <w:szCs w:val="24"/>
          <w14:textFill>
            <w14:solidFill>
              <w14:schemeClr w14:val="tx1"/>
            </w14:solidFill>
          </w14:textFill>
        </w:rPr>
        <w:t xml:space="preserve">——折算灰分的质量分数，%；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A</w:t>
      </w:r>
      <w:r>
        <w:rPr>
          <w:rFonts w:hint="default" w:ascii="Times New Roman" w:hAnsi="Times New Roman" w:cs="Times New Roman"/>
          <w:color w:val="000000" w:themeColor="text1"/>
          <w:kern w:val="0"/>
          <w:sz w:val="24"/>
          <w:szCs w:val="24"/>
          <w:vertAlign w:val="subscript"/>
          <w14:textFill>
            <w14:solidFill>
              <w14:schemeClr w14:val="tx1"/>
            </w14:solidFill>
          </w14:textFill>
        </w:rPr>
        <w:t>ar</w:t>
      </w:r>
      <w:r>
        <w:rPr>
          <w:rFonts w:hint="default" w:ascii="Times New Roman" w:hAnsi="Times New Roman" w:cs="Times New Roman"/>
          <w:color w:val="000000" w:themeColor="text1"/>
          <w:kern w:val="0"/>
          <w:sz w:val="24"/>
          <w:szCs w:val="24"/>
          <w14:textFill>
            <w14:solidFill>
              <w14:schemeClr w14:val="tx1"/>
            </w14:solidFill>
          </w14:textFill>
        </w:rPr>
        <w:t xml:space="preserve">——收到基灰分的质量分数，%；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S</w:t>
      </w:r>
      <w:r>
        <w:rPr>
          <w:rFonts w:hint="default" w:ascii="Times New Roman" w:hAnsi="Times New Roman" w:cs="Times New Roman"/>
          <w:color w:val="000000" w:themeColor="text1"/>
          <w:kern w:val="0"/>
          <w:sz w:val="24"/>
          <w:szCs w:val="24"/>
          <w:vertAlign w:val="subscript"/>
          <w14:textFill>
            <w14:solidFill>
              <w14:schemeClr w14:val="tx1"/>
            </w14:solidFill>
          </w14:textFill>
        </w:rPr>
        <w:t>ar</w:t>
      </w:r>
      <w:r>
        <w:rPr>
          <w:rFonts w:hint="default" w:ascii="Times New Roman" w:hAnsi="Times New Roman" w:cs="Times New Roman"/>
          <w:color w:val="000000" w:themeColor="text1"/>
          <w:kern w:val="0"/>
          <w:sz w:val="24"/>
          <w:szCs w:val="24"/>
          <w14:textFill>
            <w14:solidFill>
              <w14:schemeClr w14:val="tx1"/>
            </w14:solidFill>
          </w14:textFill>
        </w:rPr>
        <w:t xml:space="preserve">——收到基硫的质量分数，%；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m——Ca/S摩尔比，按实际情况取值，炉内添加石灰石脱硫时一般为1.5-2.5；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K</w:t>
      </w:r>
      <w:r>
        <w:rPr>
          <w:rFonts w:hint="default" w:ascii="Times New Roman" w:hAnsi="Times New Roman" w:cs="Times New Roman"/>
          <w:color w:val="000000" w:themeColor="text1"/>
          <w:kern w:val="0"/>
          <w:sz w:val="24"/>
          <w:szCs w:val="24"/>
          <w:vertAlign w:val="subscript"/>
          <w14:textFill>
            <w14:solidFill>
              <w14:schemeClr w14:val="tx1"/>
            </w14:solidFill>
          </w14:textFill>
        </w:rPr>
        <w:t>CaCO3</w:t>
      </w:r>
      <w:r>
        <w:rPr>
          <w:rFonts w:hint="default" w:ascii="Times New Roman" w:hAnsi="Times New Roman" w:cs="Times New Roman"/>
          <w:color w:val="000000" w:themeColor="text1"/>
          <w:kern w:val="0"/>
          <w:sz w:val="24"/>
          <w:szCs w:val="24"/>
          <w14:textFill>
            <w14:solidFill>
              <w14:schemeClr w14:val="tx1"/>
            </w14:solidFill>
          </w14:textFill>
        </w:rPr>
        <w:t>——石灰石纯度，碳酸钙在石灰石中的质量分数，%；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η</w:t>
      </w:r>
      <w:r>
        <w:rPr>
          <w:rFonts w:hint="default" w:ascii="Times New Roman" w:hAnsi="Times New Roman" w:cs="Times New Roman"/>
          <w:color w:val="000000" w:themeColor="text1"/>
          <w:kern w:val="0"/>
          <w:sz w:val="24"/>
          <w:szCs w:val="24"/>
          <w:vertAlign w:val="subscript"/>
          <w14:textFill>
            <w14:solidFill>
              <w14:schemeClr w14:val="tx1"/>
            </w14:solidFill>
          </w14:textFill>
        </w:rPr>
        <w:t>s</w:t>
      </w:r>
      <w:r>
        <w:rPr>
          <w:rFonts w:hint="default" w:ascii="Times New Roman" w:hAnsi="Times New Roman" w:cs="Times New Roman"/>
          <w:color w:val="000000" w:themeColor="text1"/>
          <w:kern w:val="0"/>
          <w:sz w:val="24"/>
          <w:szCs w:val="24"/>
          <w14:textFill>
            <w14:solidFill>
              <w14:schemeClr w14:val="tx1"/>
            </w14:solidFill>
          </w14:textFill>
        </w:rPr>
        <w:t>——炉内脱硫效率，%。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（2）二氧化硫排放量计算</w:t>
      </w:r>
    </w:p>
    <w:p>
      <w:pPr>
        <w:ind w:firstLine="1200" w:firstLineChars="500"/>
        <w:rPr>
          <w:rFonts w:hint="eastAsia" w:ascii="宋体" w:hAnsi="宋体"/>
          <w:color w:val="000000" w:themeColor="text1"/>
          <w:kern w:val="0"/>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"C:\\Users\\ADMINI~1\\AppData\\Local\\Temp\\ksohtml4144\\wps3.jpg"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drawing>
          <wp:inline distT="0" distB="0" distL="114300" distR="114300">
            <wp:extent cx="3533140" cy="496570"/>
            <wp:effectExtent l="0" t="0" r="10160" b="17780"/>
            <wp:docPr id="74" name="图片 40"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0" descr="wps3"/>
                    <pic:cNvPicPr>
                      <a:picLocks noChangeAspect="1"/>
                    </pic:cNvPicPr>
                  </pic:nvPicPr>
                  <pic:blipFill>
                    <a:blip r:embed="rId16"/>
                    <a:stretch>
                      <a:fillRect/>
                    </a:stretch>
                  </pic:blipFill>
                  <pic:spPr>
                    <a:xfrm>
                      <a:off x="0" y="0"/>
                      <a:ext cx="3533140" cy="496570"/>
                    </a:xfrm>
                    <a:prstGeom prst="rect">
                      <a:avLst/>
                    </a:prstGeom>
                    <a:noFill/>
                    <a:ln>
                      <a:noFill/>
                    </a:ln>
                  </pic:spPr>
                </pic:pic>
              </a:graphicData>
            </a:graphic>
          </wp:inline>
        </w:drawing>
      </w:r>
      <w:r>
        <w:rPr>
          <w:color w:val="000000" w:themeColor="text1"/>
          <w14:textFill>
            <w14:solidFill>
              <w14:schemeClr w14:val="tx1"/>
            </w14:solidFill>
          </w14:textFill>
        </w:rPr>
        <w:fldChar w:fldCharType="end"/>
      </w:r>
      <w:r>
        <w:rPr>
          <w:rFonts w:hint="eastAsia" w:ascii="宋体" w:hAnsi="宋体"/>
          <w:color w:val="000000" w:themeColor="text1"/>
          <w:kern w:val="0"/>
          <w:sz w:val="24"/>
          <w:szCs w:val="24"/>
          <w14:textFill>
            <w14:solidFill>
              <w14:schemeClr w14:val="tx1"/>
            </w14:solidFill>
          </w14:textFill>
        </w:rPr>
        <w:t xml:space="preserve"> （3）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式中：M</w:t>
      </w:r>
      <w:r>
        <w:rPr>
          <w:rFonts w:hint="default" w:ascii="Times New Roman" w:hAnsi="Times New Roman" w:cs="Times New Roman"/>
          <w:color w:val="000000" w:themeColor="text1"/>
          <w:kern w:val="0"/>
          <w:sz w:val="24"/>
          <w:szCs w:val="24"/>
          <w:vertAlign w:val="subscript"/>
          <w14:textFill>
            <w14:solidFill>
              <w14:schemeClr w14:val="tx1"/>
            </w14:solidFill>
          </w14:textFill>
        </w:rPr>
        <w:t>SO2</w:t>
      </w:r>
      <w:r>
        <w:rPr>
          <w:rFonts w:hint="default" w:ascii="Times New Roman" w:hAnsi="Times New Roman" w:cs="Times New Roman"/>
          <w:color w:val="000000" w:themeColor="text1"/>
          <w:kern w:val="0"/>
          <w:sz w:val="24"/>
          <w:szCs w:val="24"/>
          <w14:textFill>
            <w14:solidFill>
              <w14:schemeClr w14:val="tx1"/>
            </w14:solidFill>
          </w14:textFill>
        </w:rPr>
        <w:t xml:space="preserve">——核算时段内二氧化硫排放量，t；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B</w:t>
      </w:r>
      <w:r>
        <w:rPr>
          <w:rFonts w:hint="default" w:ascii="Times New Roman" w:hAnsi="Times New Roman" w:cs="Times New Roman"/>
          <w:color w:val="000000" w:themeColor="text1"/>
          <w:kern w:val="0"/>
          <w:sz w:val="24"/>
          <w:szCs w:val="24"/>
          <w:vertAlign w:val="subscript"/>
          <w14:textFill>
            <w14:solidFill>
              <w14:schemeClr w14:val="tx1"/>
            </w14:solidFill>
          </w14:textFill>
        </w:rPr>
        <w:t>g</w:t>
      </w:r>
      <w:r>
        <w:rPr>
          <w:rFonts w:hint="default" w:ascii="Times New Roman" w:hAnsi="Times New Roman" w:cs="Times New Roman"/>
          <w:color w:val="000000" w:themeColor="text1"/>
          <w:kern w:val="0"/>
          <w:sz w:val="24"/>
          <w:szCs w:val="24"/>
          <w14:textFill>
            <w14:solidFill>
              <w14:schemeClr w14:val="tx1"/>
            </w14:solidFill>
          </w14:textFill>
        </w:rPr>
        <w:t xml:space="preserve">——核算时段内锅炉燃料耗量，t；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η</w:t>
      </w:r>
      <w:r>
        <w:rPr>
          <w:rFonts w:hint="default" w:ascii="Times New Roman" w:hAnsi="Times New Roman" w:cs="Times New Roman"/>
          <w:color w:val="000000" w:themeColor="text1"/>
          <w:kern w:val="0"/>
          <w:sz w:val="24"/>
          <w:szCs w:val="24"/>
          <w:vertAlign w:val="subscript"/>
          <w14:textFill>
            <w14:solidFill>
              <w14:schemeClr w14:val="tx1"/>
            </w14:solidFill>
          </w14:textFill>
        </w:rPr>
        <w:t>S1</w:t>
      </w:r>
      <w:r>
        <w:rPr>
          <w:rFonts w:hint="default" w:ascii="Times New Roman" w:hAnsi="Times New Roman" w:cs="Times New Roman"/>
          <w:color w:val="000000" w:themeColor="text1"/>
          <w:kern w:val="0"/>
          <w:sz w:val="24"/>
          <w:szCs w:val="24"/>
          <w14:textFill>
            <w14:solidFill>
              <w14:schemeClr w14:val="tx1"/>
            </w14:solidFill>
          </w14:textFill>
        </w:rPr>
        <w:t xml:space="preserve">——除尘器的脱硫效率，%，常规静电、布袋、电袋除尘器取0%；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η</w:t>
      </w:r>
      <w:r>
        <w:rPr>
          <w:rFonts w:hint="default" w:ascii="Times New Roman" w:hAnsi="Times New Roman" w:cs="Times New Roman"/>
          <w:color w:val="000000" w:themeColor="text1"/>
          <w:kern w:val="0"/>
          <w:sz w:val="24"/>
          <w:szCs w:val="24"/>
          <w:vertAlign w:val="subscript"/>
          <w14:textFill>
            <w14:solidFill>
              <w14:schemeClr w14:val="tx1"/>
            </w14:solidFill>
          </w14:textFill>
        </w:rPr>
        <w:t>S2</w:t>
      </w:r>
      <w:r>
        <w:rPr>
          <w:rFonts w:hint="default" w:ascii="Times New Roman" w:hAnsi="Times New Roman" w:cs="Times New Roman"/>
          <w:color w:val="000000" w:themeColor="text1"/>
          <w:kern w:val="0"/>
          <w:sz w:val="24"/>
          <w:szCs w:val="24"/>
          <w14:textFill>
            <w14:solidFill>
              <w14:schemeClr w14:val="tx1"/>
            </w14:solidFill>
          </w14:textFill>
        </w:rPr>
        <w:t xml:space="preserve">——脱硫系统的脱硫效率，%；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q</w:t>
      </w:r>
      <w:r>
        <w:rPr>
          <w:rFonts w:hint="default" w:ascii="Times New Roman" w:hAnsi="Times New Roman" w:cs="Times New Roman"/>
          <w:color w:val="000000" w:themeColor="text1"/>
          <w:kern w:val="0"/>
          <w:sz w:val="24"/>
          <w:szCs w:val="24"/>
          <w:vertAlign w:val="subscript"/>
          <w14:textFill>
            <w14:solidFill>
              <w14:schemeClr w14:val="tx1"/>
            </w14:solidFill>
          </w14:textFill>
        </w:rPr>
        <w:t>4</w:t>
      </w:r>
      <w:r>
        <w:rPr>
          <w:rFonts w:hint="default" w:ascii="Times New Roman" w:hAnsi="Times New Roman" w:cs="Times New Roman"/>
          <w:color w:val="000000" w:themeColor="text1"/>
          <w:kern w:val="0"/>
          <w:sz w:val="24"/>
          <w:szCs w:val="24"/>
          <w14:textFill>
            <w14:solidFill>
              <w14:schemeClr w14:val="tx1"/>
            </w14:solidFill>
          </w14:textFill>
        </w:rPr>
        <w:t xml:space="preserve">——锅炉机械不完全燃烧热损失，%；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S</w:t>
      </w:r>
      <w:r>
        <w:rPr>
          <w:rFonts w:hint="default" w:ascii="Times New Roman" w:hAnsi="Times New Roman" w:cs="Times New Roman"/>
          <w:color w:val="000000" w:themeColor="text1"/>
          <w:kern w:val="0"/>
          <w:sz w:val="24"/>
          <w:szCs w:val="24"/>
          <w:vertAlign w:val="subscript"/>
          <w14:textFill>
            <w14:solidFill>
              <w14:schemeClr w14:val="tx1"/>
            </w14:solidFill>
          </w14:textFill>
        </w:rPr>
        <w:t>ar</w:t>
      </w:r>
      <w:r>
        <w:rPr>
          <w:rFonts w:hint="default" w:ascii="Times New Roman" w:hAnsi="Times New Roman" w:cs="Times New Roman"/>
          <w:color w:val="000000" w:themeColor="text1"/>
          <w:kern w:val="0"/>
          <w:sz w:val="24"/>
          <w:szCs w:val="24"/>
          <w14:textFill>
            <w14:solidFill>
              <w14:schemeClr w14:val="tx1"/>
            </w14:solidFill>
          </w14:textFill>
        </w:rPr>
        <w:t xml:space="preserve">——燃料收到基硫质量分数，%；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 xml:space="preserve">K——燃料中的硫燃烧后氧化成二氧化硫的份额。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（3）氮氧化物排放量计算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本项目锅炉为循环流化床锅炉，采用低氮燃烧器，氮氧化物初始浓度较低，根据建设单位提供资料，项目锅炉产生NOx浓度低于120mg/m³。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根据燃煤电厂NO</w:t>
      </w:r>
      <w:r>
        <w:rPr>
          <w:rFonts w:hint="default" w:ascii="Times New Roman" w:hAnsi="Times New Roman" w:cs="Times New Roman"/>
          <w:color w:val="000000" w:themeColor="text1"/>
          <w:kern w:val="0"/>
          <w:sz w:val="24"/>
          <w:szCs w:val="24"/>
          <w:vertAlign w:val="subscript"/>
          <w14:textFill>
            <w14:solidFill>
              <w14:schemeClr w14:val="tx1"/>
            </w14:solidFill>
          </w14:textFill>
        </w:rPr>
        <w:t>X</w:t>
      </w:r>
      <w:r>
        <w:rPr>
          <w:rFonts w:hint="default" w:ascii="Times New Roman" w:hAnsi="Times New Roman" w:cs="Times New Roman"/>
          <w:color w:val="000000" w:themeColor="text1"/>
          <w:kern w:val="0"/>
          <w:sz w:val="24"/>
          <w:szCs w:val="24"/>
          <w14:textFill>
            <w14:solidFill>
              <w14:schemeClr w14:val="tx1"/>
            </w14:solidFill>
          </w14:textFill>
        </w:rPr>
        <w:t>排放量计算公式如下：</w:t>
      </w:r>
    </w:p>
    <w:p>
      <w:pPr>
        <w:spacing w:line="360" w:lineRule="auto"/>
        <w:ind w:firstLine="960" w:firstLineChars="400"/>
        <w:rPr>
          <w:rFonts w:hint="eastAsia" w:ascii="宋体" w:hAnsi="宋体"/>
          <w:color w:val="000000" w:themeColor="text1"/>
          <w:kern w:val="0"/>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"C:\\Users\\ADMINI~1\\AppData\\Local\\Temp\\ksohtml4144\\wps4.jpg"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drawing>
          <wp:inline distT="0" distB="0" distL="114300" distR="114300">
            <wp:extent cx="2257425" cy="515620"/>
            <wp:effectExtent l="0" t="0" r="9525" b="17780"/>
            <wp:docPr id="17" name="图片 41"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 descr="wps4"/>
                    <pic:cNvPicPr>
                      <a:picLocks noChangeAspect="1"/>
                    </pic:cNvPicPr>
                  </pic:nvPicPr>
                  <pic:blipFill>
                    <a:blip r:embed="rId17"/>
                    <a:stretch>
                      <a:fillRect/>
                    </a:stretch>
                  </pic:blipFill>
                  <pic:spPr>
                    <a:xfrm>
                      <a:off x="0" y="0"/>
                      <a:ext cx="2257425" cy="515620"/>
                    </a:xfrm>
                    <a:prstGeom prst="rect">
                      <a:avLst/>
                    </a:prstGeom>
                    <a:noFill/>
                    <a:ln>
                      <a:noFill/>
                    </a:ln>
                  </pic:spPr>
                </pic:pic>
              </a:graphicData>
            </a:graphic>
          </wp:inline>
        </w:drawing>
      </w:r>
      <w:r>
        <w:rPr>
          <w:color w:val="000000" w:themeColor="text1"/>
          <w14:textFill>
            <w14:solidFill>
              <w14:schemeClr w14:val="tx1"/>
            </w14:solidFill>
          </w14:textFill>
        </w:rPr>
        <w:fldChar w:fldCharType="end"/>
      </w:r>
      <w:r>
        <w:rPr>
          <w:rFonts w:hint="eastAsia" w:ascii="宋体" w:hAnsi="宋体"/>
          <w:color w:val="000000" w:themeColor="text1"/>
          <w:kern w:val="0"/>
          <w:sz w:val="24"/>
          <w:szCs w:val="24"/>
          <w14:textFill>
            <w14:solidFill>
              <w14:schemeClr w14:val="tx1"/>
            </w14:solidFill>
          </w14:textFill>
        </w:rPr>
        <w:t xml:space="preserve"> （4）</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式中：M</w:t>
      </w:r>
      <w:r>
        <w:rPr>
          <w:rFonts w:hint="default" w:ascii="Times New Roman" w:hAnsi="Times New Roman" w:cs="Times New Roman"/>
          <w:color w:val="000000" w:themeColor="text1"/>
          <w:kern w:val="0"/>
          <w:sz w:val="24"/>
          <w:szCs w:val="24"/>
          <w:vertAlign w:val="subscript"/>
          <w14:textFill>
            <w14:solidFill>
              <w14:schemeClr w14:val="tx1"/>
            </w14:solidFill>
          </w14:textFill>
        </w:rPr>
        <w:t>NOx</w:t>
      </w:r>
      <w:r>
        <w:rPr>
          <w:rFonts w:hint="default" w:ascii="Times New Roman" w:hAnsi="Times New Roman" w:cs="Times New Roman"/>
          <w:color w:val="000000" w:themeColor="text1"/>
          <w:kern w:val="0"/>
          <w:sz w:val="24"/>
          <w:szCs w:val="24"/>
          <w14:textFill>
            <w14:solidFill>
              <w14:schemeClr w14:val="tx1"/>
            </w14:solidFill>
          </w14:textFill>
        </w:rPr>
        <w:t xml:space="preserve">——核算时段内NOx排放量，t； </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C</w:t>
      </w:r>
      <w:r>
        <w:rPr>
          <w:rFonts w:hint="default" w:ascii="Times New Roman" w:hAnsi="Times New Roman" w:cs="Times New Roman"/>
          <w:color w:val="000000" w:themeColor="text1"/>
          <w:kern w:val="0"/>
          <w:sz w:val="24"/>
          <w:szCs w:val="24"/>
          <w:vertAlign w:val="subscript"/>
          <w14:textFill>
            <w14:solidFill>
              <w14:schemeClr w14:val="tx1"/>
            </w14:solidFill>
          </w14:textFill>
        </w:rPr>
        <w:t>NOx</w:t>
      </w:r>
      <w:r>
        <w:rPr>
          <w:rFonts w:hint="default" w:ascii="Times New Roman" w:hAnsi="Times New Roman" w:cs="Times New Roman"/>
          <w:color w:val="000000" w:themeColor="text1"/>
          <w:kern w:val="0"/>
          <w:sz w:val="24"/>
          <w:szCs w:val="24"/>
          <w14:textFill>
            <w14:solidFill>
              <w14:schemeClr w14:val="tx1"/>
            </w14:solidFill>
          </w14:textFill>
        </w:rPr>
        <w:t>——锅炉炉膛出口NOx排放质量浓度，mg/m</w:t>
      </w:r>
      <w:r>
        <w:rPr>
          <w:rFonts w:hint="default" w:ascii="Times New Roman" w:hAnsi="Times New Roman" w:cs="Times New Roman"/>
          <w:color w:val="000000" w:themeColor="text1"/>
          <w:kern w:val="0"/>
          <w:sz w:val="24"/>
          <w:szCs w:val="24"/>
          <w:vertAlign w:val="superscript"/>
          <w14:textFill>
            <w14:solidFill>
              <w14:schemeClr w14:val="tx1"/>
            </w14:solidFill>
          </w14:textFill>
        </w:rPr>
        <w:t>3</w:t>
      </w:r>
      <w:r>
        <w:rPr>
          <w:rFonts w:hint="default" w:ascii="Times New Roman" w:hAnsi="Times New Roman" w:cs="Times New Roman"/>
          <w:color w:val="000000" w:themeColor="text1"/>
          <w:kern w:val="0"/>
          <w:sz w:val="24"/>
          <w:szCs w:val="24"/>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V</w:t>
      </w:r>
      <w:r>
        <w:rPr>
          <w:rFonts w:hint="default" w:ascii="Times New Roman" w:hAnsi="Times New Roman" w:cs="Times New Roman"/>
          <w:color w:val="000000" w:themeColor="text1"/>
          <w:kern w:val="0"/>
          <w:sz w:val="24"/>
          <w:szCs w:val="24"/>
          <w:vertAlign w:val="subscript"/>
          <w14:textFill>
            <w14:solidFill>
              <w14:schemeClr w14:val="tx1"/>
            </w14:solidFill>
          </w14:textFill>
        </w:rPr>
        <w:t>g</w:t>
      </w:r>
      <w:r>
        <w:rPr>
          <w:rFonts w:hint="default" w:ascii="Times New Roman" w:hAnsi="Times New Roman" w:cs="Times New Roman"/>
          <w:color w:val="000000" w:themeColor="text1"/>
          <w:kern w:val="0"/>
          <w:sz w:val="24"/>
          <w:szCs w:val="24"/>
          <w14:textFill>
            <w14:solidFill>
              <w14:schemeClr w14:val="tx1"/>
            </w14:solidFill>
          </w14:textFill>
        </w:rPr>
        <w:t>——核算时段内标态干烟气量，m</w:t>
      </w:r>
      <w:r>
        <w:rPr>
          <w:rFonts w:hint="default" w:ascii="Times New Roman" w:hAnsi="Times New Roman" w:cs="Times New Roman"/>
          <w:color w:val="000000" w:themeColor="text1"/>
          <w:kern w:val="0"/>
          <w:sz w:val="24"/>
          <w:szCs w:val="24"/>
          <w:vertAlign w:val="superscript"/>
          <w14:textFill>
            <w14:solidFill>
              <w14:schemeClr w14:val="tx1"/>
            </w14:solidFill>
          </w14:textFill>
        </w:rPr>
        <w:t>3</w:t>
      </w:r>
      <w:r>
        <w:rPr>
          <w:rFonts w:hint="default" w:ascii="Times New Roman" w:hAnsi="Times New Roman" w:cs="Times New Roman"/>
          <w:color w:val="000000" w:themeColor="text1"/>
          <w:kern w:val="0"/>
          <w:sz w:val="24"/>
          <w:szCs w:val="24"/>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η</w:t>
      </w:r>
      <w:r>
        <w:rPr>
          <w:rFonts w:hint="default" w:ascii="Times New Roman" w:hAnsi="Times New Roman" w:cs="Times New Roman"/>
          <w:color w:val="000000" w:themeColor="text1"/>
          <w:kern w:val="0"/>
          <w:sz w:val="24"/>
          <w:szCs w:val="24"/>
          <w:vertAlign w:val="subscript"/>
          <w14:textFill>
            <w14:solidFill>
              <w14:schemeClr w14:val="tx1"/>
            </w14:solidFill>
          </w14:textFill>
        </w:rPr>
        <w:t>NOx</w:t>
      </w:r>
      <w:r>
        <w:rPr>
          <w:rFonts w:hint="default" w:ascii="Times New Roman" w:hAnsi="Times New Roman" w:cs="Times New Roman"/>
          <w:color w:val="000000" w:themeColor="text1"/>
          <w:kern w:val="0"/>
          <w:sz w:val="24"/>
          <w:szCs w:val="24"/>
          <w14:textFill>
            <w14:solidFill>
              <w14:schemeClr w14:val="tx1"/>
            </w14:solidFill>
          </w14:textFill>
        </w:rPr>
        <w:t>——脱硝效率，%。</w:t>
      </w:r>
    </w:p>
    <w:p>
      <w:pPr>
        <w:pStyle w:val="2"/>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物料衡算法中参数q</w:t>
      </w:r>
      <w:r>
        <w:rPr>
          <w:rFonts w:hint="default" w:ascii="Times New Roman" w:hAnsi="Times New Roman" w:cs="Times New Roman"/>
          <w:color w:val="000000" w:themeColor="text1"/>
          <w:kern w:val="0"/>
          <w:sz w:val="24"/>
          <w:szCs w:val="24"/>
          <w:vertAlign w:val="subscript"/>
          <w14:textFill>
            <w14:solidFill>
              <w14:schemeClr w14:val="tx1"/>
            </w14:solidFill>
          </w14:textFill>
        </w:rPr>
        <w:t>4</w:t>
      </w:r>
      <w:r>
        <w:rPr>
          <w:rFonts w:hint="default" w:ascii="Times New Roman" w:hAnsi="Times New Roman" w:cs="Times New Roman"/>
          <w:color w:val="000000" w:themeColor="text1"/>
          <w:kern w:val="0"/>
          <w:sz w:val="24"/>
          <w:szCs w:val="24"/>
          <w14:textFill>
            <w14:solidFill>
              <w14:schemeClr w14:val="tx1"/>
            </w14:solidFill>
          </w14:textFill>
        </w:rPr>
        <w:t>、α</w:t>
      </w:r>
      <w:r>
        <w:rPr>
          <w:rFonts w:hint="default" w:ascii="Times New Roman" w:hAnsi="Times New Roman" w:cs="Times New Roman"/>
          <w:color w:val="000000" w:themeColor="text1"/>
          <w:kern w:val="0"/>
          <w:sz w:val="24"/>
          <w:szCs w:val="24"/>
          <w:vertAlign w:val="subscript"/>
          <w14:textFill>
            <w14:solidFill>
              <w14:schemeClr w14:val="tx1"/>
            </w14:solidFill>
          </w14:textFill>
        </w:rPr>
        <w:t>fh</w:t>
      </w:r>
      <w:r>
        <w:rPr>
          <w:rFonts w:hint="default" w:ascii="Times New Roman" w:hAnsi="Times New Roman" w:cs="Times New Roman"/>
          <w:color w:val="000000" w:themeColor="text1"/>
          <w:kern w:val="0"/>
          <w:sz w:val="24"/>
          <w:szCs w:val="24"/>
          <w14:textFill>
            <w14:solidFill>
              <w14:schemeClr w14:val="tx1"/>
            </w14:solidFill>
          </w14:textFill>
        </w:rPr>
        <w:t>、K取值参见《污染源源强核算技术指南 火电》(HJ884-2018)中附录A，脱除效率η取值参见《火电厂污染防治可行技术指南》HJ2301、附录B，烟气排放量V</w:t>
      </w:r>
      <w:r>
        <w:rPr>
          <w:rFonts w:hint="default" w:ascii="Times New Roman" w:hAnsi="Times New Roman" w:cs="Times New Roman"/>
          <w:color w:val="000000" w:themeColor="text1"/>
          <w:kern w:val="0"/>
          <w:sz w:val="24"/>
          <w:szCs w:val="24"/>
          <w:vertAlign w:val="subscript"/>
          <w14:textFill>
            <w14:solidFill>
              <w14:schemeClr w14:val="tx1"/>
            </w14:solidFill>
          </w14:textFill>
        </w:rPr>
        <w:t>g</w:t>
      </w:r>
      <w:r>
        <w:rPr>
          <w:rFonts w:hint="default" w:ascii="Times New Roman" w:hAnsi="Times New Roman" w:cs="Times New Roman"/>
          <w:color w:val="000000" w:themeColor="text1"/>
          <w:kern w:val="0"/>
          <w:sz w:val="24"/>
          <w:szCs w:val="24"/>
          <w14:textFill>
            <w14:solidFill>
              <w14:schemeClr w14:val="tx1"/>
            </w14:solidFill>
          </w14:textFill>
        </w:rPr>
        <w:t>计算参见附录C。</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en-US" w:eastAsia="en-US"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经核算，烟气排放状况，见表</w:t>
      </w:r>
      <w:r>
        <w:rPr>
          <w:rFonts w:hint="eastAsia" w:eastAsia="宋体" w:cs="Times New Roman"/>
          <w:color w:val="000000" w:themeColor="text1"/>
          <w:spacing w:val="0"/>
          <w:w w:val="100"/>
          <w:position w:val="0"/>
          <w:sz w:val="24"/>
          <w:szCs w:val="24"/>
          <w:u w:val="none"/>
          <w:lang w:val="en-US" w:eastAsia="en-US" w:bidi="zh-CN"/>
          <w14:textFill>
            <w14:solidFill>
              <w14:schemeClr w14:val="tx1"/>
            </w14:solidFill>
          </w14:textFill>
        </w:rPr>
        <w:t>2.4-1</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和表</w:t>
      </w:r>
      <w:r>
        <w:rPr>
          <w:rFonts w:hint="eastAsia" w:eastAsia="宋体" w:cs="Times New Roman"/>
          <w:color w:val="000000" w:themeColor="text1"/>
          <w:spacing w:val="0"/>
          <w:w w:val="100"/>
          <w:position w:val="0"/>
          <w:sz w:val="24"/>
          <w:szCs w:val="24"/>
          <w:u w:val="none"/>
          <w:lang w:val="en-US" w:eastAsia="en-US" w:bidi="zh-CN"/>
          <w14:textFill>
            <w14:solidFill>
              <w14:schemeClr w14:val="tx1"/>
            </w14:solidFill>
          </w14:textFill>
        </w:rPr>
        <w:t>2.</w:t>
      </w:r>
      <w:r>
        <w:rPr>
          <w:rFonts w:hint="eastAsia" w:eastAsia="宋体" w:cs="Times New Roman"/>
          <w:color w:val="000000" w:themeColor="text1"/>
          <w:spacing w:val="0"/>
          <w:w w:val="100"/>
          <w:position w:val="0"/>
          <w:sz w:val="24"/>
          <w:szCs w:val="24"/>
          <w:u w:val="none"/>
          <w:lang w:val="en-US" w:eastAsia="zh-CN" w:bidi="zh-CN"/>
          <w14:textFill>
            <w14:solidFill>
              <w14:schemeClr w14:val="tx1"/>
            </w14:solidFill>
          </w14:textFill>
        </w:rPr>
        <w:t>4</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-2。</w:t>
      </w:r>
    </w:p>
    <w:p>
      <w:pPr>
        <w:pStyle w:val="42"/>
        <w:keepNext w:val="0"/>
        <w:keepLines w:val="0"/>
        <w:pageBreakBefore w:val="0"/>
        <w:widowControl w:val="0"/>
        <w:shd w:val="clear" w:color="auto" w:fill="auto"/>
        <w:tabs>
          <w:tab w:val="left" w:pos="2573"/>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2.</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zh-CN" w:bidi="zh-CN"/>
          <w14:textFill>
            <w14:solidFill>
              <w14:schemeClr w14:val="tx1"/>
            </w14:solidFill>
          </w14:textFill>
        </w:rPr>
        <w:t>4</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zh-CN" w:bidi="zh-CN"/>
          <w14:textFill>
            <w14:solidFill>
              <w14:schemeClr w14:val="tx1"/>
            </w14:solidFill>
          </w14:textFill>
        </w:rPr>
        <w:t>1</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本项目热力中心锅炉排烟参数一览表</w:t>
      </w:r>
    </w:p>
    <w:tbl>
      <w:tblPr>
        <w:tblStyle w:val="21"/>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895"/>
        <w:gridCol w:w="2603"/>
        <w:gridCol w:w="914"/>
        <w:gridCol w:w="29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7" w:type="dxa"/>
            <w:gridSpan w:val="3"/>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单位</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2×130t/h+1×220t/h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84" w:type="dxa"/>
            <w:gridSpan w:val="2"/>
            <w:vMerge w:val="restar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烟囱</w:t>
            </w: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烟囱方式</w:t>
            </w:r>
          </w:p>
        </w:tc>
        <w:tc>
          <w:tcPr>
            <w:tcW w:w="3835" w:type="dxa"/>
            <w:gridSpan w:val="2"/>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3台锅炉共用一座玻璃钢制烟囱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84" w:type="dxa"/>
            <w:gridSpan w:val="2"/>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几何高度</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84" w:type="dxa"/>
            <w:gridSpan w:val="2"/>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出口内径</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2921"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84" w:type="dxa"/>
            <w:gridSpan w:val="2"/>
            <w:vMerge w:val="restar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烟气排放状况</w:t>
            </w:r>
          </w:p>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（引风机出口）</w:t>
            </w: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烟气量（干烟气量）</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/h</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583400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84" w:type="dxa"/>
            <w:gridSpan w:val="2"/>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烟气量（湿烟气量）</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/h</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683900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84" w:type="dxa"/>
            <w:gridSpan w:val="2"/>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空气过剩系数</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84" w:type="dxa"/>
            <w:gridSpan w:val="2"/>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烟囱出口参数</w:t>
            </w: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烟气温度</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9" w:type="dxa"/>
            <w:vMerge w:val="restar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w:t>
            </w:r>
          </w:p>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w:t>
            </w:r>
          </w:p>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w:t>
            </w:r>
          </w:p>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状况</w:t>
            </w:r>
          </w:p>
        </w:tc>
        <w:tc>
          <w:tcPr>
            <w:tcW w:w="895" w:type="dxa"/>
            <w:vMerge w:val="restar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烟尘</w:t>
            </w: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产生浓度</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21764.33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9"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895"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产生量</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t/a</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69835.22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9"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895"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9"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895"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排放量</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t/a</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9"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895" w:type="dxa"/>
            <w:vMerge w:val="restar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产生浓度</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972.50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9"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895"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产生量</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t/a</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3120.45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9"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895"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34.04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9"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895"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排放量</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t/a</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109.22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9"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895" w:type="dxa"/>
            <w:vMerge w:val="restar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x</w:t>
            </w: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产生浓度</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9"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895"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产生量</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t/a</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385.04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9"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895"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9"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895" w:type="dxa"/>
            <w:vMerge w:val="continue"/>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260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排放量</w:t>
            </w:r>
          </w:p>
        </w:tc>
        <w:tc>
          <w:tcPr>
            <w:tcW w:w="914"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t/a</w:t>
            </w:r>
          </w:p>
        </w:tc>
        <w:tc>
          <w:tcPr>
            <w:tcW w:w="292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154.02</w:t>
            </w:r>
          </w:p>
        </w:tc>
      </w:tr>
    </w:tbl>
    <w:p>
      <w:pPr>
        <w:pStyle w:val="42"/>
        <w:keepNext w:val="0"/>
        <w:keepLines w:val="0"/>
        <w:pageBreakBefore w:val="0"/>
        <w:widowControl w:val="0"/>
        <w:shd w:val="clear" w:color="auto" w:fill="auto"/>
        <w:tabs>
          <w:tab w:val="left" w:pos="2573"/>
        </w:tabs>
        <w:kinsoku/>
        <w:wordWrap/>
        <w:overflowPunct/>
        <w:topLinePunct w:val="0"/>
        <w:autoSpaceDE/>
        <w:autoSpaceDN/>
        <w:bidi w:val="0"/>
        <w:adjustRightInd/>
        <w:snapToGrid/>
        <w:spacing w:before="157" w:beforeLines="50" w:after="0" w:line="240" w:lineRule="auto"/>
        <w:ind w:left="0" w:right="0" w:firstLine="0"/>
        <w:jc w:val="left"/>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注：锅炉日运行20h，年利用时数为5500h。</w:t>
      </w:r>
    </w:p>
    <w:p>
      <w:pPr>
        <w:pStyle w:val="42"/>
        <w:keepNext w:val="0"/>
        <w:keepLines w:val="0"/>
        <w:pageBreakBefore w:val="0"/>
        <w:widowControl w:val="0"/>
        <w:shd w:val="clear" w:color="auto" w:fill="auto"/>
        <w:tabs>
          <w:tab w:val="left" w:pos="2573"/>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p>
    <w:p>
      <w:pPr>
        <w:pStyle w:val="42"/>
        <w:keepNext w:val="0"/>
        <w:keepLines w:val="0"/>
        <w:pageBreakBefore w:val="0"/>
        <w:widowControl w:val="0"/>
        <w:shd w:val="clear" w:color="auto" w:fill="auto"/>
        <w:tabs>
          <w:tab w:val="left" w:pos="2573"/>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2. 4-2</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ab/>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工程大气污染物排放情况一览表</w:t>
      </w:r>
    </w:p>
    <w:tbl>
      <w:tblPr>
        <w:tblStyle w:val="21"/>
        <w:tblW w:w="8525" w:type="dxa"/>
        <w:jc w:val="center"/>
        <w:tblInd w:w="0" w:type="dxa"/>
        <w:tblLayout w:type="fixed"/>
        <w:tblCellMar>
          <w:top w:w="0" w:type="dxa"/>
          <w:left w:w="10" w:type="dxa"/>
          <w:bottom w:w="0" w:type="dxa"/>
          <w:right w:w="10" w:type="dxa"/>
        </w:tblCellMar>
      </w:tblPr>
      <w:tblGrid>
        <w:gridCol w:w="1218"/>
        <w:gridCol w:w="1215"/>
        <w:gridCol w:w="1218"/>
        <w:gridCol w:w="1624"/>
        <w:gridCol w:w="1624"/>
        <w:gridCol w:w="1626"/>
      </w:tblGrid>
      <w:tr>
        <w:tblPrEx>
          <w:tblLayout w:type="fixed"/>
          <w:tblCellMar>
            <w:top w:w="0" w:type="dxa"/>
            <w:left w:w="10" w:type="dxa"/>
            <w:bottom w:w="0" w:type="dxa"/>
            <w:right w:w="10" w:type="dxa"/>
          </w:tblCellMar>
        </w:tblPrEx>
        <w:trPr>
          <w:trHeight w:val="446" w:hRule="exact"/>
          <w:jc w:val="center"/>
        </w:trPr>
        <w:tc>
          <w:tcPr>
            <w:tcW w:w="1218"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燃料</w:t>
            </w:r>
          </w:p>
        </w:tc>
        <w:tc>
          <w:tcPr>
            <w:tcW w:w="1215"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 xml:space="preserve">燃料耗量 </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10</w:t>
            </w:r>
            <w:r>
              <w:rPr>
                <w:rStyle w:val="38"/>
                <w:rFonts w:hint="eastAsia" w:ascii="Times New Roman" w:hAnsi="Times New Roman" w:eastAsia="宋体" w:cs="Times New Roman"/>
                <w:b w:val="0"/>
                <w:bCs w:val="0"/>
                <w:i w:val="0"/>
                <w:iCs w:val="0"/>
                <w:smallCaps w:val="0"/>
                <w:strike w:val="0"/>
                <w:color w:val="000000" w:themeColor="text1"/>
                <w:sz w:val="21"/>
                <w:szCs w:val="21"/>
                <w:vertAlign w:val="superscript"/>
                <w:lang w:val="en-US" w:eastAsia="zh-CN" w:bidi="en-US"/>
                <w14:textFill>
                  <w14:solidFill>
                    <w14:schemeClr w14:val="tx1"/>
                  </w14:solidFill>
                </w14:textFill>
              </w:rPr>
              <w:t>4</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t/a)</w:t>
            </w:r>
          </w:p>
        </w:tc>
        <w:tc>
          <w:tcPr>
            <w:tcW w:w="1218"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烟气量</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10</w:t>
            </w:r>
            <w:r>
              <w:rPr>
                <w:rStyle w:val="38"/>
                <w:rFonts w:hint="eastAsia" w:ascii="Times New Roman" w:hAnsi="Times New Roman" w:eastAsia="宋体" w:cs="Times New Roman"/>
                <w:b w:val="0"/>
                <w:bCs w:val="0"/>
                <w:i w:val="0"/>
                <w:iCs w:val="0"/>
                <w:smallCaps w:val="0"/>
                <w:strike w:val="0"/>
                <w:color w:val="000000" w:themeColor="text1"/>
                <w:sz w:val="21"/>
                <w:szCs w:val="21"/>
                <w:vertAlign w:val="superscript"/>
                <w:lang w:val="en-US" w:eastAsia="zh-CN"/>
                <w14:textFill>
                  <w14:solidFill>
                    <w14:schemeClr w14:val="tx1"/>
                  </w14:solidFill>
                </w14:textFill>
              </w:rPr>
              <w:t>9</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en-US" w:bidi="en-US"/>
                <w14:textFill>
                  <w14:solidFill>
                    <w14:schemeClr w14:val="tx1"/>
                  </w14:solidFill>
                </w14:textFill>
              </w:rPr>
              <w:t>3</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/a</w:t>
            </w:r>
          </w:p>
        </w:tc>
        <w:tc>
          <w:tcPr>
            <w:tcW w:w="4874" w:type="dxa"/>
            <w:gridSpan w:val="3"/>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污染物排放量</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(t/a)</w:t>
            </w:r>
          </w:p>
        </w:tc>
      </w:tr>
      <w:tr>
        <w:tblPrEx>
          <w:tblLayout w:type="fixed"/>
          <w:tblCellMar>
            <w:top w:w="0" w:type="dxa"/>
            <w:left w:w="10" w:type="dxa"/>
            <w:bottom w:w="0" w:type="dxa"/>
            <w:right w:w="10" w:type="dxa"/>
          </w:tblCellMar>
        </w:tblPrEx>
        <w:trPr>
          <w:trHeight w:val="322" w:hRule="exact"/>
          <w:jc w:val="center"/>
        </w:trPr>
        <w:tc>
          <w:tcPr>
            <w:tcW w:w="1218"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15"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18"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624"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烟尘</w:t>
            </w:r>
          </w:p>
        </w:tc>
        <w:tc>
          <w:tcPr>
            <w:tcW w:w="1624"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S</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O</w:t>
            </w:r>
            <w:r>
              <w:rPr>
                <w:rStyle w:val="38"/>
                <w:rFonts w:hint="default" w:ascii="Times New Roman" w:hAnsi="Times New Roman" w:eastAsia="宋体" w:cs="Times New Roman"/>
                <w:b w:val="0"/>
                <w:bCs w:val="0"/>
                <w:i w:val="0"/>
                <w:iCs w:val="0"/>
                <w:smallCaps w:val="0"/>
                <w:strike w:val="0"/>
                <w:color w:val="000000" w:themeColor="text1"/>
                <w:sz w:val="21"/>
                <w:szCs w:val="21"/>
                <w:vertAlign w:val="subscript"/>
                <w:lang w:val="en-US" w:eastAsia="en-US" w:bidi="en-US"/>
                <w14:textFill>
                  <w14:solidFill>
                    <w14:schemeClr w14:val="tx1"/>
                  </w14:solidFill>
                </w14:textFill>
              </w:rPr>
              <w:t>2</w:t>
            </w:r>
          </w:p>
        </w:tc>
        <w:tc>
          <w:tcPr>
            <w:tcW w:w="1626" w:type="dxa"/>
            <w:tcBorders>
              <w:top w:val="single" w:color="auto" w:sz="4" w:space="0"/>
              <w:left w:val="single" w:color="auto" w:sz="4" w:space="0"/>
              <w:righ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NOx</w:t>
            </w:r>
          </w:p>
        </w:tc>
      </w:tr>
      <w:tr>
        <w:tblPrEx>
          <w:tblLayout w:type="fixed"/>
          <w:tblCellMar>
            <w:top w:w="0" w:type="dxa"/>
            <w:left w:w="10" w:type="dxa"/>
            <w:bottom w:w="0" w:type="dxa"/>
            <w:right w:w="10" w:type="dxa"/>
          </w:tblCellMar>
        </w:tblPrEx>
        <w:trPr>
          <w:trHeight w:val="451" w:hRule="exact"/>
          <w:jc w:val="center"/>
        </w:trPr>
        <w:tc>
          <w:tcPr>
            <w:tcW w:w="1218"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水煤浆</w:t>
            </w:r>
          </w:p>
        </w:tc>
        <w:tc>
          <w:tcPr>
            <w:tcW w:w="1215"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60.42</w:t>
            </w:r>
          </w:p>
        </w:tc>
        <w:tc>
          <w:tcPr>
            <w:tcW w:w="1218"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3.44</w:t>
            </w:r>
          </w:p>
        </w:tc>
        <w:tc>
          <w:tcPr>
            <w:tcW w:w="1624"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13.97</w:t>
            </w:r>
          </w:p>
        </w:tc>
        <w:tc>
          <w:tcPr>
            <w:tcW w:w="1624"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109.22</w:t>
            </w:r>
          </w:p>
        </w:tc>
        <w:tc>
          <w:tcPr>
            <w:tcW w:w="16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 xml:space="preserve">154. </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02</w:t>
            </w:r>
          </w:p>
        </w:tc>
      </w:tr>
    </w:tbl>
    <w:p>
      <w:pPr>
        <w:pStyle w:val="33"/>
        <w:keepNext w:val="0"/>
        <w:keepLines w:val="0"/>
        <w:pageBreakBefore w:val="0"/>
        <w:widowControl w:val="0"/>
        <w:shd w:val="clear" w:color="auto" w:fill="auto"/>
        <w:kinsoku/>
        <w:wordWrap/>
        <w:overflowPunct/>
        <w:topLinePunct w:val="0"/>
        <w:autoSpaceDE/>
        <w:autoSpaceDN/>
        <w:bidi w:val="0"/>
        <w:adjustRightInd/>
        <w:snapToGrid/>
        <w:spacing w:before="313" w:beforeLines="10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t>2.4.1.2无组织粉尘</w:t>
      </w:r>
    </w:p>
    <w:p>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本项目低矮排放源主要是灰仓、石灰石仓、消石灰仓的粉尘。工程设计在上述粉尘无组织排放源处设置布袋除尘器，布袋除尘器除尘效率</w:t>
      </w:r>
      <w:r>
        <w:rPr>
          <w:rFonts w:hint="default" w:ascii="Times New Roman" w:hAnsi="Times New Roman" w:cs="Times New Roman"/>
          <w:color w:val="000000" w:themeColor="text1"/>
          <w:sz w:val="24"/>
          <w14:textFill>
            <w14:solidFill>
              <w14:schemeClr w14:val="tx1"/>
            </w14:solidFill>
          </w14:textFill>
        </w:rPr>
        <w:t>可以达到99.98%以上，</w:t>
      </w:r>
      <w:r>
        <w:rPr>
          <w:rFonts w:hint="default" w:ascii="Times New Roman" w:hAnsi="Times New Roman" w:cs="Times New Roman"/>
          <w:bCs/>
          <w:color w:val="000000" w:themeColor="text1"/>
          <w:sz w:val="24"/>
          <w14:textFill>
            <w14:solidFill>
              <w14:schemeClr w14:val="tx1"/>
            </w14:solidFill>
          </w14:textFill>
        </w:rPr>
        <w:t>经除尘器处理后排放。本项目设计粉尘产生量按物料用量的万分之一计，</w:t>
      </w:r>
      <w:r>
        <w:rPr>
          <w:rFonts w:hint="default" w:ascii="Times New Roman" w:hAnsi="Times New Roman" w:cs="Times New Roman"/>
          <w:color w:val="000000" w:themeColor="text1"/>
          <w:sz w:val="24"/>
          <w14:textFill>
            <w14:solidFill>
              <w14:schemeClr w14:val="tx1"/>
            </w14:solidFill>
          </w14:textFill>
        </w:rPr>
        <w:t>除尘效率按99.98%计</w:t>
      </w:r>
      <w:r>
        <w:rPr>
          <w:rFonts w:hint="default" w:ascii="Times New Roman" w:hAnsi="Times New Roman" w:cs="Times New Roman"/>
          <w:bCs/>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（1）灰仓粉尘</w:t>
      </w:r>
    </w:p>
    <w:p>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项目除灰系统采用机械输送加气力输灰方式将炉灰通过灰管直接排至灰仓中。在灰仓顶设置布袋除尘器，粉尘经布袋除尘器过滤后排向大气。本工程设置2座公用钢筋混凝土结构贮灰仓，每座灰仓直径为12m、高度为6.5m，有效容积1500m</w:t>
      </w:r>
      <w:r>
        <w:rPr>
          <w:rFonts w:hint="default" w:ascii="Times New Roman" w:hAnsi="Times New Roman" w:cs="Times New Roman"/>
          <w:bCs/>
          <w:color w:val="000000" w:themeColor="text1"/>
          <w:sz w:val="24"/>
          <w:vertAlign w:val="superscript"/>
          <w14:textFill>
            <w14:solidFill>
              <w14:schemeClr w14:val="tx1"/>
            </w14:solidFill>
          </w14:textFill>
        </w:rPr>
        <w:t>3</w:t>
      </w:r>
      <w:r>
        <w:rPr>
          <w:rFonts w:hint="default" w:ascii="Times New Roman" w:hAnsi="Times New Roman" w:cs="Times New Roman"/>
          <w:bCs/>
          <w:color w:val="000000" w:themeColor="text1"/>
          <w:sz w:val="24"/>
          <w14:textFill>
            <w14:solidFill>
              <w14:schemeClr w14:val="tx1"/>
            </w14:solidFill>
          </w14:textFill>
        </w:rPr>
        <w:t>，每座贮灰仓仓顶均设置一台布袋除尘器。</w:t>
      </w:r>
    </w:p>
    <w:p>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（2）石灰石粉仓和消石灰仓的粉尘</w:t>
      </w:r>
    </w:p>
    <w:p>
      <w:pPr>
        <w:spacing w:line="360" w:lineRule="auto"/>
        <w:ind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本项目锅炉烟气脱硫采用</w:t>
      </w:r>
      <w:r>
        <w:rPr>
          <w:rFonts w:hint="default" w:ascii="Times New Roman" w:hAnsi="Times New Roman" w:cs="Times New Roman"/>
          <w:color w:val="000000" w:themeColor="text1"/>
          <w:sz w:val="24"/>
          <w14:textFill>
            <w14:solidFill>
              <w14:schemeClr w14:val="tx1"/>
            </w14:solidFill>
          </w14:textFill>
        </w:rPr>
        <w:t>炉内喷钙+烟气循环流化床干法脱硫除尘一体化工艺，炉内喷钙原料为</w:t>
      </w:r>
      <w:r>
        <w:rPr>
          <w:rFonts w:hint="default" w:ascii="Times New Roman" w:hAnsi="Times New Roman" w:cs="Times New Roman"/>
          <w:bCs/>
          <w:color w:val="000000" w:themeColor="text1"/>
          <w:sz w:val="24"/>
          <w14:textFill>
            <w14:solidFill>
              <w14:schemeClr w14:val="tx1"/>
            </w14:solidFill>
          </w14:textFill>
        </w:rPr>
        <w:t>石灰石，炉外脱硫吸收剂原料为消石灰。</w:t>
      </w:r>
    </w:p>
    <w:p>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石灰石粉输送用系统拟采用一级正压气力输送系统。本期工程设置2座钢结构石灰石粉仓，单个仓直径4.5m、高度为6m，有效容积100m</w:t>
      </w:r>
      <w:r>
        <w:rPr>
          <w:rFonts w:hint="default" w:ascii="Times New Roman" w:hAnsi="Times New Roman" w:cs="Times New Roman"/>
          <w:bCs/>
          <w:color w:val="000000" w:themeColor="text1"/>
          <w:sz w:val="24"/>
          <w:vertAlign w:val="superscript"/>
          <w14:textFill>
            <w14:solidFill>
              <w14:schemeClr w14:val="tx1"/>
            </w14:solidFill>
          </w14:textFill>
        </w:rPr>
        <w:t>3</w:t>
      </w:r>
      <w:r>
        <w:rPr>
          <w:rFonts w:hint="default" w:ascii="Times New Roman" w:hAnsi="Times New Roman" w:cs="Times New Roman"/>
          <w:bCs/>
          <w:color w:val="000000" w:themeColor="text1"/>
          <w:sz w:val="24"/>
          <w14:textFill>
            <w14:solidFill>
              <w14:schemeClr w14:val="tx1"/>
            </w14:solidFill>
          </w14:textFill>
        </w:rPr>
        <w:t>，仓顶均设有一台布袋除尘器、压力真空释放阀和料位计。</w:t>
      </w:r>
    </w:p>
    <w:p>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消石灰仓的消石灰经斜槽进入吸收塔内反应脱硫。本期工程设置1座直径6m、高度为12m的钢结构消石灰仓，有效容积320m</w:t>
      </w:r>
      <w:r>
        <w:rPr>
          <w:rFonts w:hint="default" w:ascii="Times New Roman" w:hAnsi="Times New Roman" w:cs="Times New Roman"/>
          <w:bCs/>
          <w:color w:val="000000" w:themeColor="text1"/>
          <w:sz w:val="24"/>
          <w:vertAlign w:val="superscript"/>
          <w14:textFill>
            <w14:solidFill>
              <w14:schemeClr w14:val="tx1"/>
            </w14:solidFill>
          </w14:textFill>
        </w:rPr>
        <w:t>3</w:t>
      </w:r>
      <w:r>
        <w:rPr>
          <w:rFonts w:hint="default" w:ascii="Times New Roman" w:hAnsi="Times New Roman" w:cs="Times New Roman"/>
          <w:bCs/>
          <w:color w:val="000000" w:themeColor="text1"/>
          <w:sz w:val="24"/>
          <w14:textFill>
            <w14:solidFill>
              <w14:schemeClr w14:val="tx1"/>
            </w14:solidFill>
          </w14:textFill>
        </w:rPr>
        <w:t>，仓顶设有一台布袋除尘器、压力真空释放阀和料位计。</w:t>
      </w:r>
    </w:p>
    <w:p>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（3）运输扬尘</w:t>
      </w:r>
    </w:p>
    <w:p>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项目炉灰采用机械输送加气力输灰方式送至贮灰仓，外运综合利用由密闭罐车运输。石灰石、消石灰的运输分别由密闭罐车运输。可消除运输扬尘对环境的影响。</w:t>
      </w:r>
    </w:p>
    <w:p>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在采取上述防治措施后，本工程其他尘源粉尘产生量较小，具体见表</w:t>
      </w:r>
      <w:r>
        <w:rPr>
          <w:rFonts w:hint="eastAsia" w:ascii="Times New Roman" w:hAnsi="Times New Roman" w:eastAsia="宋体" w:cs="Times New Roman"/>
          <w:bCs/>
          <w:color w:val="000000" w:themeColor="text1"/>
          <w:sz w:val="24"/>
          <w:lang w:val="en-US" w:eastAsia="zh-CN"/>
          <w14:textFill>
            <w14:solidFill>
              <w14:schemeClr w14:val="tx1"/>
            </w14:solidFill>
          </w14:textFill>
        </w:rPr>
        <w:t>2</w:t>
      </w:r>
      <w:r>
        <w:rPr>
          <w:rFonts w:hint="default" w:ascii="Times New Roman" w:hAnsi="Times New Roman" w:cs="Times New Roman"/>
          <w:bCs/>
          <w:color w:val="000000" w:themeColor="text1"/>
          <w:sz w:val="24"/>
          <w14:textFill>
            <w14:solidFill>
              <w14:schemeClr w14:val="tx1"/>
            </w14:solidFill>
          </w14:textFill>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4</w:t>
      </w:r>
      <w:r>
        <w:rPr>
          <w:rFonts w:hint="default" w:ascii="Times New Roman" w:hAnsi="Times New Roman" w:cs="Times New Roman"/>
          <w:bCs/>
          <w:color w:val="000000" w:themeColor="text1"/>
          <w:sz w:val="24"/>
          <w14:textFill>
            <w14:solidFill>
              <w14:schemeClr w14:val="tx1"/>
            </w14:solidFill>
          </w14:textFill>
        </w:rPr>
        <w:t>-3。</w:t>
      </w:r>
    </w:p>
    <w:p>
      <w:pPr>
        <w:pStyle w:val="42"/>
        <w:keepNext w:val="0"/>
        <w:keepLines w:val="0"/>
        <w:pageBreakBefore w:val="0"/>
        <w:widowControl w:val="0"/>
        <w:shd w:val="clear" w:color="auto" w:fill="auto"/>
        <w:tabs>
          <w:tab w:val="left" w:pos="2573"/>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zh-CN" w:bidi="zh-CN"/>
          <w14:textFill>
            <w14:solidFill>
              <w14:schemeClr w14:val="tx1"/>
            </w14:solidFill>
          </w14:textFill>
        </w:rPr>
        <w:t>2</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zh-CN" w:bidi="zh-CN"/>
          <w14:textFill>
            <w14:solidFill>
              <w14:schemeClr w14:val="tx1"/>
            </w14:solidFill>
          </w14:textFill>
        </w:rPr>
        <w:t>4</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-3 无组织粉尘排放情况</w:t>
      </w:r>
    </w:p>
    <w:tbl>
      <w:tblPr>
        <w:tblStyle w:val="21"/>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120"/>
        <w:gridCol w:w="646"/>
        <w:gridCol w:w="987"/>
        <w:gridCol w:w="1063"/>
        <w:gridCol w:w="874"/>
        <w:gridCol w:w="1089"/>
        <w:gridCol w:w="846"/>
        <w:gridCol w:w="10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89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排放源</w:t>
            </w:r>
          </w:p>
        </w:tc>
        <w:tc>
          <w:tcPr>
            <w:tcW w:w="112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除尘器及除尘效率</w:t>
            </w:r>
          </w:p>
        </w:tc>
        <w:tc>
          <w:tcPr>
            <w:tcW w:w="64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数量</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废气量</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/h</w:t>
            </w:r>
          </w:p>
        </w:tc>
        <w:tc>
          <w:tcPr>
            <w:tcW w:w="106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产生浓度</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产生量</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t/a</w:t>
            </w:r>
          </w:p>
        </w:tc>
        <w:tc>
          <w:tcPr>
            <w:tcW w:w="108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排放量</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t/a</w:t>
            </w:r>
          </w:p>
        </w:tc>
        <w:tc>
          <w:tcPr>
            <w:tcW w:w="100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排放高度m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9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灰仓</w:t>
            </w:r>
          </w:p>
        </w:tc>
        <w:tc>
          <w:tcPr>
            <w:tcW w:w="1120"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布袋除尘器，</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99.98%</w:t>
            </w:r>
          </w:p>
        </w:tc>
        <w:tc>
          <w:tcPr>
            <w:tcW w:w="64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2000</w:t>
            </w:r>
          </w:p>
        </w:tc>
        <w:tc>
          <w:tcPr>
            <w:tcW w:w="106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1609</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17.7</w:t>
            </w:r>
          </w:p>
        </w:tc>
        <w:tc>
          <w:tcPr>
            <w:tcW w:w="108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0.32</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0.0035</w:t>
            </w:r>
          </w:p>
        </w:tc>
        <w:tc>
          <w:tcPr>
            <w:tcW w:w="100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9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石灰石仓</w:t>
            </w:r>
          </w:p>
        </w:tc>
        <w:tc>
          <w:tcPr>
            <w:tcW w:w="1120"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4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1000</w:t>
            </w:r>
          </w:p>
        </w:tc>
        <w:tc>
          <w:tcPr>
            <w:tcW w:w="106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302</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1.66</w:t>
            </w:r>
          </w:p>
        </w:tc>
        <w:tc>
          <w:tcPr>
            <w:tcW w:w="108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0.06</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0.0003</w:t>
            </w:r>
          </w:p>
        </w:tc>
        <w:tc>
          <w:tcPr>
            <w:tcW w:w="100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9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消石灰仓</w:t>
            </w:r>
          </w:p>
        </w:tc>
        <w:tc>
          <w:tcPr>
            <w:tcW w:w="1120"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4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1000</w:t>
            </w:r>
          </w:p>
        </w:tc>
        <w:tc>
          <w:tcPr>
            <w:tcW w:w="106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54</w:t>
            </w:r>
          </w:p>
        </w:tc>
        <w:tc>
          <w:tcPr>
            <w:tcW w:w="87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0.30</w:t>
            </w:r>
          </w:p>
        </w:tc>
        <w:tc>
          <w:tcPr>
            <w:tcW w:w="108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0.01</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0.0001</w:t>
            </w:r>
          </w:p>
        </w:tc>
        <w:tc>
          <w:tcPr>
            <w:tcW w:w="100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w:t>
            </w:r>
          </w:p>
        </w:tc>
      </w:tr>
    </w:tbl>
    <w:p>
      <w:pPr>
        <w:pStyle w:val="33"/>
        <w:keepNext w:val="0"/>
        <w:keepLines w:val="0"/>
        <w:pageBreakBefore w:val="0"/>
        <w:widowControl w:val="0"/>
        <w:shd w:val="clear" w:color="auto" w:fill="auto"/>
        <w:kinsoku/>
        <w:wordWrap/>
        <w:overflowPunct/>
        <w:topLinePunct w:val="0"/>
        <w:autoSpaceDE/>
        <w:autoSpaceDN/>
        <w:bidi w:val="0"/>
        <w:adjustRightInd/>
        <w:snapToGrid/>
        <w:spacing w:before="313" w:beforeLines="10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zh-CN" w:bidi="zh-CN"/>
          <w14:textFill>
            <w14:solidFill>
              <w14:schemeClr w14:val="tx1"/>
            </w14:solidFill>
          </w14:textFill>
        </w:rPr>
        <w:t>2.4.1.3氨气无组织排放</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本项目脱硝还原剂为氨水（浓度20%），设置1座氨水储罐（容积52m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），两台氨水输送泵。输送泵（1用1备）在一定压力下向SNCR系统提供氨水。估算氨水使用量为649.2t/a，考虑氨水储罐区和SNCR装置区跑冒滴漏的氨无组织排放，按氨水用量的万分之一计，即0.06t/a。</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2.4.1.4</w:t>
      </w:r>
      <w:r>
        <w:rPr>
          <w:rFonts w:hint="eastAsia" w:ascii="Times New Roman" w:hAnsi="Times New Roman" w:eastAsia="宋体" w:cs="Times New Roman"/>
          <w:b/>
          <w:bCs/>
          <w:color w:val="000000" w:themeColor="text1"/>
          <w:spacing w:val="0"/>
          <w:w w:val="100"/>
          <w:position w:val="0"/>
          <w:sz w:val="24"/>
          <w:szCs w:val="24"/>
          <w:u w:val="none"/>
          <w:lang w:val="zh-CN" w:eastAsia="zh-CN" w:bidi="zh-CN"/>
          <w14:textFill>
            <w14:solidFill>
              <w14:schemeClr w14:val="tx1"/>
            </w14:solidFill>
          </w14:textFill>
        </w:rPr>
        <w:t>非正常工况下大气污染源分析</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非正常工况下最有可能造成较大污染的运行状况为：点火启动、停炉熄火导致脱硝系统不能投运，脱硝效率按</w:t>
      </w:r>
      <w:r>
        <w:rPr>
          <w:rFonts w:hint="eastAsia"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0</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%考虑</w:t>
      </w:r>
      <w:r>
        <w:rPr>
          <w:rFonts w:hint="eastAsia"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低负荷运行或脱硝设备故障导致脱硝系统不能投运，脱硝效率按0%考虑；本工程不设置烟气旁路，锅炉点火启动阶段除尘、脱硫系统一并运行，不存在电厂点火启动阶段除尘、脱硫系统不投运情况，本工程采用锅炉炉内脱硫方案，炉后采用循环流化床半干法</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CFB</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脱硫工艺，非正常工况考虑脱硫效率80%折算，除尘器除尘效率95%折算，非正常工况下废气排放情况见表</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w:t>
      </w:r>
      <w:r>
        <w:rPr>
          <w:rFonts w:hint="eastAsia"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4</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w:t>
      </w:r>
      <w:r>
        <w:rPr>
          <w:rFonts w:hint="eastAsia"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4</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w:t>
      </w:r>
    </w:p>
    <w:p>
      <w:pPr>
        <w:pStyle w:val="42"/>
        <w:keepNext w:val="0"/>
        <w:keepLines w:val="0"/>
        <w:pageBreakBefore w:val="0"/>
        <w:widowControl w:val="0"/>
        <w:shd w:val="clear" w:color="auto" w:fill="auto"/>
        <w:tabs>
          <w:tab w:val="left" w:pos="2573"/>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2.4-4</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ab/>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本项目非正常工况下废气排放情况一览表</w:t>
      </w:r>
    </w:p>
    <w:tbl>
      <w:tblPr>
        <w:tblStyle w:val="21"/>
        <w:tblW w:w="8525" w:type="dxa"/>
        <w:jc w:val="center"/>
        <w:tblInd w:w="0" w:type="dxa"/>
        <w:tblLayout w:type="fixed"/>
        <w:tblCellMar>
          <w:top w:w="0" w:type="dxa"/>
          <w:left w:w="10" w:type="dxa"/>
          <w:bottom w:w="0" w:type="dxa"/>
          <w:right w:w="10" w:type="dxa"/>
        </w:tblCellMar>
      </w:tblPr>
      <w:tblGrid>
        <w:gridCol w:w="1709"/>
        <w:gridCol w:w="1132"/>
        <w:gridCol w:w="1810"/>
        <w:gridCol w:w="1704"/>
        <w:gridCol w:w="2170"/>
      </w:tblGrid>
      <w:tr>
        <w:tblPrEx>
          <w:tblLayout w:type="fixed"/>
          <w:tblCellMar>
            <w:top w:w="0" w:type="dxa"/>
            <w:left w:w="10" w:type="dxa"/>
            <w:bottom w:w="0" w:type="dxa"/>
            <w:right w:w="10" w:type="dxa"/>
          </w:tblCellMar>
        </w:tblPrEx>
        <w:trPr>
          <w:trHeight w:val="365" w:hRule="exact"/>
          <w:jc w:val="center"/>
        </w:trPr>
        <w:tc>
          <w:tcPr>
            <w:tcW w:w="170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项目</w:t>
            </w:r>
          </w:p>
        </w:tc>
        <w:tc>
          <w:tcPr>
            <w:tcW w:w="11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污染物</w:t>
            </w:r>
          </w:p>
        </w:tc>
        <w:tc>
          <w:tcPr>
            <w:tcW w:w="181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排放情况</w:t>
            </w:r>
          </w:p>
        </w:tc>
        <w:tc>
          <w:tcPr>
            <w:tcW w:w="170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单位</w:t>
            </w:r>
          </w:p>
        </w:tc>
        <w:tc>
          <w:tcPr>
            <w:tcW w:w="217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w:t>
            </w:r>
            <w:r>
              <w:rPr>
                <w:rStyle w:val="38"/>
                <w:rFonts w:hint="default" w:ascii="Arial" w:hAnsi="Arial" w:eastAsia="宋体" w:cs="Arial"/>
                <w:b w:val="0"/>
                <w:bCs w:val="0"/>
                <w:i w:val="0"/>
                <w:iCs w:val="0"/>
                <w:smallCaps w:val="0"/>
                <w:strike w:val="0"/>
                <w:color w:val="000000" w:themeColor="text1"/>
                <w:sz w:val="21"/>
                <w:szCs w:val="21"/>
                <w:lang w:val="en-US" w:eastAsia="en-US"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130t/h+</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1</w:t>
            </w:r>
            <w:r>
              <w:rPr>
                <w:rStyle w:val="38"/>
                <w:rFonts w:hint="default" w:ascii="Arial" w:hAnsi="Arial" w:eastAsia="宋体" w:cs="Arial"/>
                <w:b w:val="0"/>
                <w:bCs w:val="0"/>
                <w:i w:val="0"/>
                <w:iCs w:val="0"/>
                <w:smallCaps w:val="0"/>
                <w:strike w:val="0"/>
                <w:color w:val="000000" w:themeColor="text1"/>
                <w:sz w:val="21"/>
                <w:szCs w:val="21"/>
                <w:lang w:val="en-US" w:eastAsia="zh-CN" w:bidi="en-US"/>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220t/h</w:t>
            </w:r>
          </w:p>
        </w:tc>
      </w:tr>
      <w:tr>
        <w:tblPrEx>
          <w:tblLayout w:type="fixed"/>
          <w:tblCellMar>
            <w:top w:w="0" w:type="dxa"/>
            <w:left w:w="10" w:type="dxa"/>
            <w:bottom w:w="0" w:type="dxa"/>
            <w:right w:w="10" w:type="dxa"/>
          </w:tblCellMar>
        </w:tblPrEx>
        <w:trPr>
          <w:trHeight w:val="385" w:hRule="exact"/>
          <w:jc w:val="center"/>
        </w:trPr>
        <w:tc>
          <w:tcPr>
            <w:tcW w:w="1709"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脱硫、脱硝、除尘 设施均未正常运 行状况</w:t>
            </w:r>
          </w:p>
        </w:tc>
        <w:tc>
          <w:tcPr>
            <w:tcW w:w="1132"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烟尘</w:t>
            </w:r>
          </w:p>
        </w:tc>
        <w:tc>
          <w:tcPr>
            <w:tcW w:w="181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排放浓度</w:t>
            </w:r>
          </w:p>
        </w:tc>
        <w:tc>
          <w:tcPr>
            <w:tcW w:w="170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mg/m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en-US" w:bidi="en-US"/>
                <w14:textFill>
                  <w14:solidFill>
                    <w14:schemeClr w14:val="tx1"/>
                  </w14:solidFill>
                </w14:textFill>
              </w:rPr>
              <w:t>3</w:t>
            </w:r>
          </w:p>
        </w:tc>
        <w:tc>
          <w:tcPr>
            <w:tcW w:w="217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98.4</w:t>
            </w:r>
          </w:p>
        </w:tc>
      </w:tr>
      <w:tr>
        <w:tblPrEx>
          <w:tblLayout w:type="fixed"/>
          <w:tblCellMar>
            <w:top w:w="0" w:type="dxa"/>
            <w:left w:w="10" w:type="dxa"/>
            <w:bottom w:w="0" w:type="dxa"/>
            <w:right w:w="10" w:type="dxa"/>
          </w:tblCellMar>
        </w:tblPrEx>
        <w:trPr>
          <w:trHeight w:val="322" w:hRule="exact"/>
          <w:jc w:val="center"/>
        </w:trPr>
        <w:tc>
          <w:tcPr>
            <w:tcW w:w="1709"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2"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1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排放量</w:t>
            </w:r>
          </w:p>
        </w:tc>
        <w:tc>
          <w:tcPr>
            <w:tcW w:w="170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kg/h</w:t>
            </w:r>
          </w:p>
        </w:tc>
        <w:tc>
          <w:tcPr>
            <w:tcW w:w="217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61.5</w:t>
            </w:r>
          </w:p>
        </w:tc>
      </w:tr>
      <w:tr>
        <w:tblPrEx>
          <w:tblLayout w:type="fixed"/>
          <w:tblCellMar>
            <w:top w:w="0" w:type="dxa"/>
            <w:left w:w="10" w:type="dxa"/>
            <w:bottom w:w="0" w:type="dxa"/>
            <w:right w:w="10" w:type="dxa"/>
          </w:tblCellMar>
        </w:tblPrEx>
        <w:trPr>
          <w:trHeight w:val="326" w:hRule="exact"/>
          <w:jc w:val="center"/>
        </w:trPr>
        <w:tc>
          <w:tcPr>
            <w:tcW w:w="1709"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2"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S</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O</w:t>
            </w:r>
            <w:r>
              <w:rPr>
                <w:rStyle w:val="38"/>
                <w:rFonts w:hint="default" w:ascii="Times New Roman" w:hAnsi="Times New Roman" w:eastAsia="宋体" w:cs="Times New Roman"/>
                <w:b w:val="0"/>
                <w:bCs w:val="0"/>
                <w:i w:val="0"/>
                <w:iCs w:val="0"/>
                <w:smallCaps w:val="0"/>
                <w:strike w:val="0"/>
                <w:color w:val="000000" w:themeColor="text1"/>
                <w:sz w:val="21"/>
                <w:szCs w:val="21"/>
                <w:vertAlign w:val="subscript"/>
                <w:lang w:val="en-US" w:eastAsia="en-US" w:bidi="en-US"/>
                <w14:textFill>
                  <w14:solidFill>
                    <w14:schemeClr w14:val="tx1"/>
                  </w14:solidFill>
                </w14:textFill>
              </w:rPr>
              <w:t>2</w:t>
            </w:r>
          </w:p>
        </w:tc>
        <w:tc>
          <w:tcPr>
            <w:tcW w:w="181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排放浓度</w:t>
            </w:r>
          </w:p>
        </w:tc>
        <w:tc>
          <w:tcPr>
            <w:tcW w:w="170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mg/m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en-US" w:bidi="en-US"/>
                <w14:textFill>
                  <w14:solidFill>
                    <w14:schemeClr w14:val="tx1"/>
                  </w14:solidFill>
                </w14:textFill>
              </w:rPr>
              <w:t>3</w:t>
            </w:r>
          </w:p>
        </w:tc>
        <w:tc>
          <w:tcPr>
            <w:tcW w:w="217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82. 11</w:t>
            </w:r>
          </w:p>
        </w:tc>
      </w:tr>
      <w:tr>
        <w:tblPrEx>
          <w:tblLayout w:type="fixed"/>
          <w:tblCellMar>
            <w:top w:w="0" w:type="dxa"/>
            <w:left w:w="10" w:type="dxa"/>
            <w:bottom w:w="0" w:type="dxa"/>
            <w:right w:w="10" w:type="dxa"/>
          </w:tblCellMar>
        </w:tblPrEx>
        <w:trPr>
          <w:trHeight w:val="322" w:hRule="exact"/>
          <w:jc w:val="center"/>
        </w:trPr>
        <w:tc>
          <w:tcPr>
            <w:tcW w:w="1709"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2"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1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排放量</w:t>
            </w:r>
          </w:p>
        </w:tc>
        <w:tc>
          <w:tcPr>
            <w:tcW w:w="170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kg/h</w:t>
            </w:r>
          </w:p>
        </w:tc>
        <w:tc>
          <w:tcPr>
            <w:tcW w:w="217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51.32</w:t>
            </w:r>
          </w:p>
        </w:tc>
      </w:tr>
      <w:tr>
        <w:tblPrEx>
          <w:tblLayout w:type="fixed"/>
          <w:tblCellMar>
            <w:top w:w="0" w:type="dxa"/>
            <w:left w:w="10" w:type="dxa"/>
            <w:bottom w:w="0" w:type="dxa"/>
            <w:right w:w="10" w:type="dxa"/>
          </w:tblCellMar>
        </w:tblPrEx>
        <w:trPr>
          <w:trHeight w:val="317" w:hRule="exact"/>
          <w:jc w:val="center"/>
        </w:trPr>
        <w:tc>
          <w:tcPr>
            <w:tcW w:w="1709"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2"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N</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en-US"/>
                <w14:textFill>
                  <w14:solidFill>
                    <w14:schemeClr w14:val="tx1"/>
                  </w14:solidFill>
                </w14:textFill>
              </w:rPr>
              <w:t>O</w:t>
            </w:r>
            <w:r>
              <w:rPr>
                <w:rStyle w:val="38"/>
                <w:rFonts w:hint="default" w:ascii="Times New Roman" w:hAnsi="Times New Roman" w:eastAsia="宋体" w:cs="Times New Roman"/>
                <w:b w:val="0"/>
                <w:bCs w:val="0"/>
                <w:i w:val="0"/>
                <w:iCs w:val="0"/>
                <w:smallCaps w:val="0"/>
                <w:strike w:val="0"/>
                <w:color w:val="000000" w:themeColor="text1"/>
                <w:sz w:val="21"/>
                <w:szCs w:val="21"/>
                <w:vertAlign w:val="subscript"/>
                <w:lang w:val="en-US" w:eastAsia="en-US" w:bidi="en-US"/>
                <w14:textFill>
                  <w14:solidFill>
                    <w14:schemeClr w14:val="tx1"/>
                  </w14:solidFill>
                </w14:textFill>
              </w:rPr>
              <w:t>2</w:t>
            </w:r>
          </w:p>
        </w:tc>
        <w:tc>
          <w:tcPr>
            <w:tcW w:w="181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排放浓度</w:t>
            </w:r>
          </w:p>
        </w:tc>
        <w:tc>
          <w:tcPr>
            <w:tcW w:w="170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mg/m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en-US" w:bidi="en-US"/>
                <w14:textFill>
                  <w14:solidFill>
                    <w14:schemeClr w14:val="tx1"/>
                  </w14:solidFill>
                </w14:textFill>
              </w:rPr>
              <w:t>3</w:t>
            </w:r>
          </w:p>
        </w:tc>
        <w:tc>
          <w:tcPr>
            <w:tcW w:w="217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225</w:t>
            </w:r>
          </w:p>
        </w:tc>
      </w:tr>
      <w:tr>
        <w:tblPrEx>
          <w:tblLayout w:type="fixed"/>
          <w:tblCellMar>
            <w:top w:w="0" w:type="dxa"/>
            <w:left w:w="10" w:type="dxa"/>
            <w:bottom w:w="0" w:type="dxa"/>
            <w:right w:w="10" w:type="dxa"/>
          </w:tblCellMar>
        </w:tblPrEx>
        <w:trPr>
          <w:trHeight w:val="341" w:hRule="exact"/>
          <w:jc w:val="center"/>
        </w:trPr>
        <w:tc>
          <w:tcPr>
            <w:tcW w:w="1709" w:type="dxa"/>
            <w:vMerge w:val="continue"/>
            <w:tcBorders>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2" w:type="dxa"/>
            <w:vMerge w:val="continue"/>
            <w:tcBorders>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10"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排放量</w:t>
            </w:r>
          </w:p>
        </w:tc>
        <w:tc>
          <w:tcPr>
            <w:tcW w:w="1704"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kg/h</w:t>
            </w:r>
          </w:p>
        </w:tc>
        <w:tc>
          <w:tcPr>
            <w:tcW w:w="217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140.625</w:t>
            </w:r>
          </w:p>
        </w:tc>
      </w:tr>
    </w:tbl>
    <w:p>
      <w:pPr>
        <w:pStyle w:val="33"/>
        <w:keepNext w:val="0"/>
        <w:keepLines w:val="0"/>
        <w:pageBreakBefore w:val="0"/>
        <w:widowControl w:val="0"/>
        <w:shd w:val="clear" w:color="auto" w:fill="auto"/>
        <w:kinsoku/>
        <w:wordWrap/>
        <w:overflowPunct/>
        <w:topLinePunct w:val="0"/>
        <w:autoSpaceDE/>
        <w:autoSpaceDN/>
        <w:bidi w:val="0"/>
        <w:adjustRightInd/>
        <w:snapToGrid/>
        <w:spacing w:before="313" w:beforeLines="100" w:after="0" w:line="360" w:lineRule="auto"/>
        <w:ind w:left="0" w:right="0" w:firstLine="0"/>
        <w:jc w:val="left"/>
        <w:textAlignment w:val="auto"/>
        <w:outlineLvl w:val="2"/>
        <w:rPr>
          <w:rFonts w:hint="default"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2.4.2废水</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本工程产生的废水主要包括：锅炉排污水、化学水处理车间超滤反洗废水、反渗透浓水和混床再生废水、生活污水等。</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（1）生活污水</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生活污水：生活污水量按用水量的80%计，排放量14.40m</w:t>
      </w:r>
      <w:r>
        <w:rPr>
          <w:rFonts w:hint="default" w:ascii="Times New Roman" w:hAnsi="Times New Roman" w:cs="Times New Roman"/>
          <w:bCs/>
          <w:color w:val="000000" w:themeColor="text1"/>
          <w:sz w:val="24"/>
          <w:szCs w:val="24"/>
          <w:vertAlign w:val="superscript"/>
          <w14:textFill>
            <w14:solidFill>
              <w14:schemeClr w14:val="tx1"/>
            </w14:solidFill>
          </w14:textFill>
        </w:rPr>
        <w:t>3</w:t>
      </w:r>
      <w:r>
        <w:rPr>
          <w:rFonts w:hint="default" w:ascii="Times New Roman" w:hAnsi="Times New Roman" w:cs="Times New Roman"/>
          <w:bCs/>
          <w:color w:val="000000" w:themeColor="text1"/>
          <w:sz w:val="24"/>
          <w:szCs w:val="24"/>
          <w14:textFill>
            <w14:solidFill>
              <w14:schemeClr w14:val="tx1"/>
            </w14:solidFill>
          </w14:textFill>
        </w:rPr>
        <w:t>/d、4320m</w:t>
      </w:r>
      <w:r>
        <w:rPr>
          <w:rFonts w:hint="default" w:ascii="Times New Roman" w:hAnsi="Times New Roman" w:cs="Times New Roman"/>
          <w:bCs/>
          <w:color w:val="000000" w:themeColor="text1"/>
          <w:sz w:val="24"/>
          <w:szCs w:val="24"/>
          <w:vertAlign w:val="superscript"/>
          <w14:textFill>
            <w14:solidFill>
              <w14:schemeClr w14:val="tx1"/>
            </w14:solidFill>
          </w14:textFill>
        </w:rPr>
        <w:t>3</w:t>
      </w:r>
      <w:r>
        <w:rPr>
          <w:rFonts w:hint="default" w:ascii="Times New Roman" w:hAnsi="Times New Roman" w:cs="Times New Roman"/>
          <w:bCs/>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14:textFill>
            <w14:solidFill>
              <w14:schemeClr w14:val="tx1"/>
            </w14:solidFill>
          </w14:textFill>
        </w:rPr>
        <w:t>生活污水中</w:t>
      </w:r>
      <w:r>
        <w:rPr>
          <w:rFonts w:hint="default" w:ascii="Times New Roman" w:hAnsi="Times New Roman" w:cs="Times New Roman"/>
          <w:color w:val="000000" w:themeColor="text1"/>
          <w:kern w:val="0"/>
          <w:sz w:val="24"/>
          <w14:textFill>
            <w14:solidFill>
              <w14:schemeClr w14:val="tx1"/>
            </w14:solidFill>
          </w14:textFill>
        </w:rPr>
        <w:t>主要污染物是COD</w:t>
      </w:r>
      <w:r>
        <w:rPr>
          <w:rFonts w:hint="default" w:ascii="Times New Roman" w:hAnsi="Times New Roman" w:cs="Times New Roman"/>
          <w:color w:val="000000" w:themeColor="text1"/>
          <w:kern w:val="0"/>
          <w:sz w:val="24"/>
          <w:vertAlign w:val="subscript"/>
          <w14:textFill>
            <w14:solidFill>
              <w14:schemeClr w14:val="tx1"/>
            </w14:solidFill>
          </w14:textFill>
        </w:rPr>
        <w:t>Cr</w:t>
      </w:r>
      <w:r>
        <w:rPr>
          <w:rFonts w:hint="default" w:ascii="Times New Roman" w:hAnsi="Times New Roman" w:cs="Times New Roman"/>
          <w:color w:val="000000" w:themeColor="text1"/>
          <w:kern w:val="0"/>
          <w:sz w:val="24"/>
          <w14:textFill>
            <w14:solidFill>
              <w14:schemeClr w14:val="tx1"/>
            </w14:solidFill>
          </w14:textFill>
        </w:rPr>
        <w:t>、BOD</w:t>
      </w:r>
      <w:r>
        <w:rPr>
          <w:rFonts w:hint="default" w:ascii="Times New Roman" w:hAnsi="Times New Roman" w:cs="Times New Roman"/>
          <w:color w:val="000000" w:themeColor="text1"/>
          <w:kern w:val="0"/>
          <w:sz w:val="24"/>
          <w:vertAlign w:val="subscript"/>
          <w14:textFill>
            <w14:solidFill>
              <w14:schemeClr w14:val="tx1"/>
            </w14:solidFill>
          </w14:textFill>
        </w:rPr>
        <w:t>5</w:t>
      </w:r>
      <w:r>
        <w:rPr>
          <w:rFonts w:hint="default" w:ascii="Times New Roman" w:hAnsi="Times New Roman" w:cs="Times New Roman"/>
          <w:color w:val="000000" w:themeColor="text1"/>
          <w:kern w:val="0"/>
          <w:sz w:val="24"/>
          <w14:textFill>
            <w14:solidFill>
              <w14:schemeClr w14:val="tx1"/>
            </w14:solidFill>
          </w14:textFill>
        </w:rPr>
        <w:t>、SS、氨氮，可</w:t>
      </w:r>
      <w:r>
        <w:rPr>
          <w:rFonts w:hint="default" w:ascii="Times New Roman" w:hAnsi="Times New Roman" w:cs="Times New Roman"/>
          <w:color w:val="000000" w:themeColor="text1"/>
          <w:sz w:val="24"/>
          <w:szCs w:val="24"/>
          <w14:textFill>
            <w14:solidFill>
              <w14:schemeClr w14:val="tx1"/>
            </w14:solidFill>
          </w14:textFill>
        </w:rPr>
        <w:t>直接</w:t>
      </w:r>
      <w:r>
        <w:rPr>
          <w:rFonts w:hint="default" w:ascii="Times New Roman" w:hAnsi="Times New Roman" w:cs="Times New Roman"/>
          <w:color w:val="000000" w:themeColor="text1"/>
          <w:kern w:val="24"/>
          <w:sz w:val="24"/>
          <w:szCs w:val="24"/>
          <w14:textFill>
            <w14:solidFill>
              <w14:schemeClr w14:val="tx1"/>
            </w14:solidFill>
          </w14:textFill>
        </w:rPr>
        <w:t>排入</w:t>
      </w:r>
      <w:r>
        <w:rPr>
          <w:rFonts w:hint="default" w:ascii="Times New Roman" w:hAnsi="Times New Roman" w:cs="Times New Roman"/>
          <w:color w:val="000000" w:themeColor="text1"/>
          <w:sz w:val="24"/>
          <w:szCs w:val="24"/>
          <w14:textFill>
            <w14:solidFill>
              <w14:schemeClr w14:val="tx1"/>
            </w14:solidFill>
          </w14:textFill>
        </w:rPr>
        <w:t>开发区污水管网中，最终汇入开发区污水厂集中处理。</w:t>
      </w:r>
    </w:p>
    <w:p>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（2）生产废水</w:t>
      </w:r>
    </w:p>
    <w:p>
      <w:pPr>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主要为锅炉排水、</w:t>
      </w:r>
      <w:r>
        <w:rPr>
          <w:color w:val="000000" w:themeColor="text1"/>
          <w14:textFill>
            <w14:solidFill>
              <w14:schemeClr w14:val="tx1"/>
            </w14:solidFill>
          </w14:textFill>
        </w:rPr>
        <w:t>化学水处理车间超滤反洗废水、反渗透浓水和混床再生废水。生产废水中</w:t>
      </w:r>
      <w:r>
        <w:rPr>
          <w:bCs/>
          <w:color w:val="000000" w:themeColor="text1"/>
          <w14:textFill>
            <w14:solidFill>
              <w14:schemeClr w14:val="tx1"/>
            </w14:solidFill>
          </w14:textFill>
        </w:rPr>
        <w:t>主要污染物是盐类、SS等。</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化学水处理系统排水：</w:t>
      </w:r>
      <w:r>
        <w:rPr>
          <w:rFonts w:hint="default" w:ascii="Times New Roman" w:hAnsi="Times New Roman" w:cs="Times New Roman"/>
          <w:color w:val="000000" w:themeColor="text1"/>
          <w14:textFill>
            <w14:solidFill>
              <w14:schemeClr w14:val="tx1"/>
            </w14:solidFill>
          </w14:textFill>
        </w:rPr>
        <w:t>化学水处理系统排水：本项目化学水处理系统正常进水566m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/h，制备除盐水450m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/h，产出废水116m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废水中超滤反洗废水49m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/h、清洗过滤器反洗废水3m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/h，这部分废水收集到回收水池内（一座，容积150m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）预处理后，其中30m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/h作为脱硫塔降温喷水回用，22m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/h回用至多介质过滤器用水；</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超滤加强反洗废水6m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/h、混床再生废水3m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/h，这部分废水收集到中和池（一座，容积150m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）预处理后，其中3.6m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/h作为干灰调湿用水回用，5.4m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/h输送至场外南侧3km处的水煤浆生产基地回用；</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浓水55m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/h收集到浓水池中（一座，容积100m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）预处理后，25.6m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/h输送至场外南侧3km处的水煤浆生产基地回用，剩余29.4m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/h排入开发区污水管网中。</w:t>
      </w:r>
    </w:p>
    <w:p>
      <w:pPr>
        <w:spacing w:line="360" w:lineRule="auto"/>
        <w:ind w:firstLine="480" w:firstLineChars="20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锅炉排污水：锅炉排污按用水量的</w:t>
      </w:r>
      <w:r>
        <w:rPr>
          <w:rFonts w:hint="default" w:ascii="Times New Roman" w:hAnsi="Times New Roman" w:cs="Times New Roman"/>
          <w:bCs/>
          <w:color w:val="000000" w:themeColor="text1"/>
          <w14:textFill>
            <w14:solidFill>
              <w14:schemeClr w14:val="tx1"/>
            </w14:solidFill>
          </w14:textFill>
        </w:rPr>
        <w:t>1%</w:t>
      </w:r>
      <w:r>
        <w:rPr>
          <w:rFonts w:hint="default" w:ascii="Times New Roman" w:hAnsi="Times New Roman" w:eastAsia="宋体" w:cs="Times New Roman"/>
          <w:bCs/>
          <w:color w:val="000000" w:themeColor="text1"/>
          <w14:textFill>
            <w14:solidFill>
              <w14:schemeClr w14:val="tx1"/>
            </w14:solidFill>
          </w14:textFill>
        </w:rPr>
        <w:t>计，锅炉排水量</w:t>
      </w:r>
      <w:r>
        <w:rPr>
          <w:rFonts w:hint="default" w:ascii="Times New Roman" w:hAnsi="Times New Roman" w:cs="Times New Roman"/>
          <w:bCs/>
          <w:color w:val="000000" w:themeColor="text1"/>
          <w14:textFill>
            <w14:solidFill>
              <w14:schemeClr w14:val="tx1"/>
            </w14:solidFill>
          </w14:textFill>
        </w:rPr>
        <w:t>4.5m</w:t>
      </w:r>
      <w:r>
        <w:rPr>
          <w:rFonts w:hint="default" w:ascii="Times New Roman" w:hAnsi="Times New Roman" w:cs="Times New Roman"/>
          <w:bCs/>
          <w:color w:val="000000" w:themeColor="text1"/>
          <w:vertAlign w:val="superscript"/>
          <w14:textFill>
            <w14:solidFill>
              <w14:schemeClr w14:val="tx1"/>
            </w14:solidFill>
          </w14:textFill>
        </w:rPr>
        <w:t>3</w:t>
      </w:r>
      <w:r>
        <w:rPr>
          <w:rFonts w:hint="default" w:ascii="Times New Roman" w:hAnsi="Times New Roman" w:cs="Times New Roman"/>
          <w:bCs/>
          <w:color w:val="000000" w:themeColor="text1"/>
          <w14:textFill>
            <w14:solidFill>
              <w14:schemeClr w14:val="tx1"/>
            </w14:solidFill>
          </w14:textFill>
        </w:rPr>
        <w:t>/h</w:t>
      </w:r>
      <w:r>
        <w:rPr>
          <w:rFonts w:hint="default" w:ascii="Times New Roman" w:hAnsi="Times New Roman" w:eastAsia="宋体" w:cs="Times New Roman"/>
          <w:bCs/>
          <w:color w:val="000000" w:themeColor="text1"/>
          <w14:textFill>
            <w14:solidFill>
              <w14:schemeClr w14:val="tx1"/>
            </w14:solidFill>
          </w14:textFill>
        </w:rPr>
        <w:t>（</w:t>
      </w:r>
      <w:r>
        <w:rPr>
          <w:rFonts w:hint="default" w:ascii="Times New Roman" w:hAnsi="Times New Roman" w:cs="Times New Roman"/>
          <w:bCs/>
          <w:color w:val="000000" w:themeColor="text1"/>
          <w14:textFill>
            <w14:solidFill>
              <w14:schemeClr w14:val="tx1"/>
            </w14:solidFill>
          </w14:textFill>
        </w:rPr>
        <w:t>90m</w:t>
      </w:r>
      <w:r>
        <w:rPr>
          <w:rFonts w:hint="default" w:ascii="Times New Roman" w:hAnsi="Times New Roman" w:cs="Times New Roman"/>
          <w:bCs/>
          <w:color w:val="000000" w:themeColor="text1"/>
          <w:vertAlign w:val="superscript"/>
          <w14:textFill>
            <w14:solidFill>
              <w14:schemeClr w14:val="tx1"/>
            </w14:solidFill>
          </w14:textFill>
        </w:rPr>
        <w:t>3</w:t>
      </w:r>
      <w:r>
        <w:rPr>
          <w:rFonts w:hint="default" w:ascii="Times New Roman" w:hAnsi="Times New Roman" w:cs="Times New Roman"/>
          <w:bCs/>
          <w:color w:val="000000" w:themeColor="text1"/>
          <w14:textFill>
            <w14:solidFill>
              <w14:schemeClr w14:val="tx1"/>
            </w14:solidFill>
          </w14:textFill>
        </w:rPr>
        <w:t>/d</w:t>
      </w:r>
      <w:r>
        <w:rPr>
          <w:rFonts w:hint="default" w:ascii="Times New Roman" w:hAnsi="Times New Roman" w:eastAsia="宋体" w:cs="Times New Roman"/>
          <w:bCs/>
          <w:color w:val="000000" w:themeColor="text1"/>
          <w14:textFill>
            <w14:solidFill>
              <w14:schemeClr w14:val="tx1"/>
            </w14:solidFill>
          </w14:textFill>
        </w:rPr>
        <w:t>、</w:t>
      </w:r>
      <w:r>
        <w:rPr>
          <w:rFonts w:hint="default" w:ascii="Times New Roman" w:hAnsi="Times New Roman" w:cs="Times New Roman"/>
          <w:bCs/>
          <w:color w:val="000000" w:themeColor="text1"/>
          <w14:textFill>
            <w14:solidFill>
              <w14:schemeClr w14:val="tx1"/>
            </w14:solidFill>
          </w14:textFill>
        </w:rPr>
        <w:t>24750m</w:t>
      </w:r>
      <w:r>
        <w:rPr>
          <w:rFonts w:hint="default" w:ascii="Times New Roman" w:hAnsi="Times New Roman" w:cs="Times New Roman"/>
          <w:bCs/>
          <w:color w:val="000000" w:themeColor="text1"/>
          <w:vertAlign w:val="superscript"/>
          <w14:textFill>
            <w14:solidFill>
              <w14:schemeClr w14:val="tx1"/>
            </w14:solidFill>
          </w14:textFill>
        </w:rPr>
        <w:t>3</w:t>
      </w:r>
      <w:r>
        <w:rPr>
          <w:rFonts w:hint="default" w:ascii="Times New Roman" w:hAnsi="Times New Roman" w:cs="Times New Roman"/>
          <w:bCs/>
          <w:color w:val="000000" w:themeColor="text1"/>
          <w14:textFill>
            <w14:solidFill>
              <w14:schemeClr w14:val="tx1"/>
            </w14:solidFill>
          </w14:textFill>
        </w:rPr>
        <w:t>/a</w:t>
      </w:r>
      <w:r>
        <w:rPr>
          <w:rFonts w:hint="default" w:ascii="Times New Roman" w:hAnsi="Times New Roman" w:eastAsia="宋体" w:cs="Times New Roman"/>
          <w:bCs/>
          <w:color w:val="000000" w:themeColor="text1"/>
          <w14:textFill>
            <w14:solidFill>
              <w14:schemeClr w14:val="tx1"/>
            </w14:solidFill>
          </w14:textFill>
        </w:rPr>
        <w:t>）。属于清洁下水，除了含少量盐分外，其余成份很少，可排入</w:t>
      </w:r>
      <w:r>
        <w:rPr>
          <w:rFonts w:hint="default" w:ascii="Times New Roman" w:hAnsi="Times New Roman" w:eastAsia="宋体" w:cs="Times New Roman"/>
          <w:color w:val="000000" w:themeColor="text1"/>
          <w14:textFill>
            <w14:solidFill>
              <w14:schemeClr w14:val="tx1"/>
            </w14:solidFill>
          </w14:textFill>
        </w:rPr>
        <w:t>开发区</w:t>
      </w:r>
      <w:r>
        <w:rPr>
          <w:rFonts w:hint="default" w:ascii="Times New Roman" w:hAnsi="Times New Roman" w:eastAsia="宋体" w:cs="Times New Roman"/>
          <w:bCs/>
          <w:color w:val="000000" w:themeColor="text1"/>
          <w14:textFill>
            <w14:solidFill>
              <w14:schemeClr w14:val="tx1"/>
            </w14:solidFill>
          </w14:textFill>
        </w:rPr>
        <w:t>污水</w:t>
      </w:r>
      <w:r>
        <w:rPr>
          <w:rFonts w:hint="default" w:ascii="Times New Roman" w:hAnsi="Times New Roman" w:eastAsia="宋体" w:cs="Times New Roman"/>
          <w:color w:val="000000" w:themeColor="text1"/>
          <w14:textFill>
            <w14:solidFill>
              <w14:schemeClr w14:val="tx1"/>
            </w14:solidFill>
          </w14:textFill>
        </w:rPr>
        <w:t>管网中</w:t>
      </w:r>
      <w:r>
        <w:rPr>
          <w:rFonts w:hint="default" w:ascii="Times New Roman" w:hAnsi="Times New Roman" w:eastAsia="宋体" w:cs="Times New Roman"/>
          <w:bCs/>
          <w:color w:val="000000" w:themeColor="text1"/>
          <w14:textFill>
            <w14:solidFill>
              <w14:schemeClr w14:val="tx1"/>
            </w14:solidFill>
          </w14:textFill>
        </w:rPr>
        <w:t>。</w:t>
      </w:r>
    </w:p>
    <w:p>
      <w:pPr>
        <w:spacing w:line="360" w:lineRule="auto"/>
        <w:ind w:firstLine="480" w:firstLineChars="200"/>
        <w:rPr>
          <w:rFonts w:ascii="宋体" w:hAnsi="宋体" w:eastAsia="宋体"/>
          <w:bCs/>
          <w:color w:val="000000" w:themeColor="text1"/>
          <w:lang w:val="en-US"/>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项</w:t>
      </w:r>
      <w:r>
        <w:rPr>
          <w:bCs/>
          <w:color w:val="000000" w:themeColor="text1"/>
          <w14:textFill>
            <w14:solidFill>
              <w14:schemeClr w14:val="tx1"/>
            </w14:solidFill>
          </w14:textFill>
        </w:rPr>
        <w:t>目最终排入</w:t>
      </w:r>
      <w:r>
        <w:rPr>
          <w:rFonts w:hint="eastAsia" w:ascii="宋体" w:hAnsi="宋体" w:eastAsia="宋体" w:cs="宋体"/>
          <w:bCs/>
          <w:color w:val="000000" w:themeColor="text1"/>
          <w14:textFill>
            <w14:solidFill>
              <w14:schemeClr w14:val="tx1"/>
            </w14:solidFill>
          </w14:textFill>
        </w:rPr>
        <w:t>园区</w:t>
      </w:r>
      <w:r>
        <w:rPr>
          <w:bCs/>
          <w:color w:val="000000" w:themeColor="text1"/>
          <w14:textFill>
            <w14:solidFill>
              <w14:schemeClr w14:val="tx1"/>
            </w14:solidFill>
          </w14:textFill>
        </w:rPr>
        <w:t>污水</w:t>
      </w:r>
      <w:r>
        <w:rPr>
          <w:rFonts w:hint="eastAsia" w:ascii="宋体" w:hAnsi="宋体" w:eastAsia="宋体" w:cs="宋体"/>
          <w:bCs/>
          <w:color w:val="000000" w:themeColor="text1"/>
          <w14:textFill>
            <w14:solidFill>
              <w14:schemeClr w14:val="tx1"/>
            </w14:solidFill>
          </w14:textFill>
        </w:rPr>
        <w:t>处理厂</w:t>
      </w:r>
      <w:r>
        <w:rPr>
          <w:bCs/>
          <w:color w:val="000000" w:themeColor="text1"/>
          <w14:textFill>
            <w14:solidFill>
              <w14:schemeClr w14:val="tx1"/>
            </w14:solidFill>
          </w14:textFill>
        </w:rPr>
        <w:t>的废水量为</w:t>
      </w:r>
      <w:r>
        <w:rPr>
          <w:rFonts w:eastAsiaTheme="minorEastAsia"/>
          <w:bCs/>
          <w:color w:val="000000" w:themeColor="text1"/>
          <w14:textFill>
            <w14:solidFill>
              <w14:schemeClr w14:val="tx1"/>
            </w14:solidFill>
          </w14:textFill>
        </w:rPr>
        <w:t>19.03</w:t>
      </w:r>
      <w:r>
        <w:rPr>
          <w:bCs/>
          <w:color w:val="000000" w:themeColor="text1"/>
          <w14:textFill>
            <w14:solidFill>
              <w14:schemeClr w14:val="tx1"/>
            </w14:solidFill>
          </w14:textFill>
        </w:rPr>
        <w:t>万m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/a。</w:t>
      </w:r>
      <w:r>
        <w:rPr>
          <w:rFonts w:hint="eastAsia" w:eastAsia="宋体"/>
          <w:bCs/>
          <w:color w:val="000000" w:themeColor="text1"/>
          <w14:textFill>
            <w14:solidFill>
              <w14:schemeClr w14:val="tx1"/>
            </w14:solidFill>
          </w14:textFill>
        </w:rPr>
        <w:t>废水产排情况见表</w:t>
      </w:r>
      <w:r>
        <w:rPr>
          <w:rFonts w:hint="eastAsia" w:eastAsia="宋体"/>
          <w:bCs/>
          <w:color w:val="000000" w:themeColor="text1"/>
          <w:lang w:val="en-US"/>
          <w14:textFill>
            <w14:solidFill>
              <w14:schemeClr w14:val="tx1"/>
            </w14:solidFill>
          </w14:textFill>
        </w:rPr>
        <w:t>2.4-5。</w:t>
      </w:r>
    </w:p>
    <w:p>
      <w:pPr>
        <w:pStyle w:val="42"/>
        <w:shd w:val="clear" w:color="auto" w:fill="auto"/>
        <w:tabs>
          <w:tab w:val="left" w:pos="2573"/>
        </w:tabs>
        <w:spacing w:beforeLines="50" w:line="240" w:lineRule="auto"/>
        <w:ind w:firstLine="0"/>
        <w:jc w:val="center"/>
        <w:rPr>
          <w:rFonts w:ascii="Times New Roman" w:hAnsi="Times New Roman" w:eastAsia="黑体" w:cs="Times New Roman"/>
          <w:snapToGrid w:val="0"/>
          <w:color w:val="000000" w:themeColor="text1"/>
          <w:spacing w:val="0"/>
          <w:sz w:val="21"/>
          <w:szCs w:val="21"/>
          <w14:textFill>
            <w14:solidFill>
              <w14:schemeClr w14:val="tx1"/>
            </w14:solidFill>
          </w14:textFill>
        </w:rPr>
      </w:pPr>
      <w:r>
        <w:rPr>
          <w:rFonts w:hint="eastAsia" w:ascii="Times New Roman" w:hAnsi="Times New Roman" w:eastAsia="黑体" w:cs="Times New Roman"/>
          <w:snapToGrid w:val="0"/>
          <w:color w:val="000000" w:themeColor="text1"/>
          <w:spacing w:val="0"/>
          <w:sz w:val="21"/>
          <w:szCs w:val="21"/>
          <w14:textFill>
            <w14:solidFill>
              <w14:schemeClr w14:val="tx1"/>
            </w14:solidFill>
          </w14:textFill>
        </w:rPr>
        <w:t>表</w:t>
      </w:r>
      <w:r>
        <w:rPr>
          <w:rFonts w:hint="eastAsia" w:ascii="Times New Roman" w:hAnsi="Times New Roman" w:eastAsia="黑体" w:cs="Times New Roman"/>
          <w:snapToGrid w:val="0"/>
          <w:color w:val="000000" w:themeColor="text1"/>
          <w:spacing w:val="0"/>
          <w:sz w:val="21"/>
          <w:szCs w:val="21"/>
          <w:lang w:val="en-US"/>
          <w14:textFill>
            <w14:solidFill>
              <w14:schemeClr w14:val="tx1"/>
            </w14:solidFill>
          </w14:textFill>
        </w:rPr>
        <w:t>2.4-5</w:t>
      </w:r>
      <w:r>
        <w:rPr>
          <w:rFonts w:hint="eastAsia" w:ascii="Times New Roman" w:hAnsi="Times New Roman" w:eastAsia="黑体" w:cs="Times New Roman"/>
          <w:snapToGrid w:val="0"/>
          <w:color w:val="000000" w:themeColor="text1"/>
          <w:spacing w:val="0"/>
          <w:sz w:val="21"/>
          <w:szCs w:val="21"/>
          <w14:textFill>
            <w14:solidFill>
              <w14:schemeClr w14:val="tx1"/>
            </w14:solidFill>
          </w14:textFill>
        </w:rPr>
        <w:t>项目废水产排情况表</w:t>
      </w:r>
    </w:p>
    <w:tbl>
      <w:tblPr>
        <w:tblStyle w:val="21"/>
        <w:tblW w:w="872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875"/>
        <w:gridCol w:w="1308"/>
        <w:gridCol w:w="3046"/>
        <w:gridCol w:w="874"/>
        <w:gridCol w:w="8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743"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项目</w:t>
            </w:r>
          </w:p>
        </w:tc>
        <w:tc>
          <w:tcPr>
            <w:tcW w:w="875"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产生量</w:t>
            </w:r>
          </w:p>
          <w:p>
            <w:pPr>
              <w:pStyle w:val="152"/>
              <w:adjustRightInd/>
              <w:contextualSpacing/>
              <w:rPr>
                <w:rFonts w:eastAsia="宋体"/>
                <w:color w:val="000000" w:themeColor="text1"/>
                <w:position w:val="0"/>
                <w:sz w:val="21"/>
                <w14:textFill>
                  <w14:solidFill>
                    <w14:schemeClr w14:val="tx1"/>
                  </w14:solidFill>
                </w14:textFill>
              </w:rPr>
            </w:pPr>
            <w:r>
              <w:rPr>
                <w:rFonts w:eastAsia="宋体"/>
                <w:bCs/>
                <w:color w:val="000000" w:themeColor="text1"/>
                <w:position w:val="0"/>
                <w:sz w:val="21"/>
                <w:lang w:val="en-US"/>
                <w14:textFill>
                  <w14:solidFill>
                    <w14:schemeClr w14:val="tx1"/>
                  </w14:solidFill>
                </w14:textFill>
              </w:rPr>
              <w:t>m</w:t>
            </w:r>
            <w:r>
              <w:rPr>
                <w:rFonts w:eastAsia="宋体"/>
                <w:bCs/>
                <w:color w:val="000000" w:themeColor="text1"/>
                <w:position w:val="0"/>
                <w:sz w:val="21"/>
                <w:vertAlign w:val="superscript"/>
                <w:lang w:val="en-US"/>
                <w14:textFill>
                  <w14:solidFill>
                    <w14:schemeClr w14:val="tx1"/>
                  </w14:solidFill>
                </w14:textFill>
              </w:rPr>
              <w:t>3</w:t>
            </w:r>
            <w:r>
              <w:rPr>
                <w:rFonts w:eastAsia="宋体"/>
                <w:bCs/>
                <w:color w:val="000000" w:themeColor="text1"/>
                <w:position w:val="0"/>
                <w:sz w:val="21"/>
                <w:lang w:val="en-US"/>
                <w14:textFill>
                  <w14:solidFill>
                    <w14:schemeClr w14:val="tx1"/>
                  </w14:solidFill>
                </w14:textFill>
              </w:rPr>
              <w:t>/a</w:t>
            </w:r>
          </w:p>
        </w:tc>
        <w:tc>
          <w:tcPr>
            <w:tcW w:w="1308"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处理方式</w:t>
            </w:r>
          </w:p>
        </w:tc>
        <w:tc>
          <w:tcPr>
            <w:tcW w:w="3046"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回用方式</w:t>
            </w:r>
          </w:p>
        </w:tc>
        <w:tc>
          <w:tcPr>
            <w:tcW w:w="874"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回用量</w:t>
            </w:r>
          </w:p>
          <w:p>
            <w:pPr>
              <w:pStyle w:val="152"/>
              <w:adjustRightInd/>
              <w:contextualSpacing/>
              <w:rPr>
                <w:rFonts w:eastAsia="宋体"/>
                <w:color w:val="000000" w:themeColor="text1"/>
                <w:position w:val="0"/>
                <w:sz w:val="21"/>
                <w14:textFill>
                  <w14:solidFill>
                    <w14:schemeClr w14:val="tx1"/>
                  </w14:solidFill>
                </w14:textFill>
              </w:rPr>
            </w:pPr>
            <w:r>
              <w:rPr>
                <w:rFonts w:eastAsia="宋体"/>
                <w:bCs/>
                <w:color w:val="000000" w:themeColor="text1"/>
                <w:position w:val="0"/>
                <w:sz w:val="21"/>
                <w:lang w:val="en-US"/>
                <w14:textFill>
                  <w14:solidFill>
                    <w14:schemeClr w14:val="tx1"/>
                  </w14:solidFill>
                </w14:textFill>
              </w:rPr>
              <w:t>m</w:t>
            </w:r>
            <w:r>
              <w:rPr>
                <w:rFonts w:eastAsia="宋体"/>
                <w:bCs/>
                <w:color w:val="000000" w:themeColor="text1"/>
                <w:position w:val="0"/>
                <w:sz w:val="21"/>
                <w:vertAlign w:val="superscript"/>
                <w:lang w:val="en-US"/>
                <w14:textFill>
                  <w14:solidFill>
                    <w14:schemeClr w14:val="tx1"/>
                  </w14:solidFill>
                </w14:textFill>
              </w:rPr>
              <w:t>3</w:t>
            </w:r>
            <w:r>
              <w:rPr>
                <w:rFonts w:eastAsia="宋体"/>
                <w:bCs/>
                <w:color w:val="000000" w:themeColor="text1"/>
                <w:position w:val="0"/>
                <w:sz w:val="21"/>
                <w:lang w:val="en-US"/>
                <w14:textFill>
                  <w14:solidFill>
                    <w14:schemeClr w14:val="tx1"/>
                  </w14:solidFill>
                </w14:textFill>
              </w:rPr>
              <w:t>/a</w:t>
            </w:r>
          </w:p>
        </w:tc>
        <w:tc>
          <w:tcPr>
            <w:tcW w:w="875"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排放量</w:t>
            </w:r>
          </w:p>
          <w:p>
            <w:pPr>
              <w:pStyle w:val="152"/>
              <w:adjustRightInd/>
              <w:contextualSpacing/>
              <w:rPr>
                <w:rFonts w:eastAsia="宋体"/>
                <w:color w:val="000000" w:themeColor="text1"/>
                <w:position w:val="0"/>
                <w:sz w:val="21"/>
                <w14:textFill>
                  <w14:solidFill>
                    <w14:schemeClr w14:val="tx1"/>
                  </w14:solidFill>
                </w14:textFill>
              </w:rPr>
            </w:pPr>
            <w:r>
              <w:rPr>
                <w:rFonts w:eastAsia="宋体"/>
                <w:bCs/>
                <w:color w:val="000000" w:themeColor="text1"/>
                <w:position w:val="0"/>
                <w:sz w:val="21"/>
                <w:lang w:val="en-US"/>
                <w14:textFill>
                  <w14:solidFill>
                    <w14:schemeClr w14:val="tx1"/>
                  </w14:solidFill>
                </w14:textFill>
              </w:rPr>
              <w:t>m</w:t>
            </w:r>
            <w:r>
              <w:rPr>
                <w:rFonts w:eastAsia="宋体"/>
                <w:bCs/>
                <w:color w:val="000000" w:themeColor="text1"/>
                <w:position w:val="0"/>
                <w:sz w:val="21"/>
                <w:vertAlign w:val="superscript"/>
                <w:lang w:val="en-US"/>
                <w14:textFill>
                  <w14:solidFill>
                    <w14:schemeClr w14:val="tx1"/>
                  </w14:solidFill>
                </w14:textFill>
              </w:rPr>
              <w:t>3</w:t>
            </w:r>
            <w:r>
              <w:rPr>
                <w:rFonts w:eastAsia="宋体"/>
                <w:bCs/>
                <w:color w:val="000000" w:themeColor="text1"/>
                <w:position w:val="0"/>
                <w:sz w:val="21"/>
                <w:lang w:val="en-US"/>
                <w14:textFill>
                  <w14:solidFill>
                    <w14:schemeClr w14:val="tx1"/>
                  </w14:solidFill>
                </w14:textFill>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743" w:type="dxa"/>
            <w:noWrap/>
            <w:vAlign w:val="center"/>
          </w:tcPr>
          <w:p>
            <w:pPr>
              <w:pStyle w:val="152"/>
              <w:adjustRightInd/>
              <w:contextualSpacing/>
              <w:rPr>
                <w:rFonts w:eastAsia="宋体"/>
                <w:color w:val="000000" w:themeColor="text1"/>
                <w:position w:val="0"/>
                <w:sz w:val="21"/>
                <w:lang w:val="en-US"/>
                <w14:textFill>
                  <w14:solidFill>
                    <w14:schemeClr w14:val="tx1"/>
                  </w14:solidFill>
                </w14:textFill>
              </w:rPr>
            </w:pPr>
            <w:r>
              <w:rPr>
                <w:rFonts w:eastAsia="宋体"/>
                <w:color w:val="000000" w:themeColor="text1"/>
                <w:position w:val="0"/>
                <w:sz w:val="21"/>
                <w:lang w:val="en-US"/>
                <w14:textFill>
                  <w14:solidFill>
                    <w14:schemeClr w14:val="tx1"/>
                  </w14:solidFill>
                </w14:textFill>
              </w:rPr>
              <w:t>化学水处理车间</w:t>
            </w:r>
          </w:p>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lang w:val="en-US"/>
                <w14:textFill>
                  <w14:solidFill>
                    <w14:schemeClr w14:val="tx1"/>
                  </w14:solidFill>
                </w14:textFill>
              </w:rPr>
              <w:t>超滤反洗废水</w:t>
            </w:r>
          </w:p>
        </w:tc>
        <w:tc>
          <w:tcPr>
            <w:tcW w:w="875"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286000</w:t>
            </w:r>
          </w:p>
        </w:tc>
        <w:tc>
          <w:tcPr>
            <w:tcW w:w="1308"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回</w:t>
            </w:r>
            <w:r>
              <w:rPr>
                <w:rFonts w:hint="eastAsia" w:eastAsia="宋体"/>
                <w:color w:val="000000" w:themeColor="text1"/>
                <w:position w:val="0"/>
                <w:sz w:val="21"/>
                <w14:textFill>
                  <w14:solidFill>
                    <w14:schemeClr w14:val="tx1"/>
                  </w14:solidFill>
                </w14:textFill>
              </w:rPr>
              <w:t>收水</w:t>
            </w:r>
            <w:r>
              <w:rPr>
                <w:rFonts w:eastAsia="宋体"/>
                <w:color w:val="000000" w:themeColor="text1"/>
                <w:position w:val="0"/>
                <w:sz w:val="21"/>
                <w14:textFill>
                  <w14:solidFill>
                    <w14:schemeClr w14:val="tx1"/>
                  </w14:solidFill>
                </w14:textFill>
              </w:rPr>
              <w:t>池</w:t>
            </w:r>
          </w:p>
        </w:tc>
        <w:tc>
          <w:tcPr>
            <w:tcW w:w="3046" w:type="dxa"/>
            <w:noWrap/>
            <w:vAlign w:val="center"/>
          </w:tcPr>
          <w:p>
            <w:pPr>
              <w:pStyle w:val="152"/>
              <w:adjustRightInd/>
              <w:contextualSpacing/>
              <w:rPr>
                <w:rFonts w:eastAsia="宋体"/>
                <w:color w:val="000000" w:themeColor="text1"/>
                <w:position w:val="0"/>
                <w:sz w:val="21"/>
                <w:lang w:val="en-US"/>
                <w14:textFill>
                  <w14:solidFill>
                    <w14:schemeClr w14:val="tx1"/>
                  </w14:solidFill>
                </w14:textFill>
              </w:rPr>
            </w:pPr>
            <w:r>
              <w:rPr>
                <w:rFonts w:eastAsia="宋体"/>
                <w:color w:val="000000" w:themeColor="text1"/>
                <w:position w:val="0"/>
                <w:sz w:val="21"/>
                <w:lang w:val="en-US"/>
                <w14:textFill>
                  <w14:solidFill>
                    <w14:schemeClr w14:val="tx1"/>
                  </w14:solidFill>
                </w14:textFill>
              </w:rPr>
              <w:t>脱硫塔降温喷水</w:t>
            </w:r>
          </w:p>
        </w:tc>
        <w:tc>
          <w:tcPr>
            <w:tcW w:w="874"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286000</w:t>
            </w:r>
          </w:p>
        </w:tc>
        <w:tc>
          <w:tcPr>
            <w:tcW w:w="875"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743" w:type="dxa"/>
            <w:noWrap/>
            <w:vAlign w:val="center"/>
          </w:tcPr>
          <w:p>
            <w:pPr>
              <w:pStyle w:val="152"/>
              <w:adjustRightInd/>
              <w:contextualSpacing/>
              <w:rPr>
                <w:rFonts w:eastAsia="宋体"/>
                <w:color w:val="000000" w:themeColor="text1"/>
                <w:position w:val="0"/>
                <w:sz w:val="21"/>
                <w:lang w:val="en-US"/>
                <w14:textFill>
                  <w14:solidFill>
                    <w14:schemeClr w14:val="tx1"/>
                  </w14:solidFill>
                </w14:textFill>
              </w:rPr>
            </w:pPr>
            <w:r>
              <w:rPr>
                <w:rFonts w:eastAsia="宋体"/>
                <w:color w:val="000000" w:themeColor="text1"/>
                <w:position w:val="0"/>
                <w:sz w:val="21"/>
                <w:lang w:val="en-US"/>
                <w14:textFill>
                  <w14:solidFill>
                    <w14:schemeClr w14:val="tx1"/>
                  </w14:solidFill>
                </w14:textFill>
              </w:rPr>
              <w:t>反渗透浓水和</w:t>
            </w:r>
          </w:p>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lang w:val="en-US"/>
                <w14:textFill>
                  <w14:solidFill>
                    <w14:schemeClr w14:val="tx1"/>
                  </w14:solidFill>
                </w14:textFill>
              </w:rPr>
              <w:t>混床再生废水</w:t>
            </w:r>
          </w:p>
        </w:tc>
        <w:tc>
          <w:tcPr>
            <w:tcW w:w="875"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352000</w:t>
            </w:r>
          </w:p>
        </w:tc>
        <w:tc>
          <w:tcPr>
            <w:tcW w:w="1308"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hint="eastAsia" w:eastAsia="宋体"/>
                <w:color w:val="000000" w:themeColor="text1"/>
                <w:position w:val="0"/>
                <w:sz w:val="21"/>
                <w14:textFill>
                  <w14:solidFill>
                    <w14:schemeClr w14:val="tx1"/>
                  </w14:solidFill>
                </w14:textFill>
              </w:rPr>
              <w:t>浓水池、</w:t>
            </w:r>
            <w:r>
              <w:rPr>
                <w:rFonts w:eastAsia="宋体"/>
                <w:color w:val="000000" w:themeColor="text1"/>
                <w:position w:val="0"/>
                <w:sz w:val="21"/>
                <w14:textFill>
                  <w14:solidFill>
                    <w14:schemeClr w14:val="tx1"/>
                  </w14:solidFill>
                </w14:textFill>
              </w:rPr>
              <w:t>酸碱中和池</w:t>
            </w:r>
          </w:p>
        </w:tc>
        <w:tc>
          <w:tcPr>
            <w:tcW w:w="3046"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部分输送至水煤浆生产基地，</w:t>
            </w:r>
          </w:p>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部分排入</w:t>
            </w:r>
            <w:r>
              <w:rPr>
                <w:rFonts w:hint="eastAsia" w:eastAsia="宋体"/>
                <w:color w:val="000000" w:themeColor="text1"/>
                <w:position w:val="0"/>
                <w:sz w:val="21"/>
                <w14:textFill>
                  <w14:solidFill>
                    <w14:schemeClr w14:val="tx1"/>
                  </w14:solidFill>
                </w14:textFill>
              </w:rPr>
              <w:t>园区</w:t>
            </w:r>
            <w:r>
              <w:rPr>
                <w:rFonts w:eastAsia="宋体"/>
                <w:color w:val="000000" w:themeColor="text1"/>
                <w:position w:val="0"/>
                <w:sz w:val="21"/>
                <w14:textFill>
                  <w14:solidFill>
                    <w14:schemeClr w14:val="tx1"/>
                  </w14:solidFill>
                </w14:textFill>
              </w:rPr>
              <w:t>污水管网中</w:t>
            </w:r>
          </w:p>
        </w:tc>
        <w:tc>
          <w:tcPr>
            <w:tcW w:w="874"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190795</w:t>
            </w:r>
          </w:p>
        </w:tc>
        <w:tc>
          <w:tcPr>
            <w:tcW w:w="875"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161205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743"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锅炉排污水</w:t>
            </w:r>
          </w:p>
        </w:tc>
        <w:tc>
          <w:tcPr>
            <w:tcW w:w="875"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24750</w:t>
            </w:r>
          </w:p>
        </w:tc>
        <w:tc>
          <w:tcPr>
            <w:tcW w:w="1308"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酸碱中和池</w:t>
            </w:r>
          </w:p>
        </w:tc>
        <w:tc>
          <w:tcPr>
            <w:tcW w:w="3046"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排入</w:t>
            </w:r>
            <w:r>
              <w:rPr>
                <w:rFonts w:hint="eastAsia" w:eastAsia="宋体"/>
                <w:color w:val="000000" w:themeColor="text1"/>
                <w:position w:val="0"/>
                <w:sz w:val="21"/>
                <w14:textFill>
                  <w14:solidFill>
                    <w14:schemeClr w14:val="tx1"/>
                  </w14:solidFill>
                </w14:textFill>
              </w:rPr>
              <w:t>园</w:t>
            </w:r>
            <w:r>
              <w:rPr>
                <w:rFonts w:eastAsia="宋体"/>
                <w:color w:val="000000" w:themeColor="text1"/>
                <w:position w:val="0"/>
                <w:sz w:val="21"/>
                <w14:textFill>
                  <w14:solidFill>
                    <w14:schemeClr w14:val="tx1"/>
                  </w14:solidFill>
                </w14:textFill>
              </w:rPr>
              <w:t>区污水管网中</w:t>
            </w:r>
          </w:p>
        </w:tc>
        <w:tc>
          <w:tcPr>
            <w:tcW w:w="874"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0</w:t>
            </w:r>
          </w:p>
        </w:tc>
        <w:tc>
          <w:tcPr>
            <w:tcW w:w="875"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24750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743" w:type="dxa"/>
            <w:noWrap/>
            <w:vAlign w:val="center"/>
          </w:tcPr>
          <w:p>
            <w:pPr>
              <w:pStyle w:val="152"/>
              <w:adjustRightInd/>
              <w:contextualSpacing/>
              <w:rPr>
                <w:rFonts w:eastAsia="宋体"/>
                <w:color w:val="000000" w:themeColor="text1"/>
                <w:position w:val="0"/>
                <w:sz w:val="21"/>
                <w:lang w:val="en-US"/>
                <w14:textFill>
                  <w14:solidFill>
                    <w14:schemeClr w14:val="tx1"/>
                  </w14:solidFill>
                </w14:textFill>
              </w:rPr>
            </w:pPr>
            <w:r>
              <w:rPr>
                <w:rFonts w:eastAsia="宋体"/>
                <w:color w:val="000000" w:themeColor="text1"/>
                <w:position w:val="0"/>
                <w:sz w:val="21"/>
                <w:lang w:val="en-US"/>
                <w14:textFill>
                  <w14:solidFill>
                    <w14:schemeClr w14:val="tx1"/>
                  </w14:solidFill>
                </w14:textFill>
              </w:rPr>
              <w:t>生活污水</w:t>
            </w:r>
          </w:p>
        </w:tc>
        <w:tc>
          <w:tcPr>
            <w:tcW w:w="875"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4320</w:t>
            </w:r>
          </w:p>
        </w:tc>
        <w:tc>
          <w:tcPr>
            <w:tcW w:w="1308"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w:t>
            </w:r>
          </w:p>
        </w:tc>
        <w:tc>
          <w:tcPr>
            <w:tcW w:w="3046"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排入</w:t>
            </w:r>
            <w:r>
              <w:rPr>
                <w:rFonts w:hint="eastAsia" w:eastAsia="宋体"/>
                <w:color w:val="000000" w:themeColor="text1"/>
                <w:position w:val="0"/>
                <w:sz w:val="21"/>
                <w14:textFill>
                  <w14:solidFill>
                    <w14:schemeClr w14:val="tx1"/>
                  </w14:solidFill>
                </w14:textFill>
              </w:rPr>
              <w:t>园区</w:t>
            </w:r>
            <w:r>
              <w:rPr>
                <w:rFonts w:eastAsia="宋体"/>
                <w:color w:val="000000" w:themeColor="text1"/>
                <w:position w:val="0"/>
                <w:sz w:val="21"/>
                <w14:textFill>
                  <w14:solidFill>
                    <w14:schemeClr w14:val="tx1"/>
                  </w14:solidFill>
                </w14:textFill>
              </w:rPr>
              <w:t>污水管网中</w:t>
            </w:r>
          </w:p>
        </w:tc>
        <w:tc>
          <w:tcPr>
            <w:tcW w:w="874"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0</w:t>
            </w:r>
          </w:p>
        </w:tc>
        <w:tc>
          <w:tcPr>
            <w:tcW w:w="875"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743" w:type="dxa"/>
            <w:noWrap/>
            <w:vAlign w:val="center"/>
          </w:tcPr>
          <w:p>
            <w:pPr>
              <w:pStyle w:val="152"/>
              <w:adjustRightInd/>
              <w:contextualSpacing/>
              <w:rPr>
                <w:rFonts w:eastAsia="宋体"/>
                <w:color w:val="000000" w:themeColor="text1"/>
                <w:position w:val="0"/>
                <w:sz w:val="21"/>
                <w:lang w:val="en-US"/>
                <w14:textFill>
                  <w14:solidFill>
                    <w14:schemeClr w14:val="tx1"/>
                  </w14:solidFill>
                </w14:textFill>
              </w:rPr>
            </w:pPr>
            <w:r>
              <w:rPr>
                <w:rFonts w:eastAsia="宋体"/>
                <w:color w:val="000000" w:themeColor="text1"/>
                <w:position w:val="0"/>
                <w:sz w:val="21"/>
                <w:lang w:val="en-US"/>
                <w14:textFill>
                  <w14:solidFill>
                    <w14:schemeClr w14:val="tx1"/>
                  </w14:solidFill>
                </w14:textFill>
              </w:rPr>
              <w:t>合计</w:t>
            </w:r>
          </w:p>
        </w:tc>
        <w:tc>
          <w:tcPr>
            <w:tcW w:w="875"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667070</w:t>
            </w:r>
          </w:p>
        </w:tc>
        <w:tc>
          <w:tcPr>
            <w:tcW w:w="1308"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w:t>
            </w:r>
          </w:p>
        </w:tc>
        <w:tc>
          <w:tcPr>
            <w:tcW w:w="3046" w:type="dxa"/>
            <w:noWrap/>
            <w:vAlign w:val="center"/>
          </w:tcPr>
          <w:p>
            <w:pPr>
              <w:pStyle w:val="152"/>
              <w:adjustRightInd/>
              <w:contextualSpacing/>
              <w:rPr>
                <w:rFonts w:eastAsia="宋体"/>
                <w:color w:val="000000" w:themeColor="text1"/>
                <w:position w:val="0"/>
                <w:sz w:val="21"/>
                <w14:textFill>
                  <w14:solidFill>
                    <w14:schemeClr w14:val="tx1"/>
                  </w14:solidFill>
                </w14:textFill>
              </w:rPr>
            </w:pPr>
          </w:p>
        </w:tc>
        <w:tc>
          <w:tcPr>
            <w:tcW w:w="874"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476795</w:t>
            </w:r>
          </w:p>
        </w:tc>
        <w:tc>
          <w:tcPr>
            <w:tcW w:w="875" w:type="dxa"/>
            <w:noWrap/>
            <w:vAlign w:val="center"/>
          </w:tcPr>
          <w:p>
            <w:pPr>
              <w:pStyle w:val="152"/>
              <w:adjustRightInd/>
              <w:contextualSpacing/>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190275</w:t>
            </w:r>
          </w:p>
        </w:tc>
      </w:tr>
    </w:tbl>
    <w:p>
      <w:pPr>
        <w:keepNext w:val="0"/>
        <w:keepLines w:val="0"/>
        <w:pageBreakBefore w:val="0"/>
        <w:widowControl w:val="0"/>
        <w:kinsoku/>
        <w:wordWrap/>
        <w:overflowPunct/>
        <w:topLinePunct w:val="0"/>
        <w:autoSpaceDE/>
        <w:autoSpaceDN/>
        <w:bidi w:val="0"/>
        <w:adjustRightInd/>
        <w:snapToGrid/>
        <w:spacing w:before="361" w:beforeLines="100" w:line="360" w:lineRule="auto"/>
        <w:ind w:firstLine="480" w:firstLineChars="200"/>
        <w:jc w:val="both"/>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本项目外排废水含盐量高，须在中和池内进行酸碱中和处理。根据同类火电厂类比调查，本工程排水水质情况，见表</w:t>
      </w:r>
      <w:r>
        <w:rPr>
          <w:rFonts w:hint="default" w:ascii="Times New Roman" w:hAnsi="Times New Roman" w:eastAsia="宋体" w:cs="Times New Roman"/>
          <w:bCs/>
          <w:color w:val="000000" w:themeColor="text1"/>
          <w:sz w:val="24"/>
          <w:lang w:val="en-US" w:eastAsia="zh-CN"/>
          <w14:textFill>
            <w14:solidFill>
              <w14:schemeClr w14:val="tx1"/>
            </w14:solidFill>
          </w14:textFill>
        </w:rPr>
        <w:t>2.4-6</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本项目排水水质应符合《污水综合排放标准》(GB8978-1996)中三级标准。</w:t>
      </w:r>
      <w:r>
        <w:rPr>
          <w:rFonts w:hint="eastAsia" w:ascii="Times New Roman" w:hAnsi="Times New Roman" w:eastAsia="宋体" w:cs="Times New Roman"/>
          <w:color w:val="000000" w:themeColor="text1"/>
          <w:sz w:val="24"/>
          <w:lang w:eastAsia="zh-CN"/>
          <w14:textFill>
            <w14:solidFill>
              <w14:schemeClr w14:val="tx1"/>
            </w14:solidFill>
          </w14:textFill>
        </w:rPr>
        <w:t>排放源强见表</w:t>
      </w:r>
      <w:r>
        <w:rPr>
          <w:rFonts w:hint="eastAsia" w:ascii="Times New Roman" w:hAnsi="Times New Roman" w:eastAsia="宋体" w:cs="Times New Roman"/>
          <w:color w:val="000000" w:themeColor="text1"/>
          <w:sz w:val="24"/>
          <w:lang w:val="en-US" w:eastAsia="zh-CN"/>
          <w14:textFill>
            <w14:solidFill>
              <w14:schemeClr w14:val="tx1"/>
            </w14:solidFill>
          </w14:textFill>
        </w:rPr>
        <w:t>2.4-7。</w:t>
      </w:r>
    </w:p>
    <w:p>
      <w:pPr>
        <w:pStyle w:val="42"/>
        <w:keepNext w:val="0"/>
        <w:keepLines w:val="0"/>
        <w:pageBreakBefore w:val="0"/>
        <w:widowControl w:val="0"/>
        <w:shd w:val="clear" w:color="auto" w:fill="auto"/>
        <w:tabs>
          <w:tab w:val="left" w:pos="2573"/>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zh-CN" w:bidi="zh-CN"/>
          <w14:textFill>
            <w14:solidFill>
              <w14:schemeClr w14:val="tx1"/>
            </w14:solidFill>
          </w14:textFill>
        </w:rPr>
        <w:t>2.4-6</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 xml:space="preserve">          本工程排水水质表            单位：mg/L</w:t>
      </w:r>
    </w:p>
    <w:tbl>
      <w:tblPr>
        <w:tblStyle w:val="21"/>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96"/>
        <w:gridCol w:w="1314"/>
        <w:gridCol w:w="1314"/>
        <w:gridCol w:w="1314"/>
        <w:gridCol w:w="1364"/>
        <w:gridCol w:w="14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79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   目</w:t>
            </w:r>
          </w:p>
        </w:tc>
        <w:tc>
          <w:tcPr>
            <w:tcW w:w="13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pH</w:t>
            </w:r>
          </w:p>
        </w:tc>
        <w:tc>
          <w:tcPr>
            <w:tcW w:w="13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SS</w:t>
            </w:r>
          </w:p>
        </w:tc>
        <w:tc>
          <w:tcPr>
            <w:tcW w:w="13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w:t>
            </w:r>
          </w:p>
        </w:tc>
        <w:tc>
          <w:tcPr>
            <w:tcW w:w="136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CODcr</w:t>
            </w:r>
          </w:p>
        </w:tc>
        <w:tc>
          <w:tcPr>
            <w:tcW w:w="1420"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subscript"/>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BOD</w:t>
            </w:r>
            <w:r>
              <w:rPr>
                <w:rFonts w:hint="default" w:ascii="Times New Roman" w:hAnsi="Times New Roman" w:cs="Times New Roman"/>
                <w:color w:val="000000" w:themeColor="text1"/>
                <w:sz w:val="21"/>
                <w:szCs w:val="21"/>
                <w:vertAlign w:val="subscript"/>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79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13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13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300</w:t>
            </w:r>
          </w:p>
        </w:tc>
        <w:tc>
          <w:tcPr>
            <w:tcW w:w="13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w:t>
            </w:r>
          </w:p>
        </w:tc>
        <w:tc>
          <w:tcPr>
            <w:tcW w:w="136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w:t>
            </w:r>
          </w:p>
        </w:tc>
        <w:tc>
          <w:tcPr>
            <w:tcW w:w="1420"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79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锅炉排污水</w:t>
            </w:r>
          </w:p>
        </w:tc>
        <w:tc>
          <w:tcPr>
            <w:tcW w:w="13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7～8.5</w:t>
            </w:r>
          </w:p>
        </w:tc>
        <w:tc>
          <w:tcPr>
            <w:tcW w:w="13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w:t>
            </w:r>
          </w:p>
        </w:tc>
        <w:tc>
          <w:tcPr>
            <w:tcW w:w="13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136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&lt;50</w:t>
            </w:r>
          </w:p>
        </w:tc>
        <w:tc>
          <w:tcPr>
            <w:tcW w:w="1420"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79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化学水处理系统</w:t>
            </w:r>
          </w:p>
        </w:tc>
        <w:tc>
          <w:tcPr>
            <w:tcW w:w="1314"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w:t>
            </w:r>
          </w:p>
        </w:tc>
        <w:tc>
          <w:tcPr>
            <w:tcW w:w="1314"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w:t>
            </w:r>
          </w:p>
        </w:tc>
        <w:tc>
          <w:tcPr>
            <w:tcW w:w="1314"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1364"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&lt;50</w:t>
            </w:r>
          </w:p>
        </w:tc>
        <w:tc>
          <w:tcPr>
            <w:tcW w:w="1420"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79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总排放口</w:t>
            </w:r>
          </w:p>
        </w:tc>
        <w:tc>
          <w:tcPr>
            <w:tcW w:w="13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w:t>
            </w:r>
          </w:p>
        </w:tc>
        <w:tc>
          <w:tcPr>
            <w:tcW w:w="13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13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w:t>
            </w:r>
          </w:p>
        </w:tc>
        <w:tc>
          <w:tcPr>
            <w:tcW w:w="136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&lt;58</w:t>
            </w:r>
          </w:p>
        </w:tc>
        <w:tc>
          <w:tcPr>
            <w:tcW w:w="1420"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79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《污水综和排放标准》三级</w:t>
            </w:r>
          </w:p>
        </w:tc>
        <w:tc>
          <w:tcPr>
            <w:tcW w:w="13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w:t>
            </w:r>
          </w:p>
        </w:tc>
        <w:tc>
          <w:tcPr>
            <w:tcW w:w="13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400</w:t>
            </w:r>
          </w:p>
        </w:tc>
        <w:tc>
          <w:tcPr>
            <w:tcW w:w="13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36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w:t>
            </w:r>
          </w:p>
        </w:tc>
        <w:tc>
          <w:tcPr>
            <w:tcW w:w="1420"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w:t>
            </w:r>
          </w:p>
        </w:tc>
      </w:tr>
    </w:tbl>
    <w:p>
      <w:pPr>
        <w:pStyle w:val="42"/>
        <w:keepNext w:val="0"/>
        <w:keepLines w:val="0"/>
        <w:pageBreakBefore w:val="0"/>
        <w:widowControl w:val="0"/>
        <w:shd w:val="clear" w:color="auto" w:fill="auto"/>
        <w:tabs>
          <w:tab w:val="left" w:pos="2573"/>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p>
    <w:p>
      <w:pPr>
        <w:pStyle w:val="42"/>
        <w:keepNext w:val="0"/>
        <w:keepLines w:val="0"/>
        <w:pageBreakBefore w:val="0"/>
        <w:widowControl w:val="0"/>
        <w:shd w:val="clear" w:color="auto" w:fill="auto"/>
        <w:tabs>
          <w:tab w:val="left" w:pos="2573"/>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zh-CN" w:bidi="zh-CN"/>
          <w14:textFill>
            <w14:solidFill>
              <w14:schemeClr w14:val="tx1"/>
            </w14:solidFill>
          </w14:textFill>
        </w:rPr>
        <w:t>2.4-7</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 xml:space="preserve">     污水处理工程事故排放源强</w:t>
      </w:r>
    </w:p>
    <w:tbl>
      <w:tblPr>
        <w:tblStyle w:val="21"/>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23"/>
        <w:gridCol w:w="1362"/>
        <w:gridCol w:w="687"/>
        <w:gridCol w:w="1113"/>
        <w:gridCol w:w="1193"/>
        <w:gridCol w:w="9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23" w:type="dxa"/>
            <w:noWrap w:val="0"/>
            <w:vAlign w:val="center"/>
          </w:tcPr>
          <w:p>
            <w:pPr>
              <w:pStyle w:val="11"/>
              <w:keepNext w:val="0"/>
              <w:keepLines w:val="0"/>
              <w:pageBreakBefore w:val="0"/>
              <w:widowControl w:val="0"/>
              <w:kinsoku/>
              <w:wordWrap/>
              <w:overflowPunct/>
              <w:topLinePunct w:val="0"/>
              <w:autoSpaceDE/>
              <w:autoSpaceDN/>
              <w:bidi w:val="0"/>
              <w:snapToGrid w:val="0"/>
              <w:spacing w:after="0" w:line="240" w:lineRule="auto"/>
              <w:ind w:left="0" w:lef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w:t>
            </w:r>
          </w:p>
        </w:tc>
        <w:tc>
          <w:tcPr>
            <w:tcW w:w="1362" w:type="dxa"/>
            <w:noWrap w:val="0"/>
            <w:vAlign w:val="center"/>
          </w:tcPr>
          <w:p>
            <w:pPr>
              <w:pStyle w:val="11"/>
              <w:keepNext w:val="0"/>
              <w:keepLines w:val="0"/>
              <w:pageBreakBefore w:val="0"/>
              <w:widowControl w:val="0"/>
              <w:kinsoku/>
              <w:wordWrap/>
              <w:overflowPunct/>
              <w:topLinePunct w:val="0"/>
              <w:autoSpaceDE/>
              <w:autoSpaceDN/>
              <w:bidi w:val="0"/>
              <w:snapToGrid w:val="0"/>
              <w:spacing w:after="0" w:line="240" w:lineRule="auto"/>
              <w:ind w:left="0" w:lef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废水量</w:t>
            </w:r>
          </w:p>
        </w:tc>
        <w:tc>
          <w:tcPr>
            <w:tcW w:w="687" w:type="dxa"/>
            <w:noWrap w:val="0"/>
            <w:vAlign w:val="center"/>
          </w:tcPr>
          <w:p>
            <w:pPr>
              <w:pStyle w:val="12"/>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SS</w:t>
            </w:r>
          </w:p>
        </w:tc>
        <w:tc>
          <w:tcPr>
            <w:tcW w:w="1113" w:type="dxa"/>
            <w:noWrap w:val="0"/>
            <w:vAlign w:val="center"/>
          </w:tcPr>
          <w:p>
            <w:pPr>
              <w:pStyle w:val="12"/>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w:t>
            </w:r>
          </w:p>
        </w:tc>
        <w:tc>
          <w:tcPr>
            <w:tcW w:w="1193" w:type="dxa"/>
            <w:noWrap w:val="0"/>
            <w:vAlign w:val="center"/>
          </w:tcPr>
          <w:p>
            <w:pPr>
              <w:pStyle w:val="12"/>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CODcr</w:t>
            </w:r>
          </w:p>
        </w:tc>
        <w:tc>
          <w:tcPr>
            <w:tcW w:w="944" w:type="dxa"/>
            <w:noWrap w:val="0"/>
            <w:vAlign w:val="center"/>
          </w:tcPr>
          <w:p>
            <w:pPr>
              <w:pStyle w:val="12"/>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vertAlign w:val="subscript"/>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BOD</w:t>
            </w:r>
            <w:r>
              <w:rPr>
                <w:rFonts w:hint="default" w:ascii="Times New Roman" w:hAnsi="Times New Roman" w:cs="Times New Roman"/>
                <w:color w:val="000000" w:themeColor="text1"/>
                <w:sz w:val="21"/>
                <w:szCs w:val="21"/>
                <w:vertAlign w:val="subscript"/>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23" w:type="dxa"/>
            <w:noWrap w:val="0"/>
            <w:vAlign w:val="center"/>
          </w:tcPr>
          <w:p>
            <w:pPr>
              <w:pStyle w:val="11"/>
              <w:keepNext w:val="0"/>
              <w:keepLines w:val="0"/>
              <w:pageBreakBefore w:val="0"/>
              <w:widowControl w:val="0"/>
              <w:kinsoku/>
              <w:wordWrap/>
              <w:overflowPunct/>
              <w:topLinePunct w:val="0"/>
              <w:autoSpaceDE/>
              <w:autoSpaceDN/>
              <w:bidi w:val="0"/>
              <w:snapToGrid w:val="0"/>
              <w:spacing w:after="0" w:line="240" w:lineRule="auto"/>
              <w:ind w:left="0" w:lef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排放浓度（mg/1）</w:t>
            </w:r>
          </w:p>
        </w:tc>
        <w:tc>
          <w:tcPr>
            <w:tcW w:w="1362" w:type="dxa"/>
            <w:noWrap w:val="0"/>
            <w:vAlign w:val="center"/>
          </w:tcPr>
          <w:p>
            <w:pPr>
              <w:pStyle w:val="11"/>
              <w:keepNext w:val="0"/>
              <w:keepLines w:val="0"/>
              <w:pageBreakBefore w:val="0"/>
              <w:widowControl w:val="0"/>
              <w:kinsoku/>
              <w:wordWrap/>
              <w:overflowPunct/>
              <w:topLinePunct w:val="0"/>
              <w:autoSpaceDE/>
              <w:autoSpaceDN/>
              <w:bidi w:val="0"/>
              <w:snapToGrid w:val="0"/>
              <w:spacing w:after="0" w:line="240" w:lineRule="auto"/>
              <w:ind w:left="0" w:lef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687" w:type="dxa"/>
            <w:noWrap w:val="0"/>
            <w:vAlign w:val="center"/>
          </w:tcPr>
          <w:p>
            <w:pPr>
              <w:pStyle w:val="12"/>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1113" w:type="dxa"/>
            <w:noWrap w:val="0"/>
            <w:vAlign w:val="center"/>
          </w:tcPr>
          <w:p>
            <w:pPr>
              <w:pStyle w:val="12"/>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w:t>
            </w:r>
          </w:p>
        </w:tc>
        <w:tc>
          <w:tcPr>
            <w:tcW w:w="1193" w:type="dxa"/>
            <w:noWrap w:val="0"/>
            <w:vAlign w:val="center"/>
          </w:tcPr>
          <w:p>
            <w:pPr>
              <w:pStyle w:val="12"/>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58</w:t>
            </w:r>
          </w:p>
        </w:tc>
        <w:tc>
          <w:tcPr>
            <w:tcW w:w="944" w:type="dxa"/>
            <w:noWrap w:val="0"/>
            <w:vAlign w:val="center"/>
          </w:tcPr>
          <w:p>
            <w:pPr>
              <w:pStyle w:val="12"/>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23" w:type="dxa"/>
            <w:noWrap w:val="0"/>
            <w:vAlign w:val="center"/>
          </w:tcPr>
          <w:p>
            <w:pPr>
              <w:pStyle w:val="11"/>
              <w:keepNext w:val="0"/>
              <w:keepLines w:val="0"/>
              <w:pageBreakBefore w:val="0"/>
              <w:widowControl w:val="0"/>
              <w:kinsoku/>
              <w:wordWrap/>
              <w:overflowPunct/>
              <w:topLinePunct w:val="0"/>
              <w:autoSpaceDE/>
              <w:autoSpaceDN/>
              <w:bidi w:val="0"/>
              <w:snapToGrid w:val="0"/>
              <w:spacing w:after="0" w:line="240" w:lineRule="auto"/>
              <w:ind w:left="0" w:lef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最大排放量（t/a）</w:t>
            </w:r>
          </w:p>
        </w:tc>
        <w:tc>
          <w:tcPr>
            <w:tcW w:w="1362" w:type="dxa"/>
            <w:noWrap w:val="0"/>
            <w:vAlign w:val="center"/>
          </w:tcPr>
          <w:p>
            <w:pPr>
              <w:pStyle w:val="11"/>
              <w:keepNext w:val="0"/>
              <w:keepLines w:val="0"/>
              <w:pageBreakBefore w:val="0"/>
              <w:widowControl w:val="0"/>
              <w:kinsoku/>
              <w:wordWrap/>
              <w:overflowPunct/>
              <w:topLinePunct w:val="0"/>
              <w:autoSpaceDE/>
              <w:autoSpaceDN/>
              <w:bidi w:val="0"/>
              <w:snapToGrid w:val="0"/>
              <w:spacing w:after="0" w:line="240" w:lineRule="auto"/>
              <w:ind w:left="0" w:lef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236970</w:t>
            </w:r>
          </w:p>
        </w:tc>
        <w:tc>
          <w:tcPr>
            <w:tcW w:w="687" w:type="dxa"/>
            <w:noWrap w:val="0"/>
            <w:vAlign w:val="center"/>
          </w:tcPr>
          <w:p>
            <w:pPr>
              <w:pStyle w:val="11"/>
              <w:keepNext w:val="0"/>
              <w:keepLines w:val="0"/>
              <w:pageBreakBefore w:val="0"/>
              <w:widowControl w:val="0"/>
              <w:kinsoku/>
              <w:wordWrap/>
              <w:overflowPunct/>
              <w:topLinePunct w:val="0"/>
              <w:autoSpaceDE/>
              <w:autoSpaceDN/>
              <w:bidi w:val="0"/>
              <w:snapToGrid w:val="0"/>
              <w:spacing w:after="0" w:line="240" w:lineRule="auto"/>
              <w:ind w:left="0" w:lef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8.29</w:t>
            </w:r>
          </w:p>
        </w:tc>
        <w:tc>
          <w:tcPr>
            <w:tcW w:w="1113" w:type="dxa"/>
            <w:noWrap w:val="0"/>
            <w:vAlign w:val="center"/>
          </w:tcPr>
          <w:p>
            <w:pPr>
              <w:pStyle w:val="11"/>
              <w:keepNext w:val="0"/>
              <w:keepLines w:val="0"/>
              <w:pageBreakBefore w:val="0"/>
              <w:widowControl w:val="0"/>
              <w:kinsoku/>
              <w:wordWrap/>
              <w:overflowPunct/>
              <w:topLinePunct w:val="0"/>
              <w:autoSpaceDE/>
              <w:autoSpaceDN/>
              <w:bidi w:val="0"/>
              <w:snapToGrid w:val="0"/>
              <w:spacing w:after="0" w:line="240" w:lineRule="auto"/>
              <w:ind w:left="0" w:lef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3.79</w:t>
            </w:r>
          </w:p>
        </w:tc>
        <w:tc>
          <w:tcPr>
            <w:tcW w:w="1193" w:type="dxa"/>
            <w:noWrap w:val="0"/>
            <w:vAlign w:val="center"/>
          </w:tcPr>
          <w:p>
            <w:pPr>
              <w:pStyle w:val="11"/>
              <w:keepNext w:val="0"/>
              <w:keepLines w:val="0"/>
              <w:pageBreakBefore w:val="0"/>
              <w:widowControl w:val="0"/>
              <w:kinsoku/>
              <w:wordWrap/>
              <w:overflowPunct/>
              <w:topLinePunct w:val="0"/>
              <w:autoSpaceDE/>
              <w:autoSpaceDN/>
              <w:bidi w:val="0"/>
              <w:snapToGrid w:val="0"/>
              <w:spacing w:after="0" w:line="240" w:lineRule="auto"/>
              <w:ind w:left="0" w:lef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13.74</w:t>
            </w:r>
          </w:p>
        </w:tc>
        <w:tc>
          <w:tcPr>
            <w:tcW w:w="944" w:type="dxa"/>
            <w:noWrap w:val="0"/>
            <w:vAlign w:val="center"/>
          </w:tcPr>
          <w:p>
            <w:pPr>
              <w:pStyle w:val="11"/>
              <w:keepNext w:val="0"/>
              <w:keepLines w:val="0"/>
              <w:pageBreakBefore w:val="0"/>
              <w:widowControl w:val="0"/>
              <w:kinsoku/>
              <w:wordWrap/>
              <w:overflowPunct/>
              <w:topLinePunct w:val="0"/>
              <w:autoSpaceDE/>
              <w:autoSpaceDN/>
              <w:bidi w:val="0"/>
              <w:snapToGrid w:val="0"/>
              <w:spacing w:after="0" w:line="240" w:lineRule="auto"/>
              <w:ind w:left="0" w:lef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3.08</w:t>
            </w:r>
          </w:p>
        </w:tc>
      </w:tr>
    </w:tbl>
    <w:p>
      <w:pPr>
        <w:pStyle w:val="33"/>
        <w:keepNext w:val="0"/>
        <w:keepLines w:val="0"/>
        <w:pageBreakBefore w:val="0"/>
        <w:widowControl w:val="0"/>
        <w:shd w:val="clear" w:color="auto" w:fill="auto"/>
        <w:kinsoku/>
        <w:wordWrap/>
        <w:overflowPunct/>
        <w:topLinePunct w:val="0"/>
        <w:autoSpaceDE/>
        <w:autoSpaceDN/>
        <w:bidi w:val="0"/>
        <w:adjustRightInd/>
        <w:snapToGrid/>
        <w:spacing w:before="313" w:beforeLines="10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2.4.3</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固体废物</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本工程固体废物主要是炉灰、脱硫灰、除尘灰和生活垃圾。</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本项目固体废物源强核实采用物料衡算法，根据《污染源源强核算技术指南 火电》（HJ 888-2018）中的公式，锅炉运行过程的灰渣及石膏计算过程如下：</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w:t>
      </w:r>
      <w:r>
        <w:rPr>
          <w:rFonts w:hint="eastAsia" w:eastAsia="宋体" w:cs="Times New Roman"/>
          <w:color w:val="000000" w:themeColor="text1"/>
          <w:spacing w:val="0"/>
          <w:w w:val="100"/>
          <w:position w:val="0"/>
          <w:sz w:val="24"/>
          <w:szCs w:val="24"/>
          <w:u w:val="none"/>
          <w:lang w:val="en-US" w:eastAsia="zh-CN" w:bidi="zh-CN"/>
          <w14:textFill>
            <w14:solidFill>
              <w14:schemeClr w14:val="tx1"/>
            </w14:solidFill>
          </w14:textFill>
        </w:rPr>
        <w:t>1</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 xml:space="preserve">）炉灰和脱硫灰 </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①炉灰产生量的计算</w:t>
      </w:r>
    </w:p>
    <w:p>
      <w:pPr>
        <w:spacing w:line="360" w:lineRule="auto"/>
        <w:ind w:firstLine="1920" w:firstLineChars="800"/>
        <w:rPr>
          <w:rFonts w:hint="eastAsia" w:ascii="宋体" w:hAnsi="宋体"/>
          <w:bCs/>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3324225" cy="582295"/>
            <wp:effectExtent l="0" t="0" r="9525" b="8255"/>
            <wp:docPr id="8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8"/>
                    <pic:cNvPicPr>
                      <a:picLocks noChangeAspect="1"/>
                    </pic:cNvPicPr>
                  </pic:nvPicPr>
                  <pic:blipFill>
                    <a:blip r:embed="rId18"/>
                    <a:stretch>
                      <a:fillRect/>
                    </a:stretch>
                  </pic:blipFill>
                  <pic:spPr>
                    <a:xfrm>
                      <a:off x="0" y="0"/>
                      <a:ext cx="3324225" cy="582295"/>
                    </a:xfrm>
                    <a:prstGeom prst="rect">
                      <a:avLst/>
                    </a:prstGeom>
                    <a:noFill/>
                    <a:ln>
                      <a:noFill/>
                    </a:ln>
                  </pic:spPr>
                </pic:pic>
              </a:graphicData>
            </a:graphic>
          </wp:inline>
        </w:drawing>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 xml:space="preserve">式中：Nh — 核算时段内飞灰产生量，t； </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 xml:space="preserve">Bg — 核算时段内燃料消耗量，t； </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Aar — 收到基灰分的质量分数，%；</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 xml:space="preserve">q4 — 锅炉机械不完全燃烧热损失，%； </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 xml:space="preserve">Qnet,ar — 收到基低位发热量，kJ/kg； </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 xml:space="preserve">ηc — 除尘器除尘效率，%； </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αfh — 锅炉烟气带出的飞灰份额。</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②脱硫灰的计算</w:t>
      </w:r>
    </w:p>
    <w:p>
      <w:pPr>
        <w:spacing w:line="360" w:lineRule="auto"/>
        <w:jc w:val="center"/>
        <w:rPr>
          <w:rFonts w:hint="eastAsia" w:ascii="宋体" w:hAnsi="宋体"/>
          <w:bCs/>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3942715" cy="711200"/>
            <wp:effectExtent l="0" t="0" r="635" b="12700"/>
            <wp:docPr id="7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9"/>
                    <pic:cNvPicPr>
                      <a:picLocks noChangeAspect="1"/>
                    </pic:cNvPicPr>
                  </pic:nvPicPr>
                  <pic:blipFill>
                    <a:blip r:embed="rId19"/>
                    <a:stretch>
                      <a:fillRect/>
                    </a:stretch>
                  </pic:blipFill>
                  <pic:spPr>
                    <a:xfrm>
                      <a:off x="0" y="0"/>
                      <a:ext cx="3942715" cy="711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 xml:space="preserve">式中：M — 核算时段内脱硫副产物产生量，t；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M</w:t>
      </w:r>
      <w:r>
        <w:rPr>
          <w:rFonts w:hint="default" w:ascii="Times New Roman" w:hAnsi="Times New Roman" w:cs="Times New Roman"/>
          <w:bCs/>
          <w:color w:val="000000" w:themeColor="text1"/>
          <w:sz w:val="24"/>
          <w:vertAlign w:val="subscript"/>
          <w14:textFill>
            <w14:solidFill>
              <w14:schemeClr w14:val="tx1"/>
            </w14:solidFill>
          </w14:textFill>
        </w:rPr>
        <w:t>L</w:t>
      </w:r>
      <w:r>
        <w:rPr>
          <w:rFonts w:hint="default" w:ascii="Times New Roman" w:hAnsi="Times New Roman" w:cs="Times New Roman"/>
          <w:bCs/>
          <w:color w:val="000000" w:themeColor="text1"/>
          <w:sz w:val="24"/>
          <w14:textFill>
            <w14:solidFill>
              <w14:schemeClr w14:val="tx1"/>
            </w14:solidFill>
          </w14:textFill>
        </w:rPr>
        <w:t xml:space="preserve"> —核算时段内二氧化硫脱除量，t；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M</w:t>
      </w:r>
      <w:r>
        <w:rPr>
          <w:rFonts w:hint="default" w:ascii="Times New Roman" w:hAnsi="Times New Roman" w:cs="Times New Roman"/>
          <w:bCs/>
          <w:color w:val="000000" w:themeColor="text1"/>
          <w:sz w:val="24"/>
          <w:vertAlign w:val="subscript"/>
          <w14:textFill>
            <w14:solidFill>
              <w14:schemeClr w14:val="tx1"/>
            </w14:solidFill>
          </w14:textFill>
        </w:rPr>
        <w:t>1</w:t>
      </w:r>
      <w:r>
        <w:rPr>
          <w:rFonts w:hint="default" w:ascii="Times New Roman" w:hAnsi="Times New Roman" w:cs="Times New Roman"/>
          <w:bCs/>
          <w:color w:val="000000" w:themeColor="text1"/>
          <w:sz w:val="24"/>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CaSO</w:t>
      </w:r>
      <w:r>
        <w:rPr>
          <w:rFonts w:hint="default" w:ascii="Times New Roman" w:hAnsi="Times New Roman" w:cs="Times New Roman"/>
          <w:color w:val="000000" w:themeColor="text1"/>
          <w:sz w:val="24"/>
          <w:vertAlign w:val="sub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·1/2H</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O</w:t>
      </w:r>
      <w:r>
        <w:rPr>
          <w:rFonts w:hint="default" w:ascii="Times New Roman" w:hAnsi="Times New Roman" w:cs="Times New Roman"/>
          <w:bCs/>
          <w:color w:val="000000" w:themeColor="text1"/>
          <w:sz w:val="24"/>
          <w14:textFill>
            <w14:solidFill>
              <w14:schemeClr w14:val="tx1"/>
            </w14:solidFill>
          </w14:textFill>
        </w:rPr>
        <w:t>摩尔质量（129）；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M</w:t>
      </w:r>
      <w:r>
        <w:rPr>
          <w:rFonts w:hint="default" w:ascii="Times New Roman" w:hAnsi="Times New Roman" w:cs="Times New Roman"/>
          <w:bCs/>
          <w:color w:val="000000" w:themeColor="text1"/>
          <w:sz w:val="24"/>
          <w:vertAlign w:val="subscript"/>
          <w14:textFill>
            <w14:solidFill>
              <w14:schemeClr w14:val="tx1"/>
            </w14:solidFill>
          </w14:textFill>
        </w:rPr>
        <w:t>2</w:t>
      </w:r>
      <w:r>
        <w:rPr>
          <w:rFonts w:hint="default" w:ascii="Times New Roman" w:hAnsi="Times New Roman" w:cs="Times New Roman"/>
          <w:bCs/>
          <w:color w:val="000000" w:themeColor="text1"/>
          <w:sz w:val="24"/>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CaSO</w:t>
      </w:r>
      <w:r>
        <w:rPr>
          <w:rFonts w:hint="default" w:ascii="Times New Roman" w:hAnsi="Times New Roman" w:cs="Times New Roman"/>
          <w:color w:val="000000" w:themeColor="text1"/>
          <w:sz w:val="24"/>
          <w:vertAlign w:val="subscript"/>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·1/2H</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O</w:t>
      </w:r>
      <w:r>
        <w:rPr>
          <w:rFonts w:hint="default" w:ascii="Times New Roman" w:hAnsi="Times New Roman" w:cs="Times New Roman"/>
          <w:bCs/>
          <w:color w:val="000000" w:themeColor="text1"/>
          <w:sz w:val="24"/>
          <w14:textFill>
            <w14:solidFill>
              <w14:schemeClr w14:val="tx1"/>
            </w14:solidFill>
          </w14:textFill>
        </w:rPr>
        <w:t xml:space="preserve">摩尔质量（145）；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M</w:t>
      </w:r>
      <w:r>
        <w:rPr>
          <w:rFonts w:hint="default" w:ascii="Times New Roman" w:hAnsi="Times New Roman" w:cs="Times New Roman"/>
          <w:bCs/>
          <w:color w:val="000000" w:themeColor="text1"/>
          <w:sz w:val="24"/>
          <w:vertAlign w:val="subscript"/>
          <w14:textFill>
            <w14:solidFill>
              <w14:schemeClr w14:val="tx1"/>
            </w14:solidFill>
          </w14:textFill>
        </w:rPr>
        <w:t>3</w:t>
      </w:r>
      <w:r>
        <w:rPr>
          <w:rFonts w:hint="default" w:ascii="Times New Roman" w:hAnsi="Times New Roman" w:cs="Times New Roman"/>
          <w:bCs/>
          <w:color w:val="000000" w:themeColor="text1"/>
          <w:sz w:val="24"/>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CaSO</w:t>
      </w:r>
      <w:r>
        <w:rPr>
          <w:rFonts w:hint="default" w:ascii="Times New Roman" w:hAnsi="Times New Roman" w:cs="Times New Roman"/>
          <w:color w:val="000000" w:themeColor="text1"/>
          <w:sz w:val="24"/>
          <w:vertAlign w:val="subscript"/>
          <w14:textFill>
            <w14:solidFill>
              <w14:schemeClr w14:val="tx1"/>
            </w14:solidFill>
          </w14:textFill>
        </w:rPr>
        <w:t>3</w:t>
      </w:r>
      <w:r>
        <w:rPr>
          <w:rFonts w:hint="default" w:ascii="Times New Roman" w:hAnsi="Times New Roman" w:cs="Times New Roman"/>
          <w:bCs/>
          <w:color w:val="000000" w:themeColor="text1"/>
          <w:sz w:val="24"/>
          <w14:textFill>
            <w14:solidFill>
              <w14:schemeClr w14:val="tx1"/>
            </w14:solidFill>
          </w14:textFill>
        </w:rPr>
        <w:t>摩尔质量（120）；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M</w:t>
      </w:r>
      <w:r>
        <w:rPr>
          <w:rFonts w:hint="default" w:ascii="Times New Roman" w:hAnsi="Times New Roman" w:cs="Times New Roman"/>
          <w:bCs/>
          <w:color w:val="000000" w:themeColor="text1"/>
          <w:sz w:val="24"/>
          <w:vertAlign w:val="subscript"/>
          <w14:textFill>
            <w14:solidFill>
              <w14:schemeClr w14:val="tx1"/>
            </w14:solidFill>
          </w14:textFill>
        </w:rPr>
        <w:t>S</w:t>
      </w:r>
      <w:r>
        <w:rPr>
          <w:rFonts w:hint="default" w:ascii="Times New Roman" w:hAnsi="Times New Roman" w:cs="Times New Roman"/>
          <w:bCs/>
          <w:color w:val="000000" w:themeColor="text1"/>
          <w:sz w:val="24"/>
          <w14:textFill>
            <w14:solidFill>
              <w14:schemeClr w14:val="tx1"/>
            </w14:solidFill>
          </w14:textFill>
        </w:rPr>
        <w:t xml:space="preserve"> —二氧化硫摩尔质量（64）；</w:t>
      </w:r>
      <w:r>
        <w:rPr>
          <w:rFonts w:hint="eastAsia" w:ascii="宋体" w:hAnsi="宋体"/>
          <w:bCs/>
          <w:color w:val="000000" w:themeColor="text1"/>
          <w:sz w:val="24"/>
          <w14:textFill>
            <w14:solidFill>
              <w14:schemeClr w14:val="tx1"/>
            </w14:solidFill>
          </w14:textFill>
        </w:rPr>
        <w:t xml:space="preserve"> </w:t>
      </w:r>
    </w:p>
    <w:p>
      <w:pPr>
        <w:shd w:val="clear" w:color="auto" w:fill="auto"/>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经计算，本项目脱硫灰产生量约为12313t/a。</w:t>
      </w:r>
    </w:p>
    <w:p>
      <w:pPr>
        <w:shd w:val="clear" w:color="auto" w:fill="auto"/>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项目采用布袋除尘器，除尘器收集的烟粉尘量为69821.25t/a。</w:t>
      </w:r>
    </w:p>
    <w:p>
      <w:pPr>
        <w:shd w:val="clear" w:color="auto" w:fill="auto"/>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合计工业固废总量约为</w:t>
      </w:r>
      <w:r>
        <w:rPr>
          <w:rFonts w:hint="eastAsia"/>
          <w:color w:val="000000" w:themeColor="text1"/>
          <w14:textFill>
            <w14:solidFill>
              <w14:schemeClr w14:val="tx1"/>
            </w14:solidFill>
          </w14:textFill>
        </w:rPr>
        <w:t>8.21</w:t>
      </w:r>
      <w:r>
        <w:rPr>
          <w:color w:val="000000" w:themeColor="text1"/>
          <w14:textFill>
            <w14:solidFill>
              <w14:schemeClr w14:val="tx1"/>
            </w14:solidFill>
          </w14:textFill>
        </w:rPr>
        <w:t>万t/a。</w:t>
      </w:r>
    </w:p>
    <w:p>
      <w:pPr>
        <w:spacing w:line="360" w:lineRule="auto"/>
        <w:ind w:firstLine="480" w:firstLineChars="200"/>
        <w:rPr>
          <w:color w:val="000000" w:themeColor="text1"/>
          <w14:textFill>
            <w14:solidFill>
              <w14:schemeClr w14:val="tx1"/>
            </w14:solidFill>
          </w14:textFill>
        </w:rPr>
      </w:pPr>
      <w:r>
        <w:rPr>
          <w:bCs/>
          <w:color w:val="000000" w:themeColor="text1"/>
          <w14:textFill>
            <w14:solidFill>
              <w14:schemeClr w14:val="tx1"/>
            </w14:solidFill>
          </w14:textFill>
        </w:rPr>
        <w:t>炉灰、脱硫灰和收集的烟尘一并</w:t>
      </w:r>
      <w:r>
        <w:rPr>
          <w:color w:val="000000" w:themeColor="text1"/>
          <w14:textFill>
            <w14:solidFill>
              <w14:schemeClr w14:val="tx1"/>
            </w14:solidFill>
          </w14:textFill>
        </w:rPr>
        <w:t>在站内新建的贮灰仓暂存，</w:t>
      </w:r>
      <w:r>
        <w:rPr>
          <w:bCs/>
          <w:color w:val="000000" w:themeColor="text1"/>
          <w14:textFill>
            <w14:solidFill>
              <w14:schemeClr w14:val="tx1"/>
            </w14:solidFill>
          </w14:textFill>
        </w:rPr>
        <w:t>用于建筑材料外售，</w:t>
      </w:r>
      <w:r>
        <w:rPr>
          <w:color w:val="000000" w:themeColor="text1"/>
          <w14:textFill>
            <w14:solidFill>
              <w14:schemeClr w14:val="tx1"/>
            </w14:solidFill>
          </w14:textFill>
        </w:rPr>
        <w:t>全部综合利用，日产日清。灰仓的建设和使用须符合《一般工业固体废物贮存、处置场污染控制标准》（GB18599-2001）Ⅱ类场地要求。</w:t>
      </w:r>
    </w:p>
    <w:p>
      <w:pPr>
        <w:spacing w:line="360" w:lineRule="auto"/>
        <w:ind w:firstLine="480" w:firstLineChars="200"/>
        <w:rPr>
          <w:rFonts w:eastAsia="宋体"/>
          <w:bCs/>
          <w:color w:val="000000" w:themeColor="text1"/>
          <w:lang w:val="en-US"/>
          <w14:textFill>
            <w14:solidFill>
              <w14:schemeClr w14:val="tx1"/>
            </w14:solidFill>
          </w14:textFill>
        </w:rPr>
      </w:pPr>
      <w:r>
        <w:rPr>
          <w:bCs/>
          <w:color w:val="000000" w:themeColor="text1"/>
          <w14:textFill>
            <w14:solidFill>
              <w14:schemeClr w14:val="tx1"/>
            </w14:solidFill>
          </w14:textFill>
        </w:rPr>
        <w:t>本项目在运营中产生的固体废物还有少量的生活垃圾，本项目劳动定员180人，人均生活垃圾产生量按0.5kg/人·d计算，则生活垃圾产生量约为90kg/d、27t/a。在站内办公生活区设垃圾箱，集中收集后，生活垃圾交由环卫部门统一清运。</w:t>
      </w:r>
      <w:r>
        <w:rPr>
          <w:rFonts w:hint="eastAsia" w:eastAsia="宋体"/>
          <w:bCs/>
          <w:color w:val="000000" w:themeColor="text1"/>
          <w14:textFill>
            <w14:solidFill>
              <w14:schemeClr w14:val="tx1"/>
            </w14:solidFill>
          </w14:textFill>
        </w:rPr>
        <w:t>固废排放量见表</w:t>
      </w:r>
      <w:r>
        <w:rPr>
          <w:rFonts w:hint="eastAsia" w:eastAsia="宋体"/>
          <w:bCs/>
          <w:color w:val="000000" w:themeColor="text1"/>
          <w:lang w:val="en-US"/>
          <w14:textFill>
            <w14:solidFill>
              <w14:schemeClr w14:val="tx1"/>
            </w14:solidFill>
          </w14:textFill>
        </w:rPr>
        <w:t>2.4-8。</w:t>
      </w:r>
    </w:p>
    <w:p>
      <w:pPr>
        <w:pStyle w:val="42"/>
        <w:shd w:val="clear" w:color="auto" w:fill="auto"/>
        <w:tabs>
          <w:tab w:val="left" w:pos="2573"/>
        </w:tabs>
        <w:spacing w:beforeLines="50" w:line="240" w:lineRule="auto"/>
        <w:ind w:firstLine="0"/>
        <w:jc w:val="center"/>
        <w:rPr>
          <w:rFonts w:ascii="Times New Roman" w:hAnsi="Times New Roman" w:eastAsia="黑体" w:cs="Times New Roman"/>
          <w:snapToGrid w:val="0"/>
          <w:color w:val="000000" w:themeColor="text1"/>
          <w:spacing w:val="0"/>
          <w:sz w:val="21"/>
          <w:szCs w:val="21"/>
          <w14:textFill>
            <w14:solidFill>
              <w14:schemeClr w14:val="tx1"/>
            </w14:solidFill>
          </w14:textFill>
        </w:rPr>
      </w:pPr>
      <w:r>
        <w:rPr>
          <w:rFonts w:hint="eastAsia" w:ascii="Times New Roman" w:hAnsi="Times New Roman" w:eastAsia="黑体" w:cs="Times New Roman"/>
          <w:snapToGrid w:val="0"/>
          <w:color w:val="000000" w:themeColor="text1"/>
          <w:spacing w:val="0"/>
          <w:sz w:val="21"/>
          <w:szCs w:val="21"/>
          <w14:textFill>
            <w14:solidFill>
              <w14:schemeClr w14:val="tx1"/>
            </w14:solidFill>
          </w14:textFill>
        </w:rPr>
        <w:t>表</w:t>
      </w:r>
      <w:r>
        <w:rPr>
          <w:rFonts w:hint="eastAsia" w:ascii="Times New Roman" w:hAnsi="Times New Roman" w:eastAsia="黑体" w:cs="Times New Roman"/>
          <w:snapToGrid w:val="0"/>
          <w:color w:val="000000" w:themeColor="text1"/>
          <w:spacing w:val="0"/>
          <w:sz w:val="21"/>
          <w:szCs w:val="21"/>
          <w:lang w:val="en-US"/>
          <w14:textFill>
            <w14:solidFill>
              <w14:schemeClr w14:val="tx1"/>
            </w14:solidFill>
          </w14:textFill>
        </w:rPr>
        <w:t>2.4</w:t>
      </w:r>
      <w:r>
        <w:rPr>
          <w:rFonts w:hint="eastAsia" w:ascii="Times New Roman" w:hAnsi="Times New Roman" w:eastAsia="黑体" w:cs="Times New Roman"/>
          <w:snapToGrid w:val="0"/>
          <w:color w:val="000000" w:themeColor="text1"/>
          <w:spacing w:val="0"/>
          <w:sz w:val="21"/>
          <w:szCs w:val="21"/>
          <w14:textFill>
            <w14:solidFill>
              <w14:schemeClr w14:val="tx1"/>
            </w14:solidFill>
          </w14:textFill>
        </w:rPr>
        <w:t>-</w:t>
      </w:r>
      <w:r>
        <w:rPr>
          <w:rFonts w:hint="eastAsia" w:ascii="Times New Roman" w:hAnsi="Times New Roman" w:eastAsia="黑体" w:cs="Times New Roman"/>
          <w:snapToGrid w:val="0"/>
          <w:color w:val="000000" w:themeColor="text1"/>
          <w:spacing w:val="0"/>
          <w:sz w:val="21"/>
          <w:szCs w:val="21"/>
          <w:lang w:val="en-US"/>
          <w14:textFill>
            <w14:solidFill>
              <w14:schemeClr w14:val="tx1"/>
            </w14:solidFill>
          </w14:textFill>
        </w:rPr>
        <w:t>8</w:t>
      </w:r>
      <w:r>
        <w:rPr>
          <w:rFonts w:hint="eastAsia" w:ascii="Times New Roman" w:hAnsi="Times New Roman" w:eastAsia="黑体" w:cs="Times New Roman"/>
          <w:snapToGrid w:val="0"/>
          <w:color w:val="000000" w:themeColor="text1"/>
          <w:spacing w:val="0"/>
          <w:sz w:val="21"/>
          <w:szCs w:val="21"/>
          <w14:textFill>
            <w14:solidFill>
              <w14:schemeClr w14:val="tx1"/>
            </w14:solidFill>
          </w14:textFill>
        </w:rPr>
        <w:t>固废排放一览表</w:t>
      </w:r>
    </w:p>
    <w:tbl>
      <w:tblPr>
        <w:tblStyle w:val="21"/>
        <w:tblW w:w="872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359"/>
        <w:gridCol w:w="2030"/>
        <w:gridCol w:w="1325"/>
        <w:gridCol w:w="1747"/>
        <w:gridCol w:w="15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3" w:type="dxa"/>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1359" w:type="dxa"/>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排放位置</w:t>
            </w:r>
          </w:p>
        </w:tc>
        <w:tc>
          <w:tcPr>
            <w:tcW w:w="2030" w:type="dxa"/>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组分</w:t>
            </w:r>
          </w:p>
        </w:tc>
        <w:tc>
          <w:tcPr>
            <w:tcW w:w="1325" w:type="dxa"/>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排出量</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c>
          <w:tcPr>
            <w:tcW w:w="1747" w:type="dxa"/>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属性</w:t>
            </w:r>
          </w:p>
        </w:tc>
        <w:tc>
          <w:tcPr>
            <w:tcW w:w="1507" w:type="dxa"/>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3" w:type="dxa"/>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hint="eastAsia" w:eastAsia="宋体"/>
                <w:color w:val="000000" w:themeColor="text1"/>
                <w:position w:val="0"/>
                <w:sz w:val="21"/>
                <w14:textFill>
                  <w14:solidFill>
                    <w14:schemeClr w14:val="tx1"/>
                  </w14:solidFill>
                </w14:textFill>
              </w:rPr>
              <w:t>1</w:t>
            </w:r>
          </w:p>
        </w:tc>
        <w:tc>
          <w:tcPr>
            <w:tcW w:w="1359" w:type="dxa"/>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收集烟粉尘</w:t>
            </w:r>
          </w:p>
        </w:tc>
        <w:tc>
          <w:tcPr>
            <w:tcW w:w="2030" w:type="dxa"/>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Al</w:t>
            </w:r>
            <w:r>
              <w:rPr>
                <w:rFonts w:eastAsia="宋体"/>
                <w:color w:val="000000" w:themeColor="text1"/>
                <w:position w:val="0"/>
                <w:sz w:val="21"/>
                <w:vertAlign w:val="subscript"/>
                <w14:textFill>
                  <w14:solidFill>
                    <w14:schemeClr w14:val="tx1"/>
                  </w14:solidFill>
                </w14:textFill>
              </w:rPr>
              <w:t>2</w:t>
            </w:r>
            <w:r>
              <w:rPr>
                <w:rFonts w:eastAsia="宋体"/>
                <w:color w:val="000000" w:themeColor="text1"/>
                <w:position w:val="0"/>
                <w:sz w:val="21"/>
                <w14:textFill>
                  <w14:solidFill>
                    <w14:schemeClr w14:val="tx1"/>
                  </w14:solidFill>
                </w14:textFill>
              </w:rPr>
              <w:t>O</w:t>
            </w:r>
            <w:r>
              <w:rPr>
                <w:rFonts w:eastAsia="宋体"/>
                <w:color w:val="000000" w:themeColor="text1"/>
                <w:position w:val="0"/>
                <w:sz w:val="21"/>
                <w:vertAlign w:val="subscript"/>
                <w14:textFill>
                  <w14:solidFill>
                    <w14:schemeClr w14:val="tx1"/>
                  </w14:solidFill>
                </w14:textFill>
              </w:rPr>
              <w:t>3</w:t>
            </w:r>
            <w:r>
              <w:rPr>
                <w:rFonts w:eastAsia="宋体"/>
                <w:color w:val="000000" w:themeColor="text1"/>
                <w:position w:val="0"/>
                <w:sz w:val="21"/>
                <w14:textFill>
                  <w14:solidFill>
                    <w14:schemeClr w14:val="tx1"/>
                  </w14:solidFill>
                </w14:textFill>
              </w:rPr>
              <w:t>、SiO</w:t>
            </w:r>
            <w:r>
              <w:rPr>
                <w:rFonts w:eastAsia="宋体"/>
                <w:color w:val="000000" w:themeColor="text1"/>
                <w:position w:val="0"/>
                <w:sz w:val="21"/>
                <w:vertAlign w:val="subscript"/>
                <w14:textFill>
                  <w14:solidFill>
                    <w14:schemeClr w14:val="tx1"/>
                  </w14:solidFill>
                </w14:textFill>
              </w:rPr>
              <w:t>2</w:t>
            </w:r>
            <w:r>
              <w:rPr>
                <w:rFonts w:eastAsia="宋体"/>
                <w:color w:val="000000" w:themeColor="text1"/>
                <w:position w:val="0"/>
                <w:sz w:val="21"/>
                <w14:textFill>
                  <w14:solidFill>
                    <w14:schemeClr w14:val="tx1"/>
                  </w14:solidFill>
                </w14:textFill>
              </w:rPr>
              <w:t>、MgO、CaSO</w:t>
            </w:r>
            <w:r>
              <w:rPr>
                <w:rFonts w:eastAsia="宋体"/>
                <w:color w:val="000000" w:themeColor="text1"/>
                <w:position w:val="0"/>
                <w:sz w:val="21"/>
                <w:vertAlign w:val="subscript"/>
                <w14:textFill>
                  <w14:solidFill>
                    <w14:schemeClr w14:val="tx1"/>
                  </w14:solidFill>
                </w14:textFill>
              </w:rPr>
              <w:t>4</w:t>
            </w:r>
            <w:r>
              <w:rPr>
                <w:rFonts w:eastAsia="宋体"/>
                <w:color w:val="000000" w:themeColor="text1"/>
                <w:position w:val="0"/>
                <w:sz w:val="21"/>
                <w14:textFill>
                  <w14:solidFill>
                    <w14:schemeClr w14:val="tx1"/>
                  </w14:solidFill>
                </w14:textFill>
              </w:rPr>
              <w:t>、Fe</w:t>
            </w:r>
            <w:r>
              <w:rPr>
                <w:rFonts w:eastAsia="宋体"/>
                <w:color w:val="000000" w:themeColor="text1"/>
                <w:position w:val="0"/>
                <w:sz w:val="21"/>
                <w:vertAlign w:val="subscript"/>
                <w14:textFill>
                  <w14:solidFill>
                    <w14:schemeClr w14:val="tx1"/>
                  </w14:solidFill>
                </w14:textFill>
              </w:rPr>
              <w:t>2</w:t>
            </w:r>
            <w:r>
              <w:rPr>
                <w:rFonts w:eastAsia="宋体"/>
                <w:color w:val="000000" w:themeColor="text1"/>
                <w:position w:val="0"/>
                <w:sz w:val="21"/>
                <w14:textFill>
                  <w14:solidFill>
                    <w14:schemeClr w14:val="tx1"/>
                  </w14:solidFill>
                </w14:textFill>
              </w:rPr>
              <w:t>O</w:t>
            </w:r>
            <w:r>
              <w:rPr>
                <w:rFonts w:eastAsia="宋体"/>
                <w:color w:val="000000" w:themeColor="text1"/>
                <w:position w:val="0"/>
                <w:sz w:val="21"/>
                <w:vertAlign w:val="subscript"/>
                <w14:textFill>
                  <w14:solidFill>
                    <w14:schemeClr w14:val="tx1"/>
                  </w14:solidFill>
                </w14:textFill>
              </w:rPr>
              <w:t>3、</w:t>
            </w:r>
            <w:r>
              <w:rPr>
                <w:rFonts w:eastAsia="宋体"/>
                <w:color w:val="000000" w:themeColor="text1"/>
                <w:position w:val="0"/>
                <w:sz w:val="21"/>
                <w14:textFill>
                  <w14:solidFill>
                    <w14:schemeClr w14:val="tx1"/>
                  </w14:solidFill>
                </w14:textFill>
              </w:rPr>
              <w:t>PM</w:t>
            </w:r>
            <w:r>
              <w:rPr>
                <w:rFonts w:eastAsia="宋体"/>
                <w:color w:val="000000" w:themeColor="text1"/>
                <w:position w:val="0"/>
                <w:sz w:val="21"/>
                <w:vertAlign w:val="subscript"/>
                <w14:textFill>
                  <w14:solidFill>
                    <w14:schemeClr w14:val="tx1"/>
                  </w14:solidFill>
                </w14:textFill>
              </w:rPr>
              <w:t>10</w:t>
            </w:r>
          </w:p>
        </w:tc>
        <w:tc>
          <w:tcPr>
            <w:tcW w:w="1325" w:type="dxa"/>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69821.25</w:t>
            </w:r>
          </w:p>
        </w:tc>
        <w:tc>
          <w:tcPr>
            <w:tcW w:w="1747" w:type="dxa"/>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一般固体废物</w:t>
            </w:r>
          </w:p>
        </w:tc>
        <w:tc>
          <w:tcPr>
            <w:tcW w:w="1507" w:type="dxa"/>
            <w:vMerge w:val="restart"/>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eastAsia="宋体"/>
                <w:color w:val="000000" w:themeColor="text1"/>
                <w:position w:val="0"/>
                <w:sz w:val="21"/>
                <w:lang w:val="en-US"/>
                <w14:textFill>
                  <w14:solidFill>
                    <w14:schemeClr w14:val="tx1"/>
                  </w14:solidFill>
                </w14:textFill>
              </w:rPr>
              <w:t>贮灰仓暂存，</w:t>
            </w:r>
            <w:r>
              <w:rPr>
                <w:rFonts w:eastAsia="宋体"/>
                <w:color w:val="000000" w:themeColor="text1"/>
                <w:position w:val="0"/>
                <w:sz w:val="21"/>
                <w14:textFill>
                  <w14:solidFill>
                    <w14:schemeClr w14:val="tx1"/>
                  </w14:solidFill>
                </w14:textFill>
              </w:rPr>
              <w:t>用作建筑材料外售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3" w:type="dxa"/>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hint="eastAsia" w:eastAsia="宋体"/>
                <w:color w:val="000000" w:themeColor="text1"/>
                <w:position w:val="0"/>
                <w:sz w:val="21"/>
                <w14:textFill>
                  <w14:solidFill>
                    <w14:schemeClr w14:val="tx1"/>
                  </w14:solidFill>
                </w14:textFill>
              </w:rPr>
              <w:t>2</w:t>
            </w:r>
          </w:p>
        </w:tc>
        <w:tc>
          <w:tcPr>
            <w:tcW w:w="1359" w:type="dxa"/>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脱硫灰</w:t>
            </w:r>
          </w:p>
        </w:tc>
        <w:tc>
          <w:tcPr>
            <w:tcW w:w="2030" w:type="dxa"/>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CaSO</w:t>
            </w:r>
            <w:r>
              <w:rPr>
                <w:rFonts w:eastAsia="宋体"/>
                <w:color w:val="000000" w:themeColor="text1"/>
                <w:position w:val="0"/>
                <w:sz w:val="21"/>
                <w:vertAlign w:val="subscript"/>
                <w14:textFill>
                  <w14:solidFill>
                    <w14:schemeClr w14:val="tx1"/>
                  </w14:solidFill>
                </w14:textFill>
              </w:rPr>
              <w:t>4</w:t>
            </w:r>
            <w:r>
              <w:rPr>
                <w:rFonts w:eastAsia="宋体"/>
                <w:color w:val="000000" w:themeColor="text1"/>
                <w:position w:val="0"/>
                <w:sz w:val="21"/>
                <w14:textFill>
                  <w14:solidFill>
                    <w14:schemeClr w14:val="tx1"/>
                  </w14:solidFill>
                </w14:textFill>
              </w:rPr>
              <w:t>、CaSO</w:t>
            </w:r>
            <w:r>
              <w:rPr>
                <w:rFonts w:eastAsia="宋体"/>
                <w:color w:val="000000" w:themeColor="text1"/>
                <w:position w:val="0"/>
                <w:sz w:val="21"/>
                <w:vertAlign w:val="subscript"/>
                <w14:textFill>
                  <w14:solidFill>
                    <w14:schemeClr w14:val="tx1"/>
                  </w14:solidFill>
                </w14:textFill>
              </w:rPr>
              <w:t>3</w:t>
            </w:r>
          </w:p>
        </w:tc>
        <w:tc>
          <w:tcPr>
            <w:tcW w:w="1325" w:type="dxa"/>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12313</w:t>
            </w:r>
          </w:p>
        </w:tc>
        <w:tc>
          <w:tcPr>
            <w:tcW w:w="1747" w:type="dxa"/>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一般固体废物</w:t>
            </w:r>
          </w:p>
        </w:tc>
        <w:tc>
          <w:tcPr>
            <w:tcW w:w="1507" w:type="dxa"/>
            <w:vMerge w:val="continue"/>
            <w:noWrap/>
            <w:vAlign w:val="center"/>
          </w:tcPr>
          <w:p>
            <w:pPr>
              <w:pStyle w:val="152"/>
              <w:adjustRightInd/>
              <w:snapToGrid w:val="0"/>
              <w:rPr>
                <w:rFonts w:eastAsia="宋体"/>
                <w:color w:val="000000" w:themeColor="text1"/>
                <w:position w:val="0"/>
                <w:sz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3" w:type="dxa"/>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hint="eastAsia" w:eastAsia="宋体"/>
                <w:color w:val="000000" w:themeColor="text1"/>
                <w:position w:val="0"/>
                <w:sz w:val="21"/>
                <w14:textFill>
                  <w14:solidFill>
                    <w14:schemeClr w14:val="tx1"/>
                  </w14:solidFill>
                </w14:textFill>
              </w:rPr>
              <w:t>3</w:t>
            </w:r>
          </w:p>
        </w:tc>
        <w:tc>
          <w:tcPr>
            <w:tcW w:w="1359" w:type="dxa"/>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生活垃圾</w:t>
            </w:r>
          </w:p>
        </w:tc>
        <w:tc>
          <w:tcPr>
            <w:tcW w:w="2030" w:type="dxa"/>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w:t>
            </w:r>
          </w:p>
        </w:tc>
        <w:tc>
          <w:tcPr>
            <w:tcW w:w="1325" w:type="dxa"/>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27</w:t>
            </w:r>
          </w:p>
        </w:tc>
        <w:tc>
          <w:tcPr>
            <w:tcW w:w="1747" w:type="dxa"/>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w:t>
            </w:r>
          </w:p>
        </w:tc>
        <w:tc>
          <w:tcPr>
            <w:tcW w:w="1507" w:type="dxa"/>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环卫部门定期清运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142" w:type="dxa"/>
            <w:gridSpan w:val="3"/>
            <w:noWrap/>
            <w:vAlign w:val="center"/>
          </w:tcPr>
          <w:p>
            <w:pPr>
              <w:pStyle w:val="152"/>
              <w:adjustRightInd/>
              <w:snapToGrid w:val="0"/>
              <w:rPr>
                <w:rFonts w:eastAsia="宋体"/>
                <w:color w:val="000000" w:themeColor="text1"/>
                <w:position w:val="0"/>
                <w:sz w:val="21"/>
                <w14:textFill>
                  <w14:solidFill>
                    <w14:schemeClr w14:val="tx1"/>
                  </w14:solidFill>
                </w14:textFill>
              </w:rPr>
            </w:pPr>
            <w:r>
              <w:rPr>
                <w:rFonts w:eastAsia="宋体"/>
                <w:color w:val="000000" w:themeColor="text1"/>
                <w:position w:val="0"/>
                <w:sz w:val="21"/>
                <w14:textFill>
                  <w14:solidFill>
                    <w14:schemeClr w14:val="tx1"/>
                  </w14:solidFill>
                </w14:textFill>
              </w:rPr>
              <w:t>合计</w:t>
            </w:r>
          </w:p>
        </w:tc>
        <w:tc>
          <w:tcPr>
            <w:tcW w:w="1325" w:type="dxa"/>
            <w:noWrap/>
            <w:vAlign w:val="center"/>
          </w:tcPr>
          <w:p>
            <w:pPr>
              <w:pStyle w:val="152"/>
              <w:shd w:val="clear" w:color="auto" w:fill="auto"/>
              <w:adjustRightInd/>
              <w:snapToGrid w:val="0"/>
              <w:rPr>
                <w:rFonts w:eastAsia="宋体"/>
                <w:color w:val="000000" w:themeColor="text1"/>
                <w:position w:val="0"/>
                <w:sz w:val="21"/>
                <w14:textFill>
                  <w14:solidFill>
                    <w14:schemeClr w14:val="tx1"/>
                  </w14:solidFill>
                </w14:textFill>
              </w:rPr>
            </w:pPr>
            <w:r>
              <w:rPr>
                <w:rFonts w:hint="eastAsia" w:eastAsia="宋体"/>
                <w:color w:val="000000" w:themeColor="text1"/>
                <w:position w:val="0"/>
                <w:sz w:val="21"/>
                <w14:textFill>
                  <w14:solidFill>
                    <w14:schemeClr w14:val="tx1"/>
                  </w14:solidFill>
                </w14:textFill>
              </w:rPr>
              <w:t>82161.25</w:t>
            </w:r>
          </w:p>
        </w:tc>
        <w:tc>
          <w:tcPr>
            <w:tcW w:w="1747" w:type="dxa"/>
            <w:noWrap/>
            <w:vAlign w:val="center"/>
          </w:tcPr>
          <w:p>
            <w:pPr>
              <w:pStyle w:val="152"/>
              <w:shd w:val="clear" w:color="auto" w:fill="auto"/>
              <w:adjustRightInd/>
              <w:snapToGrid w:val="0"/>
              <w:rPr>
                <w:rFonts w:eastAsia="宋体"/>
                <w:color w:val="000000" w:themeColor="text1"/>
                <w:position w:val="0"/>
                <w:sz w:val="21"/>
                <w14:textFill>
                  <w14:solidFill>
                    <w14:schemeClr w14:val="tx1"/>
                  </w14:solidFill>
                </w14:textFill>
              </w:rPr>
            </w:pPr>
          </w:p>
        </w:tc>
        <w:tc>
          <w:tcPr>
            <w:tcW w:w="1507" w:type="dxa"/>
            <w:noWrap/>
            <w:vAlign w:val="center"/>
          </w:tcPr>
          <w:p>
            <w:pPr>
              <w:pStyle w:val="152"/>
              <w:adjustRightInd/>
              <w:snapToGrid w:val="0"/>
              <w:rPr>
                <w:rFonts w:eastAsia="宋体"/>
                <w:color w:val="000000" w:themeColor="text1"/>
                <w:position w:val="0"/>
                <w:sz w:val="21"/>
                <w14:textFill>
                  <w14:solidFill>
                    <w14:schemeClr w14:val="tx1"/>
                  </w14:solidFill>
                </w14:textFill>
              </w:rPr>
            </w:pPr>
          </w:p>
        </w:tc>
      </w:tr>
    </w:tbl>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2.4.4</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噪声</w:t>
      </w:r>
    </w:p>
    <w:p>
      <w:pPr>
        <w:pStyle w:val="33"/>
        <w:keepNext w:val="0"/>
        <w:keepLines w:val="0"/>
        <w:pageBreakBefore w:val="0"/>
        <w:widowControl w:val="0"/>
        <w:shd w:val="clear" w:color="auto" w:fill="auto"/>
        <w:tabs>
          <w:tab w:val="left" w:pos="2785"/>
        </w:tabs>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color w:val="000000" w:themeColor="text1"/>
          <w:w w:val="100"/>
          <w:position w:val="0"/>
          <w:lang w:val="zh-CN"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经类比调查分析，本工程主要设备噪声源及噪声值，见表</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4</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9</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w:t>
      </w:r>
      <w:r>
        <w:rPr>
          <w:rFonts w:hint="eastAsia" w:ascii="宋体" w:hAnsi="宋体" w:eastAsia="宋体" w:cs="宋体"/>
          <w:color w:val="000000" w:themeColor="text1"/>
          <w:w w:val="100"/>
          <w:position w:val="0"/>
          <w:lang w:val="zh-CN" w:eastAsia="zh-CN" w:bidi="zh-CN"/>
          <w14:textFill>
            <w14:solidFill>
              <w14:schemeClr w14:val="tx1"/>
            </w14:solidFill>
          </w14:textFill>
        </w:rPr>
        <w:t xml:space="preserve"> </w:t>
      </w:r>
    </w:p>
    <w:p>
      <w:pPr>
        <w:pStyle w:val="42"/>
        <w:keepNext w:val="0"/>
        <w:keepLines w:val="0"/>
        <w:pageBreakBefore w:val="0"/>
        <w:widowControl w:val="0"/>
        <w:shd w:val="clear" w:color="auto" w:fill="auto"/>
        <w:tabs>
          <w:tab w:val="left" w:pos="2573"/>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表2.</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zh-CN" w:bidi="zh-CN"/>
          <w14:textFill>
            <w14:solidFill>
              <w14:schemeClr w14:val="tx1"/>
            </w14:solidFill>
          </w14:textFill>
        </w:rPr>
        <w:t>4</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zh-CN" w:bidi="zh-CN"/>
          <w14:textFill>
            <w14:solidFill>
              <w14:schemeClr w14:val="tx1"/>
            </w14:solidFill>
          </w14:textFill>
        </w:rPr>
        <w:t>9</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ab/>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本工程主要设备噪声源情况</w:t>
      </w:r>
    </w:p>
    <w:tbl>
      <w:tblPr>
        <w:tblStyle w:val="21"/>
        <w:tblW w:w="8525" w:type="dxa"/>
        <w:jc w:val="center"/>
        <w:tblInd w:w="0" w:type="dxa"/>
        <w:tblLayout w:type="fixed"/>
        <w:tblCellMar>
          <w:top w:w="0" w:type="dxa"/>
          <w:left w:w="10" w:type="dxa"/>
          <w:bottom w:w="0" w:type="dxa"/>
          <w:right w:w="10" w:type="dxa"/>
        </w:tblCellMar>
      </w:tblPr>
      <w:tblGrid>
        <w:gridCol w:w="2855"/>
        <w:gridCol w:w="2837"/>
        <w:gridCol w:w="2833"/>
      </w:tblGrid>
      <w:tr>
        <w:tblPrEx>
          <w:tblLayout w:type="fixed"/>
          <w:tblCellMar>
            <w:top w:w="0" w:type="dxa"/>
            <w:left w:w="10" w:type="dxa"/>
            <w:bottom w:w="0" w:type="dxa"/>
            <w:right w:w="10" w:type="dxa"/>
          </w:tblCellMar>
        </w:tblPrEx>
        <w:trPr>
          <w:trHeight w:val="365" w:hRule="exact"/>
          <w:jc w:val="center"/>
        </w:trPr>
        <w:tc>
          <w:tcPr>
            <w:tcW w:w="2855"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设备名称</w:t>
            </w:r>
          </w:p>
        </w:tc>
        <w:tc>
          <w:tcPr>
            <w:tcW w:w="2837"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设备数量(台、套)</w:t>
            </w:r>
          </w:p>
        </w:tc>
        <w:tc>
          <w:tcPr>
            <w:tcW w:w="2833" w:type="dxa"/>
            <w:tcBorders>
              <w:top w:val="single" w:color="auto" w:sz="4" w:space="0"/>
              <w:left w:val="single" w:color="auto" w:sz="4" w:space="0"/>
              <w:righ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噪声值</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dB (A)</w:t>
            </w:r>
          </w:p>
        </w:tc>
      </w:tr>
      <w:tr>
        <w:tblPrEx>
          <w:tblLayout w:type="fixed"/>
          <w:tblCellMar>
            <w:top w:w="0" w:type="dxa"/>
            <w:left w:w="10" w:type="dxa"/>
            <w:bottom w:w="0" w:type="dxa"/>
            <w:right w:w="10" w:type="dxa"/>
          </w:tblCellMar>
        </w:tblPrEx>
        <w:trPr>
          <w:trHeight w:val="394" w:hRule="exact"/>
          <w:jc w:val="center"/>
        </w:trPr>
        <w:tc>
          <w:tcPr>
            <w:tcW w:w="285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锅炉对空排汽</w:t>
            </w:r>
          </w:p>
        </w:tc>
        <w:tc>
          <w:tcPr>
            <w:tcW w:w="283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283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140</w:t>
            </w:r>
          </w:p>
        </w:tc>
      </w:tr>
      <w:tr>
        <w:tblPrEx>
          <w:tblLayout w:type="fixed"/>
          <w:tblCellMar>
            <w:top w:w="0" w:type="dxa"/>
            <w:left w:w="10" w:type="dxa"/>
            <w:bottom w:w="0" w:type="dxa"/>
            <w:right w:w="10" w:type="dxa"/>
          </w:tblCellMar>
        </w:tblPrEx>
        <w:trPr>
          <w:trHeight w:val="394" w:hRule="exact"/>
          <w:jc w:val="center"/>
        </w:trPr>
        <w:tc>
          <w:tcPr>
            <w:tcW w:w="285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汽轮发电机</w:t>
            </w:r>
          </w:p>
        </w:tc>
        <w:tc>
          <w:tcPr>
            <w:tcW w:w="283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283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95-98</w:t>
            </w:r>
          </w:p>
        </w:tc>
      </w:tr>
      <w:tr>
        <w:tblPrEx>
          <w:tblLayout w:type="fixed"/>
          <w:tblCellMar>
            <w:top w:w="0" w:type="dxa"/>
            <w:left w:w="10" w:type="dxa"/>
            <w:bottom w:w="0" w:type="dxa"/>
            <w:right w:w="10" w:type="dxa"/>
          </w:tblCellMar>
        </w:tblPrEx>
        <w:trPr>
          <w:trHeight w:val="394" w:hRule="exact"/>
          <w:jc w:val="center"/>
        </w:trPr>
        <w:tc>
          <w:tcPr>
            <w:tcW w:w="285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锅炉</w:t>
            </w:r>
          </w:p>
        </w:tc>
        <w:tc>
          <w:tcPr>
            <w:tcW w:w="283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283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82-85</w:t>
            </w:r>
          </w:p>
        </w:tc>
      </w:tr>
      <w:tr>
        <w:tblPrEx>
          <w:tblLayout w:type="fixed"/>
          <w:tblCellMar>
            <w:top w:w="0" w:type="dxa"/>
            <w:left w:w="10" w:type="dxa"/>
            <w:bottom w:w="0" w:type="dxa"/>
            <w:right w:w="10" w:type="dxa"/>
          </w:tblCellMar>
        </w:tblPrEx>
        <w:trPr>
          <w:trHeight w:val="394" w:hRule="exact"/>
          <w:jc w:val="center"/>
        </w:trPr>
        <w:tc>
          <w:tcPr>
            <w:tcW w:w="285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引风机</w:t>
            </w:r>
          </w:p>
        </w:tc>
        <w:tc>
          <w:tcPr>
            <w:tcW w:w="283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283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90-95</w:t>
            </w:r>
          </w:p>
        </w:tc>
      </w:tr>
      <w:tr>
        <w:tblPrEx>
          <w:tblLayout w:type="fixed"/>
          <w:tblCellMar>
            <w:top w:w="0" w:type="dxa"/>
            <w:left w:w="10" w:type="dxa"/>
            <w:bottom w:w="0" w:type="dxa"/>
            <w:right w:w="10" w:type="dxa"/>
          </w:tblCellMar>
        </w:tblPrEx>
        <w:trPr>
          <w:trHeight w:val="394" w:hRule="exact"/>
          <w:jc w:val="center"/>
        </w:trPr>
        <w:tc>
          <w:tcPr>
            <w:tcW w:w="285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送风机</w:t>
            </w:r>
          </w:p>
        </w:tc>
        <w:tc>
          <w:tcPr>
            <w:tcW w:w="283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283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92-95</w:t>
            </w:r>
          </w:p>
        </w:tc>
      </w:tr>
      <w:tr>
        <w:tblPrEx>
          <w:tblLayout w:type="fixed"/>
          <w:tblCellMar>
            <w:top w:w="0" w:type="dxa"/>
            <w:left w:w="10" w:type="dxa"/>
            <w:bottom w:w="0" w:type="dxa"/>
            <w:right w:w="10" w:type="dxa"/>
          </w:tblCellMar>
        </w:tblPrEx>
        <w:trPr>
          <w:trHeight w:val="389" w:hRule="exact"/>
          <w:jc w:val="center"/>
        </w:trPr>
        <w:tc>
          <w:tcPr>
            <w:tcW w:w="285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给水泵</w:t>
            </w:r>
          </w:p>
        </w:tc>
        <w:tc>
          <w:tcPr>
            <w:tcW w:w="283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w:t>
            </w:r>
          </w:p>
        </w:tc>
        <w:tc>
          <w:tcPr>
            <w:tcW w:w="283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85-90</w:t>
            </w:r>
          </w:p>
        </w:tc>
      </w:tr>
      <w:tr>
        <w:tblPrEx>
          <w:tblLayout w:type="fixed"/>
          <w:tblCellMar>
            <w:top w:w="0" w:type="dxa"/>
            <w:left w:w="10" w:type="dxa"/>
            <w:bottom w:w="0" w:type="dxa"/>
            <w:right w:w="10" w:type="dxa"/>
          </w:tblCellMar>
        </w:tblPrEx>
        <w:trPr>
          <w:trHeight w:val="394" w:hRule="exact"/>
          <w:jc w:val="center"/>
        </w:trPr>
        <w:tc>
          <w:tcPr>
            <w:tcW w:w="285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脱硫增压风机</w:t>
            </w:r>
          </w:p>
        </w:tc>
        <w:tc>
          <w:tcPr>
            <w:tcW w:w="283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283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90</w:t>
            </w:r>
          </w:p>
        </w:tc>
      </w:tr>
      <w:tr>
        <w:tblPrEx>
          <w:tblLayout w:type="fixed"/>
          <w:tblCellMar>
            <w:top w:w="0" w:type="dxa"/>
            <w:left w:w="10" w:type="dxa"/>
            <w:bottom w:w="0" w:type="dxa"/>
            <w:right w:w="10" w:type="dxa"/>
          </w:tblCellMar>
        </w:tblPrEx>
        <w:trPr>
          <w:trHeight w:val="394" w:hRule="exact"/>
          <w:jc w:val="center"/>
        </w:trPr>
        <w:tc>
          <w:tcPr>
            <w:tcW w:w="285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氧化风机</w:t>
            </w:r>
          </w:p>
        </w:tc>
        <w:tc>
          <w:tcPr>
            <w:tcW w:w="283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283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85</w:t>
            </w:r>
          </w:p>
        </w:tc>
      </w:tr>
      <w:tr>
        <w:tblPrEx>
          <w:tblLayout w:type="fixed"/>
          <w:tblCellMar>
            <w:top w:w="0" w:type="dxa"/>
            <w:left w:w="10" w:type="dxa"/>
            <w:bottom w:w="0" w:type="dxa"/>
            <w:right w:w="10" w:type="dxa"/>
          </w:tblCellMar>
        </w:tblPrEx>
        <w:trPr>
          <w:trHeight w:val="394" w:hRule="exact"/>
          <w:jc w:val="center"/>
        </w:trPr>
        <w:tc>
          <w:tcPr>
            <w:tcW w:w="285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空压机</w:t>
            </w:r>
          </w:p>
        </w:tc>
        <w:tc>
          <w:tcPr>
            <w:tcW w:w="283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283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85</w:t>
            </w:r>
          </w:p>
        </w:tc>
      </w:tr>
      <w:tr>
        <w:tblPrEx>
          <w:tblLayout w:type="fixed"/>
          <w:tblCellMar>
            <w:top w:w="0" w:type="dxa"/>
            <w:left w:w="10" w:type="dxa"/>
            <w:bottom w:w="0" w:type="dxa"/>
            <w:right w:w="10" w:type="dxa"/>
          </w:tblCellMar>
        </w:tblPrEx>
        <w:trPr>
          <w:trHeight w:val="394" w:hRule="exact"/>
          <w:jc w:val="center"/>
        </w:trPr>
        <w:tc>
          <w:tcPr>
            <w:tcW w:w="285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辅机循环冷却塔</w:t>
            </w:r>
          </w:p>
        </w:tc>
        <w:tc>
          <w:tcPr>
            <w:tcW w:w="283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283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85</w:t>
            </w:r>
          </w:p>
        </w:tc>
      </w:tr>
      <w:tr>
        <w:tblPrEx>
          <w:tblLayout w:type="fixed"/>
          <w:tblCellMar>
            <w:top w:w="0" w:type="dxa"/>
            <w:left w:w="10" w:type="dxa"/>
            <w:bottom w:w="0" w:type="dxa"/>
            <w:right w:w="10" w:type="dxa"/>
          </w:tblCellMar>
        </w:tblPrEx>
        <w:trPr>
          <w:trHeight w:val="432" w:hRule="exact"/>
          <w:jc w:val="center"/>
        </w:trPr>
        <w:tc>
          <w:tcPr>
            <w:tcW w:w="2855"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浆泵及其他泵类</w:t>
            </w:r>
          </w:p>
        </w:tc>
        <w:tc>
          <w:tcPr>
            <w:tcW w:w="2837"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w:t>
            </w:r>
          </w:p>
        </w:tc>
        <w:tc>
          <w:tcPr>
            <w:tcW w:w="283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85</w:t>
            </w:r>
          </w:p>
        </w:tc>
      </w:tr>
    </w:tbl>
    <w:p>
      <w:pPr>
        <w:pStyle w:val="33"/>
        <w:keepNext w:val="0"/>
        <w:keepLines w:val="0"/>
        <w:pageBreakBefore w:val="0"/>
        <w:widowControl w:val="0"/>
        <w:shd w:val="clear" w:color="auto" w:fill="auto"/>
        <w:kinsoku/>
        <w:wordWrap/>
        <w:overflowPunct/>
        <w:topLinePunct w:val="0"/>
        <w:autoSpaceDE/>
        <w:autoSpaceDN/>
        <w:bidi w:val="0"/>
        <w:adjustRightInd/>
        <w:snapToGrid/>
        <w:spacing w:before="361" w:beforeLines="10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86" w:name="_Toc23830"/>
      <w:r>
        <w:rPr>
          <w:rFonts w:hint="eastAsia" w:ascii="Times New Roman" w:hAnsi="Times New Roman" w:eastAsia="宋体" w:cs="Times New Roman"/>
          <w:b/>
          <w:bCs/>
          <w:color w:val="000000" w:themeColor="text1"/>
          <w:spacing w:val="0"/>
          <w:w w:val="100"/>
          <w:position w:val="0"/>
          <w:sz w:val="28"/>
          <w:szCs w:val="28"/>
          <w:u w:val="none"/>
          <w:lang w:val="en-US" w:eastAsia="zh-CN" w:bidi="zh-CN"/>
          <w14:textFill>
            <w14:solidFill>
              <w14:schemeClr w14:val="tx1"/>
            </w14:solidFill>
          </w14:textFill>
        </w:rPr>
        <w:t>2.4.5</w:t>
      </w: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本项目污染物排放</w:t>
      </w:r>
      <w:bookmarkEnd w:id="86"/>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情况汇总</w:t>
      </w:r>
    </w:p>
    <w:p>
      <w:pPr>
        <w:spacing w:line="360" w:lineRule="auto"/>
        <w:ind w:firstLine="480" w:firstLineChars="200"/>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根据以上对生产工艺以及治理方案的分析，本项目主要污染源污染物的排放情况表</w:t>
      </w:r>
      <w:r>
        <w:rPr>
          <w:rFonts w:hint="eastAsia"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2.4-10</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t>。</w:t>
      </w:r>
    </w:p>
    <w:p>
      <w:pPr>
        <w:pStyle w:val="42"/>
        <w:keepNext w:val="0"/>
        <w:keepLines w:val="0"/>
        <w:pageBreakBefore w:val="0"/>
        <w:widowControl w:val="0"/>
        <w:shd w:val="clear" w:color="auto" w:fill="auto"/>
        <w:tabs>
          <w:tab w:val="left" w:pos="2573"/>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zh-CN" w:bidi="zh-CN"/>
          <w14:textFill>
            <w14:solidFill>
              <w14:schemeClr w14:val="tx1"/>
            </w14:solidFill>
          </w14:textFill>
        </w:rPr>
        <w:t>2.4-10</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本项目污染物产生及排放统计表      单位：t/a</w:t>
      </w:r>
    </w:p>
    <w:tbl>
      <w:tblPr>
        <w:tblStyle w:val="21"/>
        <w:tblW w:w="847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620"/>
        <w:gridCol w:w="995"/>
        <w:gridCol w:w="1442"/>
        <w:gridCol w:w="3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类型</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排放源</w:t>
            </w:r>
          </w:p>
        </w:tc>
        <w:tc>
          <w:tcPr>
            <w:tcW w:w="99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排放量</w:t>
            </w:r>
          </w:p>
        </w:tc>
        <w:tc>
          <w:tcPr>
            <w:tcW w:w="365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w:t>
            </w:r>
          </w:p>
        </w:tc>
        <w:tc>
          <w:tcPr>
            <w:tcW w:w="1620"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锅炉烟气</w:t>
            </w:r>
          </w:p>
        </w:tc>
        <w:tc>
          <w:tcPr>
            <w:tcW w:w="99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烟尘</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13.97</w:t>
            </w:r>
          </w:p>
        </w:tc>
        <w:tc>
          <w:tcPr>
            <w:tcW w:w="3659"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炉内喷钙脱硫+SNCR法脱硝+炉外烟气循环流化床干法脱硫除尘一体化工艺脱硫和布袋除尘器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20"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9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109.22</w:t>
            </w:r>
          </w:p>
        </w:tc>
        <w:tc>
          <w:tcPr>
            <w:tcW w:w="3659"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20"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9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154.02</w:t>
            </w:r>
          </w:p>
        </w:tc>
        <w:tc>
          <w:tcPr>
            <w:tcW w:w="3659"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灰仓</w:t>
            </w:r>
          </w:p>
        </w:tc>
        <w:tc>
          <w:tcPr>
            <w:tcW w:w="995" w:type="dxa"/>
            <w:noWrap w:val="0"/>
            <w:vAlign w:val="center"/>
          </w:tcPr>
          <w:p>
            <w:pPr>
              <w:pStyle w:val="1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粉尘</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0.0035</w:t>
            </w:r>
          </w:p>
        </w:tc>
        <w:tc>
          <w:tcPr>
            <w:tcW w:w="3659" w:type="dxa"/>
            <w:noWrap w:val="0"/>
            <w:vAlign w:val="center"/>
          </w:tcPr>
          <w:p>
            <w:pPr>
              <w:pStyle w:val="152"/>
              <w:keepNext w:val="0"/>
              <w:keepLines w:val="0"/>
              <w:pageBreakBefore w:val="0"/>
              <w:widowControl w:val="0"/>
              <w:kinsoku/>
              <w:wordWrap/>
              <w:overflowPunct/>
              <w:topLinePunct w:val="0"/>
              <w:autoSpaceDE/>
              <w:autoSpaceDN/>
              <w:bidi w:val="0"/>
              <w:adjustRightInd/>
              <w:snapToGrid/>
              <w:ind w:left="-36" w:leftChars="-15" w:right="-36" w:rightChars="-15"/>
              <w:textAlignment w:val="auto"/>
              <w:rPr>
                <w:rFonts w:hint="default" w:ascii="Times New Roman" w:hAnsi="Times New Roman" w:eastAsia="宋体" w:cs="Times New Roman"/>
                <w:color w:val="000000" w:themeColor="text1"/>
                <w:position w:val="0"/>
                <w:sz w:val="21"/>
                <w:szCs w:val="21"/>
                <w14:textFill>
                  <w14:solidFill>
                    <w14:schemeClr w14:val="tx1"/>
                  </w14:solidFill>
                </w14:textFill>
              </w:rPr>
            </w:pPr>
            <w:r>
              <w:rPr>
                <w:rFonts w:hint="default" w:ascii="Times New Roman" w:hAnsi="Times New Roman" w:eastAsia="宋体" w:cs="Times New Roman"/>
                <w:color w:val="000000" w:themeColor="text1"/>
                <w:position w:val="0"/>
                <w:sz w:val="21"/>
                <w:szCs w:val="21"/>
                <w:lang w:eastAsia="zh-CN"/>
                <w14:textFill>
                  <w14:solidFill>
                    <w14:schemeClr w14:val="tx1"/>
                  </w14:solidFill>
                </w14:textFill>
              </w:rPr>
              <w:t>建全</w:t>
            </w:r>
            <w:r>
              <w:rPr>
                <w:rFonts w:hint="default" w:ascii="Times New Roman" w:hAnsi="Times New Roman" w:eastAsia="宋体" w:cs="Times New Roman"/>
                <w:color w:val="000000" w:themeColor="text1"/>
                <w:position w:val="0"/>
                <w:sz w:val="21"/>
                <w:szCs w:val="21"/>
                <w14:textFill>
                  <w14:solidFill>
                    <w14:schemeClr w14:val="tx1"/>
                  </w14:solidFill>
                </w14:textFill>
              </w:rPr>
              <w:t>封闭</w:t>
            </w:r>
            <w:r>
              <w:rPr>
                <w:rFonts w:hint="default" w:ascii="Times New Roman" w:hAnsi="Times New Roman" w:eastAsia="宋体" w:cs="Times New Roman"/>
                <w:color w:val="000000" w:themeColor="text1"/>
                <w:position w:val="0"/>
                <w:sz w:val="21"/>
                <w:szCs w:val="21"/>
                <w:lang w:eastAsia="zh-CN"/>
                <w14:textFill>
                  <w14:solidFill>
                    <w14:schemeClr w14:val="tx1"/>
                  </w14:solidFill>
                </w14:textFill>
              </w:rPr>
              <w:t>灰仓贮存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石灰石仓</w:t>
            </w:r>
          </w:p>
        </w:tc>
        <w:tc>
          <w:tcPr>
            <w:tcW w:w="995" w:type="dxa"/>
            <w:noWrap w:val="0"/>
            <w:vAlign w:val="center"/>
          </w:tcPr>
          <w:p>
            <w:pPr>
              <w:pStyle w:val="1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粉尘</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0.0003</w:t>
            </w:r>
          </w:p>
        </w:tc>
        <w:tc>
          <w:tcPr>
            <w:tcW w:w="3659" w:type="dxa"/>
            <w:noWrap w:val="0"/>
            <w:vAlign w:val="center"/>
          </w:tcPr>
          <w:p>
            <w:pPr>
              <w:pStyle w:val="152"/>
              <w:keepNext w:val="0"/>
              <w:keepLines w:val="0"/>
              <w:pageBreakBefore w:val="0"/>
              <w:widowControl w:val="0"/>
              <w:kinsoku/>
              <w:wordWrap/>
              <w:overflowPunct/>
              <w:topLinePunct w:val="0"/>
              <w:autoSpaceDE/>
              <w:autoSpaceDN/>
              <w:bidi w:val="0"/>
              <w:adjustRightInd/>
              <w:snapToGrid/>
              <w:ind w:left="-36" w:leftChars="-15" w:right="-36" w:rightChars="-15"/>
              <w:textAlignment w:val="auto"/>
              <w:rPr>
                <w:rFonts w:hint="default" w:ascii="Times New Roman" w:hAnsi="Times New Roman" w:eastAsia="宋体" w:cs="Times New Roman"/>
                <w:color w:val="000000" w:themeColor="text1"/>
                <w:positio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position w:val="0"/>
                <w:sz w:val="21"/>
                <w:szCs w:val="21"/>
                <w:lang w:val="en-US" w:eastAsia="zh-CN"/>
                <w14:textFill>
                  <w14:solidFill>
                    <w14:schemeClr w14:val="tx1"/>
                  </w14:solidFill>
                </w14:textFill>
              </w:rPr>
              <w:t>建全封闭石灰石粉仓贮存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消石灰仓</w:t>
            </w:r>
          </w:p>
        </w:tc>
        <w:tc>
          <w:tcPr>
            <w:tcW w:w="995" w:type="dxa"/>
            <w:noWrap w:val="0"/>
            <w:vAlign w:val="center"/>
          </w:tcPr>
          <w:p>
            <w:pPr>
              <w:pStyle w:val="1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粉尘</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0.0001</w:t>
            </w:r>
          </w:p>
        </w:tc>
        <w:tc>
          <w:tcPr>
            <w:tcW w:w="3659" w:type="dxa"/>
            <w:noWrap w:val="0"/>
            <w:vAlign w:val="center"/>
          </w:tcPr>
          <w:p>
            <w:pPr>
              <w:pStyle w:val="152"/>
              <w:keepNext w:val="0"/>
              <w:keepLines w:val="0"/>
              <w:pageBreakBefore w:val="0"/>
              <w:widowControl w:val="0"/>
              <w:kinsoku/>
              <w:wordWrap/>
              <w:overflowPunct/>
              <w:topLinePunct w:val="0"/>
              <w:autoSpaceDE/>
              <w:autoSpaceDN/>
              <w:bidi w:val="0"/>
              <w:adjustRightInd/>
              <w:snapToGrid/>
              <w:ind w:left="-36" w:leftChars="-15" w:right="-36" w:rightChars="-15"/>
              <w:textAlignment w:val="auto"/>
              <w:rPr>
                <w:rFonts w:hint="default" w:ascii="Times New Roman" w:hAnsi="Times New Roman" w:eastAsia="宋体" w:cs="Times New Roman"/>
                <w:color w:val="000000" w:themeColor="text1"/>
                <w:positio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position w:val="0"/>
                <w:sz w:val="21"/>
                <w:szCs w:val="21"/>
                <w:lang w:val="en-US" w:eastAsia="zh-CN"/>
                <w14:textFill>
                  <w14:solidFill>
                    <w14:schemeClr w14:val="tx1"/>
                  </w14:solidFill>
                </w14:textFill>
              </w:rPr>
              <w:t>建全封闭消石灰仓贮存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氨水罐和装置区</w:t>
            </w:r>
          </w:p>
        </w:tc>
        <w:tc>
          <w:tcPr>
            <w:tcW w:w="995" w:type="dxa"/>
            <w:noWrap w:val="0"/>
            <w:vAlign w:val="center"/>
          </w:tcPr>
          <w:p>
            <w:pPr>
              <w:pStyle w:val="15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0.06</w:t>
            </w:r>
          </w:p>
        </w:tc>
        <w:tc>
          <w:tcPr>
            <w:tcW w:w="3659" w:type="dxa"/>
            <w:noWrap w:val="0"/>
            <w:vAlign w:val="center"/>
          </w:tcPr>
          <w:p>
            <w:pPr>
              <w:pStyle w:val="152"/>
              <w:keepNext w:val="0"/>
              <w:keepLines w:val="0"/>
              <w:pageBreakBefore w:val="0"/>
              <w:widowControl w:val="0"/>
              <w:kinsoku/>
              <w:wordWrap/>
              <w:overflowPunct/>
              <w:topLinePunct w:val="0"/>
              <w:autoSpaceDE/>
              <w:autoSpaceDN/>
              <w:bidi w:val="0"/>
              <w:adjustRightInd/>
              <w:snapToGrid/>
              <w:ind w:left="-36" w:leftChars="-15" w:right="-36" w:rightChars="-15"/>
              <w:textAlignment w:val="auto"/>
              <w:rPr>
                <w:rFonts w:hint="default" w:ascii="Times New Roman" w:hAnsi="Times New Roman" w:eastAsia="宋体" w:cs="Times New Roman"/>
                <w:color w:val="000000" w:themeColor="text1"/>
                <w:positio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w:t>
            </w:r>
          </w:p>
        </w:tc>
        <w:tc>
          <w:tcPr>
            <w:tcW w:w="2615" w:type="dxa"/>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锅炉排污水</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24750</w:t>
            </w:r>
          </w:p>
        </w:tc>
        <w:tc>
          <w:tcPr>
            <w:tcW w:w="365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排入中和池，PH中和达标后排入开发区污水管网中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615" w:type="dxa"/>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超滤反洗废水</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365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作为脱硫塔降温喷水和干灰调湿用水回用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615" w:type="dxa"/>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反渗透浓水和混床再生废水</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207900</w:t>
            </w:r>
          </w:p>
        </w:tc>
        <w:tc>
          <w:tcPr>
            <w:tcW w:w="365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pacing w:val="-6"/>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部分输送至水煤浆生产基地回用；剩余排入中和池，PH中和达标后排入开发区污水管网中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615" w:type="dxa"/>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4320</w:t>
            </w:r>
          </w:p>
        </w:tc>
        <w:tc>
          <w:tcPr>
            <w:tcW w:w="365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排入开发区污水管网中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w:t>
            </w:r>
          </w:p>
        </w:tc>
        <w:tc>
          <w:tcPr>
            <w:tcW w:w="2615" w:type="dxa"/>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炉灰</w:t>
            </w:r>
          </w:p>
        </w:tc>
        <w:tc>
          <w:tcPr>
            <w:tcW w:w="1442" w:type="dxa"/>
            <w:noWrap w:val="0"/>
            <w:vAlign w:val="center"/>
          </w:tcPr>
          <w:p>
            <w:pPr>
              <w:pStyle w:val="15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position w:val="0"/>
                <w:sz w:val="21"/>
                <w:szCs w:val="21"/>
                <w:lang w:eastAsia="zh-CN"/>
                <w14:textFill>
                  <w14:solidFill>
                    <w14:schemeClr w14:val="tx1"/>
                  </w14:solidFill>
                </w14:textFill>
              </w:rPr>
            </w:pPr>
            <w:r>
              <w:rPr>
                <w:rFonts w:hint="default" w:ascii="Times New Roman" w:hAnsi="Times New Roman" w:eastAsia="宋体" w:cs="Times New Roman"/>
                <w:color w:val="000000" w:themeColor="text1"/>
                <w:position w:val="0"/>
                <w:sz w:val="21"/>
                <w:szCs w:val="21"/>
                <w:lang w:eastAsia="zh-CN"/>
                <w14:textFill>
                  <w14:solidFill>
                    <w14:schemeClr w14:val="tx1"/>
                  </w14:solidFill>
                </w14:textFill>
              </w:rPr>
              <w:t>62580</w:t>
            </w:r>
          </w:p>
        </w:tc>
        <w:tc>
          <w:tcPr>
            <w:tcW w:w="3659"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贮灰仓暂存，用作建筑材料外售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615" w:type="dxa"/>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除尘灰</w:t>
            </w:r>
          </w:p>
        </w:tc>
        <w:tc>
          <w:tcPr>
            <w:tcW w:w="1442" w:type="dxa"/>
            <w:noWrap w:val="0"/>
            <w:vAlign w:val="center"/>
          </w:tcPr>
          <w:p>
            <w:pPr>
              <w:pStyle w:val="15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position w:val="0"/>
                <w:sz w:val="21"/>
                <w:szCs w:val="21"/>
                <w:lang w:eastAsia="zh-CN"/>
                <w14:textFill>
                  <w14:solidFill>
                    <w14:schemeClr w14:val="tx1"/>
                  </w14:solidFill>
                </w14:textFill>
              </w:rPr>
            </w:pPr>
            <w:r>
              <w:rPr>
                <w:rFonts w:hint="default" w:ascii="Times New Roman" w:hAnsi="Times New Roman" w:eastAsia="宋体" w:cs="Times New Roman"/>
                <w:color w:val="000000" w:themeColor="text1"/>
                <w:position w:val="0"/>
                <w:sz w:val="21"/>
                <w:szCs w:val="21"/>
                <w:lang w:eastAsia="zh-CN"/>
                <w14:textFill>
                  <w14:solidFill>
                    <w14:schemeClr w14:val="tx1"/>
                  </w14:solidFill>
                </w14:textFill>
              </w:rPr>
              <w:t>69821.25</w:t>
            </w:r>
          </w:p>
        </w:tc>
        <w:tc>
          <w:tcPr>
            <w:tcW w:w="3659" w:type="dxa"/>
            <w:vMerge w:val="continue"/>
            <w:noWrap w:val="0"/>
            <w:vAlign w:val="center"/>
          </w:tcPr>
          <w:p>
            <w:pPr>
              <w:pStyle w:val="15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position w:val="-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615" w:type="dxa"/>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脱硫灰</w:t>
            </w:r>
          </w:p>
        </w:tc>
        <w:tc>
          <w:tcPr>
            <w:tcW w:w="1442" w:type="dxa"/>
            <w:noWrap w:val="0"/>
            <w:vAlign w:val="center"/>
          </w:tcPr>
          <w:p>
            <w:pPr>
              <w:pStyle w:val="15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position w:val="0"/>
                <w:sz w:val="21"/>
                <w:szCs w:val="21"/>
                <w:lang w:eastAsia="zh-CN"/>
                <w14:textFill>
                  <w14:solidFill>
                    <w14:schemeClr w14:val="tx1"/>
                  </w14:solidFill>
                </w14:textFill>
              </w:rPr>
            </w:pPr>
            <w:r>
              <w:rPr>
                <w:rFonts w:hint="default" w:ascii="Times New Roman" w:hAnsi="Times New Roman" w:eastAsia="宋体" w:cs="Times New Roman"/>
                <w:color w:val="000000" w:themeColor="text1"/>
                <w:position w:val="0"/>
                <w:sz w:val="21"/>
                <w:szCs w:val="21"/>
                <w:lang w:eastAsia="zh-CN"/>
                <w14:textFill>
                  <w14:solidFill>
                    <w14:schemeClr w14:val="tx1"/>
                  </w14:solidFill>
                </w14:textFill>
              </w:rPr>
              <w:t>12313</w:t>
            </w:r>
          </w:p>
        </w:tc>
        <w:tc>
          <w:tcPr>
            <w:tcW w:w="3659" w:type="dxa"/>
            <w:vMerge w:val="continue"/>
            <w:noWrap w:val="0"/>
            <w:vAlign w:val="center"/>
          </w:tcPr>
          <w:p>
            <w:pPr>
              <w:pStyle w:val="15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615" w:type="dxa"/>
            <w:gridSpan w:val="2"/>
            <w:noWrap w:val="0"/>
            <w:vAlign w:val="center"/>
          </w:tcPr>
          <w:p>
            <w:pPr>
              <w:keepNext w:val="0"/>
              <w:keepLines w:val="0"/>
              <w:pageBreakBefore w:val="0"/>
              <w:widowControl w:val="0"/>
              <w:kinsoku/>
              <w:wordWrap/>
              <w:overflowPunct/>
              <w:topLinePunct w:val="0"/>
              <w:autoSpaceDE/>
              <w:autoSpaceDN/>
              <w:bidi w:val="0"/>
              <w:adjustRightInd/>
              <w:snapToGrid/>
              <w:contextualSpacing/>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1442" w:type="dxa"/>
            <w:noWrap w:val="0"/>
            <w:vAlign w:val="center"/>
          </w:tcPr>
          <w:p>
            <w:pPr>
              <w:pStyle w:val="152"/>
              <w:keepNext w:val="0"/>
              <w:keepLines w:val="0"/>
              <w:pageBreakBefore w:val="0"/>
              <w:widowControl w:val="0"/>
              <w:kinsoku/>
              <w:wordWrap/>
              <w:overflowPunct/>
              <w:topLinePunct w:val="0"/>
              <w:autoSpaceDE/>
              <w:autoSpaceDN/>
              <w:bidi w:val="0"/>
              <w:adjustRightInd/>
              <w:snapToGrid/>
              <w:contextualSpacing/>
              <w:textAlignment w:val="auto"/>
              <w:rPr>
                <w:rFonts w:hint="default" w:ascii="Times New Roman" w:hAnsi="Times New Roman" w:eastAsia="宋体" w:cs="Times New Roman"/>
                <w:color w:val="000000" w:themeColor="text1"/>
                <w:position w:val="0"/>
                <w:sz w:val="21"/>
                <w:szCs w:val="21"/>
                <w:lang w:eastAsia="zh-CN"/>
                <w14:textFill>
                  <w14:solidFill>
                    <w14:schemeClr w14:val="tx1"/>
                  </w14:solidFill>
                </w14:textFill>
              </w:rPr>
            </w:pPr>
            <w:r>
              <w:rPr>
                <w:rFonts w:hint="default" w:ascii="Times New Roman" w:hAnsi="Times New Roman" w:eastAsia="宋体" w:cs="Times New Roman"/>
                <w:color w:val="000000" w:themeColor="text1"/>
                <w:position w:val="0"/>
                <w:sz w:val="21"/>
                <w:szCs w:val="21"/>
                <w:lang w:eastAsia="zh-CN"/>
                <w14:textFill>
                  <w14:solidFill>
                    <w14:schemeClr w14:val="tx1"/>
                  </w14:solidFill>
                </w14:textFill>
              </w:rPr>
              <w:t>27</w:t>
            </w:r>
          </w:p>
        </w:tc>
        <w:tc>
          <w:tcPr>
            <w:tcW w:w="3659" w:type="dxa"/>
            <w:noWrap w:val="0"/>
            <w:vAlign w:val="center"/>
          </w:tcPr>
          <w:p>
            <w:pPr>
              <w:pStyle w:val="152"/>
              <w:keepNext w:val="0"/>
              <w:keepLines w:val="0"/>
              <w:pageBreakBefore w:val="0"/>
              <w:widowControl w:val="0"/>
              <w:kinsoku/>
              <w:wordWrap/>
              <w:overflowPunct/>
              <w:topLinePunct w:val="0"/>
              <w:autoSpaceDE/>
              <w:autoSpaceDN/>
              <w:bidi w:val="0"/>
              <w:adjustRightInd/>
              <w:snapToGrid/>
              <w:contextualSpacing/>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position w:val="0"/>
                <w:sz w:val="21"/>
                <w:szCs w:val="21"/>
                <w:lang w:eastAsia="zh-CN"/>
                <w14:textFill>
                  <w14:solidFill>
                    <w14:schemeClr w14:val="tx1"/>
                  </w14:solidFill>
                </w14:textFill>
              </w:rPr>
              <w:t>环卫部门定期清运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75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2615" w:type="dxa"/>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生产设备</w:t>
            </w:r>
          </w:p>
        </w:tc>
        <w:tc>
          <w:tcPr>
            <w:tcW w:w="1442" w:type="dxa"/>
            <w:noWrap w:val="0"/>
            <w:vAlign w:val="center"/>
          </w:tcPr>
          <w:p>
            <w:pPr>
              <w:pStyle w:val="15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positio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14:textFill>
                  <w14:solidFill>
                    <w14:schemeClr w14:val="tx1"/>
                  </w14:solidFill>
                </w14:textFill>
              </w:rPr>
              <w:t>昼65、夜55</w:t>
            </w:r>
          </w:p>
        </w:tc>
        <w:tc>
          <w:tcPr>
            <w:tcW w:w="365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bl>
    <w:p>
      <w:pPr>
        <w:pStyle w:val="33"/>
        <w:keepNext w:val="0"/>
        <w:keepLines w:val="0"/>
        <w:widowControl w:val="0"/>
        <w:shd w:val="clear" w:color="auto" w:fill="auto"/>
        <w:bidi w:val="0"/>
        <w:spacing w:before="0" w:after="0" w:line="456" w:lineRule="exact"/>
        <w:ind w:left="0" w:right="0" w:firstLine="540"/>
        <w:jc w:val="both"/>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pPr>
    </w:p>
    <w:p>
      <w:pPr>
        <w:pStyle w:val="3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kern w:val="0"/>
          <w:position w:val="0"/>
          <w:sz w:val="32"/>
          <w:szCs w:val="32"/>
          <w:u w:val="none"/>
          <w:lang w:val="en-US" w:eastAsia="en-US" w:bidi="zh-CN"/>
          <w14:textFill>
            <w14:solidFill>
              <w14:schemeClr w14:val="tx1"/>
            </w14:solidFill>
          </w14:textFill>
        </w:rPr>
      </w:pPr>
      <w:bookmarkStart w:id="87" w:name="_Toc532680786"/>
      <w:bookmarkStart w:id="88" w:name="_Toc795780"/>
      <w:bookmarkStart w:id="89" w:name="_Toc1043483"/>
      <w:bookmarkStart w:id="90" w:name="_Toc20075"/>
      <w:bookmarkStart w:id="91" w:name="_Toc2703381"/>
      <w:r>
        <w:rPr>
          <w:rFonts w:hint="eastAsia" w:ascii="Times New Roman" w:hAnsi="Times New Roman" w:eastAsia="宋体" w:cs="Times New Roman"/>
          <w:b/>
          <w:bCs/>
          <w:color w:val="000000" w:themeColor="text1"/>
          <w:spacing w:val="0"/>
          <w:w w:val="100"/>
          <w:kern w:val="0"/>
          <w:position w:val="0"/>
          <w:sz w:val="32"/>
          <w:szCs w:val="32"/>
          <w:u w:val="none"/>
          <w:lang w:val="en-US" w:eastAsia="zh-CN" w:bidi="zh-CN"/>
          <w14:textFill>
            <w14:solidFill>
              <w14:schemeClr w14:val="tx1"/>
            </w14:solidFill>
          </w14:textFill>
        </w:rPr>
        <w:t>2.5</w:t>
      </w:r>
      <w:r>
        <w:rPr>
          <w:rFonts w:hint="eastAsia" w:ascii="Times New Roman" w:hAnsi="Times New Roman" w:eastAsia="宋体" w:cs="Times New Roman"/>
          <w:b/>
          <w:bCs/>
          <w:color w:val="000000" w:themeColor="text1"/>
          <w:spacing w:val="0"/>
          <w:w w:val="100"/>
          <w:kern w:val="0"/>
          <w:position w:val="0"/>
          <w:sz w:val="32"/>
          <w:szCs w:val="32"/>
          <w:u w:val="none"/>
          <w:lang w:val="en-US" w:eastAsia="en-US" w:bidi="zh-CN"/>
          <w14:textFill>
            <w14:solidFill>
              <w14:schemeClr w14:val="tx1"/>
            </w14:solidFill>
          </w14:textFill>
        </w:rPr>
        <w:t>总量控制指标</w:t>
      </w:r>
      <w:bookmarkEnd w:id="87"/>
      <w:bookmarkEnd w:id="88"/>
      <w:bookmarkEnd w:id="89"/>
      <w:bookmarkEnd w:id="90"/>
      <w:bookmarkEnd w:id="91"/>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kern w:val="0"/>
          <w:position w:val="0"/>
          <w:sz w:val="28"/>
          <w:szCs w:val="28"/>
          <w:u w:val="none"/>
          <w:lang w:val="en-US"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kern w:val="0"/>
          <w:position w:val="0"/>
          <w:sz w:val="28"/>
          <w:szCs w:val="28"/>
          <w:u w:val="none"/>
          <w:lang w:val="en-US" w:eastAsia="zh-CN" w:bidi="zh-CN"/>
          <w14:textFill>
            <w14:solidFill>
              <w14:schemeClr w14:val="tx1"/>
            </w14:solidFill>
          </w14:textFill>
        </w:rPr>
        <w:t>2.5.1总量控制原则</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排放总量控制是可持续发展战略的要求，是控制污染，使国民经济持续、稳定发展的有效手段。《中华人民共和国环境保护法》第四十四条规定：国家实行重点污染物排放总量控制制度。重点污染物排放总量控制指标由国务院下达，省、自治区、直辖市人民政府分解落实。企业事业单位在执行国家和地方污染物排放标准的同时，应当遵守分解落实到本单位的重点污染物排放总量控制指标。《中华人民共和国大气污染防治法》第二十一条：国家对重点大气污染物排放实行总量控制。新疆维吾尔自治区人民政府可以根据本行政区域大气污染防治的需要，对国家重点大气污染物之外的其他大气污染物排放实行总量控制。国家逐步推行重点大气污染物排污权交易。</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textAlignment w:val="auto"/>
        <w:rPr>
          <w:rStyle w:val="144"/>
          <w:rFonts w:hint="default" w:ascii="Times New Roman" w:hAnsi="Times New Roman" w:eastAsia="宋体" w:cs="Times New Roman"/>
          <w:b w:val="0"/>
          <w:bCs/>
          <w:color w:val="000000" w:themeColor="text1"/>
          <w14:textFill>
            <w14:solidFill>
              <w14:schemeClr w14:val="tx1"/>
            </w14:solidFill>
          </w14:textFill>
        </w:rPr>
      </w:pPr>
      <w:r>
        <w:rPr>
          <w:rStyle w:val="144"/>
          <w:rFonts w:hint="default" w:ascii="Times New Roman" w:hAnsi="Times New Roman" w:eastAsia="宋体" w:cs="Times New Roman"/>
          <w:b w:val="0"/>
          <w:bCs/>
          <w:color w:val="000000" w:themeColor="text1"/>
          <w14:textFill>
            <w14:solidFill>
              <w14:schemeClr w14:val="tx1"/>
            </w14:solidFill>
          </w14:textFill>
        </w:rPr>
        <w:t>对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kern w:val="0"/>
          <w:position w:val="0"/>
          <w:sz w:val="28"/>
          <w:szCs w:val="28"/>
          <w:u w:val="none"/>
          <w:lang w:val="en-US"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kern w:val="0"/>
          <w:position w:val="0"/>
          <w:sz w:val="28"/>
          <w:szCs w:val="28"/>
          <w:u w:val="none"/>
          <w:lang w:val="en-US" w:eastAsia="zh-CN" w:bidi="zh-CN"/>
          <w14:textFill>
            <w14:solidFill>
              <w14:schemeClr w14:val="tx1"/>
            </w14:solidFill>
          </w14:textFill>
        </w:rPr>
        <w:t>2.5.2 总量控制指标</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排放总量控制是控制环境污染的重要手段，其主要内涵是：在追求较好的经济性和合理的空间布局基础上，实现区域环境污染的有效控制；在企业技术进步、采用世界先进生产设备和加强治理污染的前提下，争取达到增产不增污乃至增产减污的目标。</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 结合排污特点、区域环境特征以及当地环境管理部门的要求，本次环评推荐项目的污染物总量控制因子共4项：</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bookmarkStart w:id="92" w:name="OLE_LINK191"/>
      <w:r>
        <w:rPr>
          <w:rFonts w:hint="default" w:ascii="Times New Roman" w:hAnsi="Times New Roman" w:eastAsia="宋体" w:cs="Times New Roman"/>
          <w:color w:val="000000" w:themeColor="text1"/>
          <w14:textFill>
            <w14:solidFill>
              <w14:schemeClr w14:val="tx1"/>
            </w14:solidFill>
          </w14:textFill>
        </w:rPr>
        <w:t>废气污染物：</w:t>
      </w:r>
      <w:bookmarkStart w:id="93" w:name="OLE_LINK200"/>
      <w:bookmarkStart w:id="94" w:name="OLE_LINK196"/>
      <w:bookmarkStart w:id="95" w:name="OLE_LINK204"/>
      <w:r>
        <w:rPr>
          <w:rFonts w:hint="default" w:ascii="Times New Roman" w:hAnsi="Times New Roman" w:eastAsia="宋体" w:cs="Times New Roman"/>
          <w:color w:val="000000" w:themeColor="text1"/>
          <w14:textFill>
            <w14:solidFill>
              <w14:schemeClr w14:val="tx1"/>
            </w14:solidFill>
          </w14:textFill>
        </w:rPr>
        <w:t>二氧化硫（SO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w:t>
      </w:r>
      <w:bookmarkEnd w:id="93"/>
      <w:bookmarkEnd w:id="94"/>
      <w:bookmarkEnd w:id="95"/>
      <w:r>
        <w:rPr>
          <w:rFonts w:hint="default" w:ascii="Times New Roman" w:hAnsi="Times New Roman" w:eastAsia="宋体" w:cs="Times New Roman"/>
          <w:color w:val="000000" w:themeColor="text1"/>
          <w14:textFill>
            <w14:solidFill>
              <w14:schemeClr w14:val="tx1"/>
            </w14:solidFill>
          </w14:textFill>
        </w:rPr>
        <w:t>、氮氧化物（NOx）；</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废水污染物：化学需氧量 (CODcr)、氨氮（NH</w:t>
      </w:r>
      <w:r>
        <w:rPr>
          <w:rFonts w:hint="default" w:ascii="Times New Roman" w:hAnsi="Times New Roman" w:eastAsia="宋体" w:cs="Times New Roman"/>
          <w:color w:val="000000" w:themeColor="text1"/>
          <w:vertAlign w:val="sub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-N）。</w:t>
      </w:r>
    </w:p>
    <w:bookmarkEnd w:id="92"/>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kern w:val="0"/>
          <w:position w:val="0"/>
          <w:sz w:val="28"/>
          <w:szCs w:val="28"/>
          <w:u w:val="none"/>
          <w:lang w:val="en-US"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kern w:val="0"/>
          <w:position w:val="0"/>
          <w:sz w:val="28"/>
          <w:szCs w:val="28"/>
          <w:u w:val="none"/>
          <w:lang w:val="en-US" w:eastAsia="zh-CN" w:bidi="zh-CN"/>
          <w14:textFill>
            <w14:solidFill>
              <w14:schemeClr w14:val="tx1"/>
            </w14:solidFill>
          </w14:textFill>
        </w:rPr>
        <w:t>2.5.3 总量指标来源及确定</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spacing w:val="-2"/>
          <w:lang w:val="fr-FR"/>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依据本项目的工程分析，本项目总量控制因子排放量：二氧化硫（SO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）为</w:t>
      </w:r>
      <w:r>
        <w:rPr>
          <w:rFonts w:hint="eastAsia" w:ascii="Times New Roman" w:hAnsi="Times New Roman" w:cs="Times New Roman"/>
          <w:bCs/>
          <w:snapToGrid w:val="0"/>
          <w:color w:val="000000" w:themeColor="text1"/>
          <w:szCs w:val="21"/>
          <w:lang w:val="en-US" w:eastAsia="zh-CN"/>
          <w14:textFill>
            <w14:solidFill>
              <w14:schemeClr w14:val="tx1"/>
            </w14:solidFill>
          </w14:textFill>
        </w:rPr>
        <w:t>109.22</w:t>
      </w:r>
      <w:r>
        <w:rPr>
          <w:rFonts w:hint="default" w:ascii="Times New Roman" w:hAnsi="Times New Roman" w:eastAsia="宋体" w:cs="Times New Roman"/>
          <w:color w:val="000000" w:themeColor="text1"/>
          <w14:textFill>
            <w14:solidFill>
              <w14:schemeClr w14:val="tx1"/>
            </w14:solidFill>
          </w14:textFill>
        </w:rPr>
        <w:t>/a、</w:t>
      </w:r>
      <w:bookmarkStart w:id="96" w:name="OLE_LINK423"/>
      <w:bookmarkStart w:id="97" w:name="OLE_LINK422"/>
      <w:r>
        <w:rPr>
          <w:rFonts w:hint="default" w:ascii="Times New Roman" w:hAnsi="Times New Roman" w:eastAsia="宋体" w:cs="Times New Roman"/>
          <w:color w:val="000000" w:themeColor="text1"/>
          <w14:textFill>
            <w14:solidFill>
              <w14:schemeClr w14:val="tx1"/>
            </w14:solidFill>
          </w14:textFill>
        </w:rPr>
        <w:t>氮氧化物（NOx）</w:t>
      </w:r>
      <w:bookmarkEnd w:id="96"/>
      <w:bookmarkEnd w:id="97"/>
      <w:r>
        <w:rPr>
          <w:rFonts w:hint="default" w:ascii="Times New Roman" w:hAnsi="Times New Roman" w:eastAsia="宋体" w:cs="Times New Roman"/>
          <w:color w:val="000000" w:themeColor="text1"/>
          <w14:textFill>
            <w14:solidFill>
              <w14:schemeClr w14:val="tx1"/>
            </w14:solidFill>
          </w14:textFill>
        </w:rPr>
        <w:t>为</w:t>
      </w:r>
      <w:r>
        <w:rPr>
          <w:rFonts w:hint="eastAsia" w:ascii="Times New Roman" w:hAnsi="Times New Roman" w:cs="Times New Roman"/>
          <w:color w:val="000000" w:themeColor="text1"/>
          <w:szCs w:val="21"/>
          <w:lang w:val="en-US" w:eastAsia="zh-CN"/>
          <w14:textFill>
            <w14:solidFill>
              <w14:schemeClr w14:val="tx1"/>
            </w14:solidFill>
          </w14:textFill>
        </w:rPr>
        <w:t>154.02</w:t>
      </w:r>
      <w:r>
        <w:rPr>
          <w:rFonts w:hint="default" w:ascii="Times New Roman" w:hAnsi="Times New Roman" w:eastAsia="宋体" w:cs="Times New Roman"/>
          <w:color w:val="000000" w:themeColor="text1"/>
          <w:spacing w:val="-2"/>
          <w14:textFill>
            <w14:solidFill>
              <w14:schemeClr w14:val="tx1"/>
            </w14:solidFill>
          </w14:textFill>
        </w:rPr>
        <w:t>t/a</w:t>
      </w:r>
      <w:r>
        <w:rPr>
          <w:rFonts w:hint="default" w:ascii="Times New Roman" w:hAnsi="Times New Roman" w:eastAsia="宋体" w:cs="Times New Roman"/>
          <w:color w:val="000000" w:themeColor="text1"/>
          <w14:textFill>
            <w14:solidFill>
              <w14:schemeClr w14:val="tx1"/>
            </w14:solidFill>
          </w14:textFill>
        </w:rPr>
        <w:t>、化学需氧量 (CODcr)为0</w:t>
      </w:r>
      <w:r>
        <w:rPr>
          <w:rFonts w:hint="default" w:ascii="Times New Roman" w:hAnsi="Times New Roman" w:eastAsia="宋体" w:cs="Times New Roman"/>
          <w:color w:val="000000" w:themeColor="text1"/>
          <w:spacing w:val="-2"/>
          <w14:textFill>
            <w14:solidFill>
              <w14:schemeClr w14:val="tx1"/>
            </w14:solidFill>
          </w14:textFill>
        </w:rPr>
        <w:t>t/a</w:t>
      </w:r>
      <w:r>
        <w:rPr>
          <w:rFonts w:hint="default" w:ascii="Times New Roman" w:hAnsi="Times New Roman" w:eastAsia="宋体" w:cs="Times New Roman"/>
          <w:color w:val="000000" w:themeColor="text1"/>
          <w14:textFill>
            <w14:solidFill>
              <w14:schemeClr w14:val="tx1"/>
            </w14:solidFill>
          </w14:textFill>
        </w:rPr>
        <w:t>、氨氮（NH</w:t>
      </w:r>
      <w:r>
        <w:rPr>
          <w:rFonts w:hint="default" w:ascii="Times New Roman" w:hAnsi="Times New Roman" w:eastAsia="宋体" w:cs="Times New Roman"/>
          <w:color w:val="000000" w:themeColor="text1"/>
          <w:vertAlign w:val="sub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-N）为0</w:t>
      </w:r>
      <w:r>
        <w:rPr>
          <w:rFonts w:hint="default" w:ascii="Times New Roman" w:hAnsi="Times New Roman" w:eastAsia="宋体" w:cs="Times New Roman"/>
          <w:color w:val="000000" w:themeColor="text1"/>
          <w:spacing w:val="-2"/>
          <w14:textFill>
            <w14:solidFill>
              <w14:schemeClr w14:val="tx1"/>
            </w14:solidFill>
          </w14:textFill>
        </w:rPr>
        <w:t>t/a</w:t>
      </w:r>
      <w:r>
        <w:rPr>
          <w:rFonts w:hint="default" w:ascii="Times New Roman" w:hAnsi="Times New Roman" w:eastAsia="宋体" w:cs="Times New Roman"/>
          <w:color w:val="000000" w:themeColor="text1"/>
          <w:spacing w:val="-2"/>
          <w:lang w:val="fr-FR"/>
          <w14:textFill>
            <w14:solidFill>
              <w14:schemeClr w14:val="tx1"/>
            </w14:solidFill>
          </w14:textFill>
        </w:rPr>
        <w:t>。</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项目生产废水回用于生产，不外排；生活污水经预处理后，排入园区污水处理厂进一步处理。本项目水污染物总量控制指标纳入园区污水处理厂， 不再另设总量控制指标</w:t>
      </w:r>
      <w:r>
        <w:rPr>
          <w:rFonts w:hint="eastAsia" w:ascii="Times New Roman" w:hAnsi="Times New Roman" w:eastAsia="宋体" w:cs="Times New Roman"/>
          <w:color w:val="000000" w:themeColor="text1"/>
          <w:lang w:eastAsia="zh-CN"/>
          <w14:textFill>
            <w14:solidFill>
              <w14:schemeClr w14:val="tx1"/>
            </w14:solidFill>
          </w14:textFill>
        </w:rPr>
        <w:t>。</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在污染源实现达标排放的前提下，结合当地环境质量要求，本环评建议按表</w:t>
      </w:r>
      <w:r>
        <w:rPr>
          <w:rFonts w:hint="eastAsia" w:ascii="Times New Roman" w:hAnsi="Times New Roman" w:eastAsia="宋体" w:cs="Times New Roman"/>
          <w:color w:val="000000" w:themeColor="text1"/>
          <w:lang w:val="en-US" w:eastAsia="zh-CN"/>
          <w14:textFill>
            <w14:solidFill>
              <w14:schemeClr w14:val="tx1"/>
            </w14:solidFill>
          </w14:textFill>
        </w:rPr>
        <w:t>2.5-1</w:t>
      </w:r>
      <w:r>
        <w:rPr>
          <w:rFonts w:hint="default" w:ascii="Times New Roman" w:hAnsi="Times New Roman" w:eastAsia="宋体" w:cs="Times New Roman"/>
          <w:color w:val="000000" w:themeColor="text1"/>
          <w14:textFill>
            <w14:solidFill>
              <w14:schemeClr w14:val="tx1"/>
            </w14:solidFill>
          </w14:textFill>
        </w:rPr>
        <w:t>中的总量进行申请。</w:t>
      </w:r>
    </w:p>
    <w:p>
      <w:pPr>
        <w:pStyle w:val="131"/>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2.5-1</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建议申请总量指标（t/a）</w:t>
      </w:r>
    </w:p>
    <w:tbl>
      <w:tblPr>
        <w:tblStyle w:val="21"/>
        <w:tblW w:w="850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43"/>
        <w:gridCol w:w="1681"/>
        <w:gridCol w:w="1555"/>
        <w:gridCol w:w="2121"/>
        <w:gridCol w:w="150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86" w:hRule="atLeast"/>
          <w:jc w:val="center"/>
        </w:trPr>
        <w:tc>
          <w:tcPr>
            <w:tcW w:w="1643"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总量因子</w:t>
            </w:r>
          </w:p>
        </w:tc>
        <w:tc>
          <w:tcPr>
            <w:tcW w:w="1681"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氮氧化物</w:t>
            </w:r>
          </w:p>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（NOx）</w:t>
            </w:r>
          </w:p>
        </w:tc>
        <w:tc>
          <w:tcPr>
            <w:tcW w:w="1555"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二氧化硫（SO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121"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化学需氧量</w:t>
            </w:r>
          </w:p>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 (CODcr)</w:t>
            </w:r>
          </w:p>
        </w:tc>
        <w:tc>
          <w:tcPr>
            <w:tcW w:w="1505"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氨氮</w:t>
            </w:r>
          </w:p>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7" w:hRule="atLeast"/>
          <w:jc w:val="center"/>
        </w:trPr>
        <w:tc>
          <w:tcPr>
            <w:tcW w:w="1643"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本项目排放量</w:t>
            </w:r>
          </w:p>
        </w:tc>
        <w:tc>
          <w:tcPr>
            <w:tcW w:w="1681"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154.</w:t>
            </w:r>
            <w:r>
              <w:rPr>
                <w:rFonts w:hint="eastAsia" w:ascii="Times New Roman" w:hAnsi="Times New Roman" w:cs="Times New Roman"/>
                <w:color w:val="000000" w:themeColor="text1"/>
                <w:sz w:val="21"/>
                <w:szCs w:val="21"/>
                <w:lang w:val="en-US" w:eastAsia="zh-CN"/>
                <w14:textFill>
                  <w14:solidFill>
                    <w14:schemeClr w14:val="tx1"/>
                  </w14:solidFill>
                </w14:textFill>
              </w:rPr>
              <w:t>02</w:t>
            </w:r>
          </w:p>
        </w:tc>
        <w:tc>
          <w:tcPr>
            <w:tcW w:w="1555"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bCs/>
                <w:snapToGrid w:val="0"/>
                <w:color w:val="000000" w:themeColor="text1"/>
                <w:sz w:val="21"/>
                <w:szCs w:val="21"/>
                <w:lang w:val="en-US" w:eastAsia="zh-CN"/>
                <w14:textFill>
                  <w14:solidFill>
                    <w14:schemeClr w14:val="tx1"/>
                  </w14:solidFill>
                </w14:textFill>
              </w:rPr>
              <w:t>109.22</w:t>
            </w:r>
          </w:p>
        </w:tc>
        <w:tc>
          <w:tcPr>
            <w:tcW w:w="2121"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1505"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56" w:hRule="atLeast"/>
          <w:jc w:val="center"/>
        </w:trPr>
        <w:tc>
          <w:tcPr>
            <w:tcW w:w="1643"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申请总量</w:t>
            </w:r>
          </w:p>
        </w:tc>
        <w:tc>
          <w:tcPr>
            <w:tcW w:w="1681"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154.</w:t>
            </w:r>
            <w:r>
              <w:rPr>
                <w:rFonts w:hint="eastAsia" w:ascii="Times New Roman" w:hAnsi="Times New Roman" w:cs="Times New Roman"/>
                <w:color w:val="000000" w:themeColor="text1"/>
                <w:sz w:val="21"/>
                <w:szCs w:val="21"/>
                <w:lang w:val="en-US" w:eastAsia="zh-CN"/>
                <w14:textFill>
                  <w14:solidFill>
                    <w14:schemeClr w14:val="tx1"/>
                  </w14:solidFill>
                </w14:textFill>
              </w:rPr>
              <w:t>02</w:t>
            </w:r>
          </w:p>
        </w:tc>
        <w:tc>
          <w:tcPr>
            <w:tcW w:w="1555"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bCs/>
                <w:snapToGrid w:val="0"/>
                <w:color w:val="000000" w:themeColor="text1"/>
                <w:sz w:val="21"/>
                <w:szCs w:val="21"/>
                <w:lang w:val="en-US" w:eastAsia="zh-CN"/>
                <w14:textFill>
                  <w14:solidFill>
                    <w14:schemeClr w14:val="tx1"/>
                  </w14:solidFill>
                </w14:textFill>
              </w:rPr>
              <w:t>109.22</w:t>
            </w:r>
          </w:p>
        </w:tc>
        <w:tc>
          <w:tcPr>
            <w:tcW w:w="2121"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fr-FR"/>
                <w14:textFill>
                  <w14:solidFill>
                    <w14:schemeClr w14:val="tx1"/>
                  </w14:solidFill>
                </w14:textFill>
              </w:rPr>
              <w:t xml:space="preserve"> </w:t>
            </w:r>
          </w:p>
        </w:tc>
        <w:tc>
          <w:tcPr>
            <w:tcW w:w="1505"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r>
    </w:tbl>
    <w:p>
      <w:pPr>
        <w:pStyle w:val="32"/>
        <w:keepNext/>
        <w:keepLines/>
        <w:pageBreakBefore w:val="0"/>
        <w:widowControl w:val="0"/>
        <w:shd w:val="clear" w:color="auto" w:fill="auto"/>
        <w:kinsoku/>
        <w:wordWrap/>
        <w:overflowPunct/>
        <w:topLinePunct w:val="0"/>
        <w:autoSpaceDE/>
        <w:autoSpaceDN/>
        <w:bidi w:val="0"/>
        <w:adjustRightInd/>
        <w:snapToGrid/>
        <w:spacing w:before="361" w:beforeLines="10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kern w:val="0"/>
          <w:position w:val="0"/>
          <w:sz w:val="32"/>
          <w:szCs w:val="32"/>
          <w:u w:val="none"/>
          <w:lang w:val="en-US" w:eastAsia="zh-CN" w:bidi="zh-CN"/>
          <w14:textFill>
            <w14:solidFill>
              <w14:schemeClr w14:val="tx1"/>
            </w14:solidFill>
          </w14:textFill>
        </w:rPr>
      </w:pPr>
      <w:bookmarkStart w:id="98" w:name="_Toc532680787"/>
      <w:bookmarkStart w:id="99" w:name="_Toc29145"/>
      <w:bookmarkStart w:id="100" w:name="_Toc1043484"/>
      <w:bookmarkStart w:id="101" w:name="_Toc795781"/>
      <w:bookmarkStart w:id="102" w:name="_Toc2703382"/>
      <w:r>
        <w:rPr>
          <w:rFonts w:hint="eastAsia" w:ascii="Times New Roman" w:hAnsi="Times New Roman" w:eastAsia="宋体" w:cs="Times New Roman"/>
          <w:b/>
          <w:bCs/>
          <w:color w:val="000000" w:themeColor="text1"/>
          <w:spacing w:val="0"/>
          <w:w w:val="100"/>
          <w:kern w:val="0"/>
          <w:position w:val="0"/>
          <w:sz w:val="32"/>
          <w:szCs w:val="32"/>
          <w:u w:val="none"/>
          <w:lang w:val="en-US" w:eastAsia="zh-CN" w:bidi="zh-CN"/>
          <w14:textFill>
            <w14:solidFill>
              <w14:schemeClr w14:val="tx1"/>
            </w14:solidFill>
          </w14:textFill>
        </w:rPr>
        <w:t>2.6 清洁生产及循环经济</w:t>
      </w:r>
      <w:bookmarkEnd w:id="98"/>
      <w:bookmarkEnd w:id="99"/>
      <w:bookmarkEnd w:id="100"/>
      <w:bookmarkEnd w:id="101"/>
      <w:bookmarkEnd w:id="102"/>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kern w:val="0"/>
          <w:position w:val="0"/>
          <w:sz w:val="28"/>
          <w:szCs w:val="28"/>
          <w:u w:val="none"/>
          <w:lang w:val="en-US"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kern w:val="0"/>
          <w:position w:val="0"/>
          <w:sz w:val="28"/>
          <w:szCs w:val="28"/>
          <w:u w:val="none"/>
          <w:lang w:val="en-US" w:eastAsia="zh-CN" w:bidi="zh-CN"/>
          <w14:textFill>
            <w14:solidFill>
              <w14:schemeClr w14:val="tx1"/>
            </w14:solidFill>
          </w14:textFill>
        </w:rPr>
        <w:t>2.6.1 清洁生产水平分析</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清洁生产是指将综合预防的环境保护策略持续应用于生产过程和产品中，以期减少对人类和环境的风险。为了贯彻落实《中华人民共和国清洁生产促进法》，指导和推动火电企业依法实施清洁生产，提高资源利用率，减少和避免污染物的产生，保护和改善环境，制定火电行业清洁生产评价指标体系（试行）（以下简称“指标体系”）。</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根据清洁生产的原则要求和指标的可度量性，火电行业清洁生产指标体系分为定量评价和定性要求两大部分。</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定量评价指标选取了有代表性的、能反映“节能”、“降耗”、“减污”和“增效”等有关清洁生产最终目标的指标，建立评价模式。通过对各项指标的实际达到值、评价基准值和指标的权重值进行计算和评分，综合考评企业实施清洁生产的状况和企业清洁生产程度。</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定性评价指标主要根据国家有关推行清洁生产的产业发展和技术进步政策、资源环境保护政策规定以及行业发展规划选取，用于定性考核企业对有关政策法规的符合性及其清洁生产工作实施情况。</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定量评价指标和定性评价指标分为一级指标和二级指标两个层次。一级指标为普遍性、概括性的指标，包括能源消耗指标、资源消耗指标、资源综合利用指标、污染物排放指标。二级指标为反映火电企业清洁生产特点的、具有代表性的技术考核指标。</w:t>
      </w:r>
    </w:p>
    <w:p>
      <w:pPr>
        <w:pStyle w:val="12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评价指标分为正向指标和逆向指标。其中，能源消耗、资源消耗、环保排放指标均为逆向指标，数值越小越符合清洁生产的要求；资源综合利用方面的指标均为正向指标，数值越大越符合清洁生产的要求。</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本项目</w:t>
      </w:r>
      <w:r>
        <w:rPr>
          <w:rFonts w:hint="default" w:ascii="Times New Roman" w:hAnsi="Times New Roman" w:eastAsia="宋体" w:cs="Times New Roman"/>
          <w:color w:val="000000" w:themeColor="text1"/>
          <w14:textFill>
            <w14:solidFill>
              <w14:schemeClr w14:val="tx1"/>
            </w14:solidFill>
          </w14:textFill>
        </w:rPr>
        <w:t>清洁生产定量评价指标的考核评分，以一个生产年度为一个考核周期，各项二级指标实际达到的数据为基础进行计算，综合得出该企业定量评价指标的考核总分值。</w:t>
      </w:r>
    </w:p>
    <w:p>
      <w:pPr>
        <w:pStyle w:val="129"/>
        <w:keepNext w:val="0"/>
        <w:keepLines w:val="0"/>
        <w:pageBreakBefore w:val="0"/>
        <w:widowControl w:val="0"/>
        <w:kinsoku/>
        <w:wordWrap/>
        <w:overflowPunct/>
        <w:topLinePunct w:val="0"/>
        <w:autoSpaceDE/>
        <w:autoSpaceDN/>
        <w:bidi w:val="0"/>
        <w:adjustRightInd w:val="0"/>
        <w:snapToGrid w:val="0"/>
        <w:ind w:left="0" w:leftChars="0" w:firstLine="482" w:firstLineChars="200"/>
        <w:textAlignment w:val="auto"/>
        <w:rPr>
          <w:rFonts w:hint="default" w:ascii="Times New Roman" w:hAnsi="Times New Roman" w:eastAsia="宋体" w:cs="Times New Roman"/>
          <w:b/>
          <w:bCs w:val="0"/>
          <w:color w:val="000000" w:themeColor="text1"/>
          <w14:textFill>
            <w14:solidFill>
              <w14:schemeClr w14:val="tx1"/>
            </w14:solidFill>
          </w14:textFill>
        </w:rPr>
      </w:pPr>
      <w:r>
        <w:rPr>
          <w:rFonts w:hint="eastAsia" w:ascii="Times New Roman" w:hAnsi="Times New Roman" w:eastAsia="宋体" w:cs="Times New Roman"/>
          <w:b/>
          <w:bCs w:val="0"/>
          <w:color w:val="000000" w:themeColor="text1"/>
          <w:lang w:eastAsia="zh-CN"/>
          <w14:textFill>
            <w14:solidFill>
              <w14:schemeClr w14:val="tx1"/>
            </w14:solidFill>
          </w14:textFill>
        </w:rPr>
        <w:t>（</w:t>
      </w:r>
      <w:r>
        <w:rPr>
          <w:rFonts w:hint="eastAsia" w:ascii="Times New Roman" w:hAnsi="Times New Roman" w:eastAsia="宋体" w:cs="Times New Roman"/>
          <w:b/>
          <w:bCs w:val="0"/>
          <w:color w:val="000000" w:themeColor="text1"/>
          <w:lang w:val="en-US" w:eastAsia="zh-CN"/>
          <w14:textFill>
            <w14:solidFill>
              <w14:schemeClr w14:val="tx1"/>
            </w14:solidFill>
          </w14:textFill>
        </w:rPr>
        <w:t>1</w:t>
      </w:r>
      <w:r>
        <w:rPr>
          <w:rFonts w:hint="eastAsia" w:ascii="Times New Roman" w:hAnsi="Times New Roman" w:eastAsia="宋体" w:cs="Times New Roman"/>
          <w:b/>
          <w:bCs w:val="0"/>
          <w:color w:val="000000" w:themeColor="text1"/>
          <w:lang w:eastAsia="zh-CN"/>
          <w14:textFill>
            <w14:solidFill>
              <w14:schemeClr w14:val="tx1"/>
            </w14:solidFill>
          </w14:textFill>
        </w:rPr>
        <w:t>）定量</w:t>
      </w:r>
      <w:r>
        <w:rPr>
          <w:rFonts w:hint="default" w:ascii="Times New Roman" w:hAnsi="Times New Roman" w:eastAsia="宋体" w:cs="Times New Roman"/>
          <w:b/>
          <w:bCs w:val="0"/>
          <w:color w:val="000000" w:themeColor="text1"/>
          <w14:textFill>
            <w14:solidFill>
              <w14:schemeClr w14:val="tx1"/>
            </w14:solidFill>
          </w14:textFill>
        </w:rPr>
        <w:t>评价指标的考核评分计算</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对正向指标，其单项评价指数按式（1）计算：</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object>
          <v:shape id="_x0000_i1025" o:spt="75" type="#_x0000_t75" style="height:28.8pt;width:34.6pt;" o:ole="t" fillcolor="#000011" filled="f" stroked="f" coordsize="21600,21600">
            <v:path/>
            <v:fill on="f" focussize="0,0"/>
            <v:stroke on="f"/>
            <v:imagedata r:id="rId21" o:title=""/>
            <o:lock v:ext="edit" aspectratio="t"/>
            <w10:wrap type="none"/>
            <w10:anchorlock/>
          </v:shape>
          <o:OLEObject Type="Embed" ProgID="Equation.3" ShapeID="_x0000_i1025" DrawAspect="Content" ObjectID="_1468075725" r:id="rId20">
            <o:LockedField>false</o:LockedField>
          </o:OLEObject>
        </w:object>
      </w:r>
      <w:r>
        <w:rPr>
          <w:rFonts w:hint="default" w:ascii="Times New Roman" w:hAnsi="Times New Roman" w:eastAsia="宋体" w:cs="Times New Roman"/>
          <w:color w:val="000000" w:themeColor="text1"/>
          <w14:textFill>
            <w14:solidFill>
              <w14:schemeClr w14:val="tx1"/>
            </w14:solidFill>
          </w14:textFill>
        </w:rPr>
        <w:t xml:space="preserve">                                     （1）</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对逆向指标，其单项评价指数按式（2）计算：</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object>
          <v:shape id="_x0000_i1026" o:spt="75" type="#_x0000_t75" style="height:28.8pt;width:34.6pt;" o:ole="t" fillcolor="#000011" filled="f" stroked="f" coordsize="21600,21600">
            <v:path/>
            <v:fill on="f" focussize="0,0"/>
            <v:stroke on="f"/>
            <v:imagedata r:id="rId23" o:title=""/>
            <o:lock v:ext="edit" aspectratio="t"/>
            <w10:wrap type="none"/>
            <w10:anchorlock/>
          </v:shape>
          <o:OLEObject Type="Embed" ProgID="Equation.3" ShapeID="_x0000_i1026" DrawAspect="Content" ObjectID="_1468075726" r:id="rId22">
            <o:LockedField>false</o:LockedField>
          </o:OLEObject>
        </w:object>
      </w:r>
      <w:r>
        <w:rPr>
          <w:rFonts w:hint="default" w:ascii="Times New Roman" w:hAnsi="Times New Roman" w:eastAsia="宋体" w:cs="Times New Roman"/>
          <w:color w:val="000000" w:themeColor="text1"/>
          <w14:textFill>
            <w14:solidFill>
              <w14:schemeClr w14:val="tx1"/>
            </w14:solidFill>
          </w14:textFill>
        </w:rPr>
        <w:t xml:space="preserve">                                      （2）</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式中：</w:t>
      </w:r>
      <w:r>
        <w:rPr>
          <w:rFonts w:hint="default" w:ascii="Times New Roman" w:hAnsi="Times New Roman" w:eastAsia="宋体" w:cs="Times New Roman"/>
          <w:i/>
          <w:iCs/>
          <w:color w:val="000000" w:themeColor="text1"/>
          <w14:textFill>
            <w14:solidFill>
              <w14:schemeClr w14:val="tx1"/>
            </w14:solidFill>
          </w14:textFill>
        </w:rPr>
        <w:t>Si </w:t>
      </w:r>
      <w:r>
        <w:rPr>
          <w:rFonts w:hint="default" w:ascii="Times New Roman" w:hAnsi="Times New Roman" w:eastAsia="宋体" w:cs="Times New Roman"/>
          <w:color w:val="000000" w:themeColor="text1"/>
          <w14:textFill>
            <w14:solidFill>
              <w14:schemeClr w14:val="tx1"/>
            </w14:solidFill>
          </w14:textFill>
        </w:rPr>
        <w:t>—— 第i项评价指标的单项评价指数；</w:t>
      </w:r>
    </w:p>
    <w:p>
      <w:pPr>
        <w:pStyle w:val="129"/>
        <w:keepNext w:val="0"/>
        <w:keepLines w:val="0"/>
        <w:pageBreakBefore w:val="0"/>
        <w:widowControl w:val="0"/>
        <w:kinsoku/>
        <w:wordWrap/>
        <w:overflowPunct/>
        <w:topLinePunct w:val="0"/>
        <w:autoSpaceDE/>
        <w:autoSpaceDN/>
        <w:bidi w:val="0"/>
        <w:adjustRightInd w:val="0"/>
        <w:snapToGrid w:val="0"/>
        <w:ind w:left="0" w:leftChars="0" w:firstLine="1200" w:firstLineChars="5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S</w:t>
      </w:r>
      <w:r>
        <w:rPr>
          <w:rFonts w:hint="default" w:ascii="Times New Roman" w:hAnsi="Times New Roman" w:eastAsia="宋体" w:cs="Times New Roman"/>
          <w:i/>
          <w:iCs/>
          <w:color w:val="000000" w:themeColor="text1"/>
          <w:vertAlign w:val="subscript"/>
          <w14:textFill>
            <w14:solidFill>
              <w14:schemeClr w14:val="tx1"/>
            </w14:solidFill>
          </w14:textFill>
        </w:rPr>
        <w:t>xi</w:t>
      </w:r>
      <w:r>
        <w:rPr>
          <w:rFonts w:hint="default" w:ascii="Times New Roman" w:hAnsi="Times New Roman" w:eastAsia="宋体" w:cs="Times New Roman"/>
          <w:color w:val="000000" w:themeColor="text1"/>
          <w14:textFill>
            <w14:solidFill>
              <w14:schemeClr w14:val="tx1"/>
            </w14:solidFill>
          </w14:textFill>
        </w:rPr>
        <w:t> —— 第i项评价指标的实际值；</w:t>
      </w:r>
    </w:p>
    <w:p>
      <w:pPr>
        <w:pStyle w:val="129"/>
        <w:keepNext w:val="0"/>
        <w:keepLines w:val="0"/>
        <w:pageBreakBefore w:val="0"/>
        <w:widowControl w:val="0"/>
        <w:kinsoku/>
        <w:wordWrap/>
        <w:overflowPunct/>
        <w:topLinePunct w:val="0"/>
        <w:autoSpaceDE/>
        <w:autoSpaceDN/>
        <w:bidi w:val="0"/>
        <w:adjustRightInd w:val="0"/>
        <w:snapToGrid w:val="0"/>
        <w:ind w:left="0" w:leftChars="0" w:firstLine="1200" w:firstLineChars="5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S</w:t>
      </w:r>
      <w:r>
        <w:rPr>
          <w:rFonts w:hint="default" w:ascii="Times New Roman" w:hAnsi="Times New Roman" w:eastAsia="宋体" w:cs="Times New Roman"/>
          <w:i/>
          <w:iCs/>
          <w:color w:val="000000" w:themeColor="text1"/>
          <w:vertAlign w:val="subscript"/>
          <w14:textFill>
            <w14:solidFill>
              <w14:schemeClr w14:val="tx1"/>
            </w14:solidFill>
          </w14:textFill>
        </w:rPr>
        <w:t>oi</w:t>
      </w:r>
      <w:r>
        <w:rPr>
          <w:rFonts w:hint="default" w:ascii="Times New Roman" w:hAnsi="Times New Roman" w:eastAsia="宋体" w:cs="Times New Roman"/>
          <w:color w:val="000000" w:themeColor="text1"/>
          <w14:textFill>
            <w14:solidFill>
              <w14:schemeClr w14:val="tx1"/>
            </w14:solidFill>
          </w14:textFill>
        </w:rPr>
        <w:t> —— 第i项评价指标的基准值。</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评价指标体系各项二级评价指标的单项评价指数的正常值一般在1.0左右，但当其实际值远小于（或远大于）评价基准值时，计算得出的Si值较大，计算结果会偏离实际，对其他评价指标单项评价指数的作用产生干扰。为了消除这种不合理的影响，需对此进行修正处理。修正的方法是：Si值计算结果在1.2以下时取计算值，大于或等于1.2时Si值取1.2。</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定量评价指标考核总分值按式（3）计算：</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object>
          <v:shape id="_x0000_i1027" o:spt="75" type="#_x0000_t75" style="height:28.9pt;width:61.25pt;" o:ole="t" fillcolor="#000011" filled="f" stroked="f" coordsize="21600,21600">
            <v:path/>
            <v:fill on="f" alignshape="1" focussize="0,0"/>
            <v:stroke on="f"/>
            <v:imagedata r:id="rId25" grayscale="f" bilevel="f" o:title=""/>
            <o:lock v:ext="edit" aspectratio="t"/>
            <w10:wrap type="none"/>
            <w10:anchorlock/>
          </v:shape>
          <o:OLEObject Type="Embed" ProgID="Equation.3" ShapeID="_x0000_i1027" DrawAspect="Content" ObjectID="_1468075727" r:id="rId24">
            <o:LockedField>false</o:LockedField>
          </o:OLEObject>
        </w:object>
      </w:r>
      <w:r>
        <w:rPr>
          <w:rFonts w:hint="default" w:ascii="Times New Roman" w:hAnsi="Times New Roman" w:eastAsia="宋体" w:cs="Times New Roman"/>
          <w:color w:val="000000" w:themeColor="text1"/>
          <w14:textFill>
            <w14:solidFill>
              <w14:schemeClr w14:val="tx1"/>
            </w14:solidFill>
          </w14:textFill>
        </w:rPr>
        <w:t xml:space="preserve">                                  （3）</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式中：</w:t>
      </w:r>
      <w:r>
        <w:rPr>
          <w:rFonts w:hint="default" w:ascii="Times New Roman" w:hAnsi="Times New Roman" w:eastAsia="宋体" w:cs="Times New Roman"/>
          <w:i/>
          <w:iCs/>
          <w:color w:val="000000" w:themeColor="text1"/>
          <w14:textFill>
            <w14:solidFill>
              <w14:schemeClr w14:val="tx1"/>
            </w14:solidFill>
          </w14:textFill>
        </w:rPr>
        <w:t>P</w:t>
      </w:r>
      <w:r>
        <w:rPr>
          <w:rFonts w:hint="default" w:ascii="Times New Roman" w:hAnsi="Times New Roman" w:eastAsia="宋体" w:cs="Times New Roman"/>
          <w:i/>
          <w:iCs/>
          <w:color w:val="000000" w:themeColor="text1"/>
          <w:vertAlign w:val="subscript"/>
          <w14:textFill>
            <w14:solidFill>
              <w14:schemeClr w14:val="tx1"/>
            </w14:solidFill>
          </w14:textFill>
        </w:rPr>
        <w:t>1</w:t>
      </w:r>
      <w:r>
        <w:rPr>
          <w:rFonts w:hint="default" w:ascii="Times New Roman" w:hAnsi="Times New Roman" w:eastAsia="宋体" w:cs="Times New Roman"/>
          <w:i/>
          <w:iCs/>
          <w:color w:val="000000" w:themeColor="text1"/>
          <w14:textFill>
            <w14:solidFill>
              <w14:schemeClr w14:val="tx1"/>
            </w14:solidFill>
          </w14:textFill>
        </w:rPr>
        <w:t> </w:t>
      </w:r>
      <w:r>
        <w:rPr>
          <w:rFonts w:hint="default" w:ascii="Times New Roman" w:hAnsi="Times New Roman" w:eastAsia="宋体" w:cs="Times New Roman"/>
          <w:color w:val="000000" w:themeColor="text1"/>
          <w14:textFill>
            <w14:solidFill>
              <w14:schemeClr w14:val="tx1"/>
            </w14:solidFill>
          </w14:textFill>
        </w:rPr>
        <w:t>—— 定量评价考核总分值；</w:t>
      </w:r>
    </w:p>
    <w:p>
      <w:pPr>
        <w:pStyle w:val="129"/>
        <w:keepNext w:val="0"/>
        <w:keepLines w:val="0"/>
        <w:pageBreakBefore w:val="0"/>
        <w:widowControl w:val="0"/>
        <w:kinsoku/>
        <w:wordWrap/>
        <w:overflowPunct/>
        <w:topLinePunct w:val="0"/>
        <w:autoSpaceDE/>
        <w:autoSpaceDN/>
        <w:bidi w:val="0"/>
        <w:adjustRightInd w:val="0"/>
        <w:snapToGrid w:val="0"/>
        <w:ind w:left="0" w:leftChars="0" w:firstLine="1200" w:firstLineChars="5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n </w:t>
      </w:r>
      <w:r>
        <w:rPr>
          <w:rFonts w:hint="default" w:ascii="Times New Roman" w:hAnsi="Times New Roman" w:eastAsia="宋体" w:cs="Times New Roman"/>
          <w:color w:val="000000" w:themeColor="text1"/>
          <w14:textFill>
            <w14:solidFill>
              <w14:schemeClr w14:val="tx1"/>
            </w14:solidFill>
          </w14:textFill>
        </w:rPr>
        <w:t>—— 参与考核的定量评价的二级指标项目总数；</w:t>
      </w:r>
    </w:p>
    <w:p>
      <w:pPr>
        <w:pStyle w:val="129"/>
        <w:keepNext w:val="0"/>
        <w:keepLines w:val="0"/>
        <w:pageBreakBefore w:val="0"/>
        <w:widowControl w:val="0"/>
        <w:kinsoku/>
        <w:wordWrap/>
        <w:overflowPunct/>
        <w:topLinePunct w:val="0"/>
        <w:autoSpaceDE/>
        <w:autoSpaceDN/>
        <w:bidi w:val="0"/>
        <w:adjustRightInd w:val="0"/>
        <w:snapToGrid w:val="0"/>
        <w:ind w:left="0" w:leftChars="0" w:firstLine="1200" w:firstLineChars="5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S</w:t>
      </w:r>
      <w:r>
        <w:rPr>
          <w:rFonts w:hint="default" w:ascii="Times New Roman" w:hAnsi="Times New Roman" w:eastAsia="宋体" w:cs="Times New Roman"/>
          <w:i/>
          <w:iCs/>
          <w:color w:val="000000" w:themeColor="text1"/>
          <w:vertAlign w:val="subscript"/>
          <w14:textFill>
            <w14:solidFill>
              <w14:schemeClr w14:val="tx1"/>
            </w14:solidFill>
          </w14:textFill>
        </w:rPr>
        <w:t>i</w:t>
      </w:r>
      <w:r>
        <w:rPr>
          <w:rFonts w:hint="default" w:ascii="Times New Roman" w:hAnsi="Times New Roman" w:eastAsia="宋体" w:cs="Times New Roman"/>
          <w:color w:val="000000" w:themeColor="text1"/>
          <w14:textFill>
            <w14:solidFill>
              <w14:schemeClr w14:val="tx1"/>
            </w14:solidFill>
          </w14:textFill>
        </w:rPr>
        <w:t> —— 第i项评价指标的单项评价指数；</w:t>
      </w:r>
    </w:p>
    <w:p>
      <w:pPr>
        <w:pStyle w:val="129"/>
        <w:keepNext w:val="0"/>
        <w:keepLines w:val="0"/>
        <w:pageBreakBefore w:val="0"/>
        <w:widowControl w:val="0"/>
        <w:kinsoku/>
        <w:wordWrap/>
        <w:overflowPunct/>
        <w:topLinePunct w:val="0"/>
        <w:autoSpaceDE/>
        <w:autoSpaceDN/>
        <w:bidi w:val="0"/>
        <w:adjustRightInd w:val="0"/>
        <w:snapToGrid w:val="0"/>
        <w:ind w:left="0" w:leftChars="0" w:firstLine="1200" w:firstLineChars="5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K</w:t>
      </w:r>
      <w:r>
        <w:rPr>
          <w:rFonts w:hint="default" w:ascii="Times New Roman" w:hAnsi="Times New Roman" w:eastAsia="宋体" w:cs="Times New Roman"/>
          <w:i/>
          <w:iCs/>
          <w:color w:val="000000" w:themeColor="text1"/>
          <w:vertAlign w:val="subscript"/>
          <w14:textFill>
            <w14:solidFill>
              <w14:schemeClr w14:val="tx1"/>
            </w14:solidFill>
          </w14:textFill>
        </w:rPr>
        <w:t>i</w:t>
      </w:r>
      <w:r>
        <w:rPr>
          <w:rFonts w:hint="default" w:ascii="Times New Roman" w:hAnsi="Times New Roman" w:eastAsia="宋体" w:cs="Times New Roman"/>
          <w:i/>
          <w:iCs/>
          <w:color w:val="000000" w:themeColor="text1"/>
          <w14:textFill>
            <w14:solidFill>
              <w14:schemeClr w14:val="tx1"/>
            </w14:solidFill>
          </w14:textFill>
        </w:rPr>
        <w:t> </w:t>
      </w:r>
      <w:r>
        <w:rPr>
          <w:rFonts w:hint="default" w:ascii="Times New Roman" w:hAnsi="Times New Roman" w:eastAsia="宋体" w:cs="Times New Roman"/>
          <w:color w:val="000000" w:themeColor="text1"/>
          <w14:textFill>
            <w14:solidFill>
              <w14:schemeClr w14:val="tx1"/>
            </w14:solidFill>
          </w14:textFill>
        </w:rPr>
        <w:t>—— 第i项评价指标的权重值。</w:t>
      </w:r>
    </w:p>
    <w:p>
      <w:pPr>
        <w:pStyle w:val="12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火电企业定量评价指标项目、权重及基准值及本项目对应值、得分见表</w:t>
      </w:r>
      <w:r>
        <w:rPr>
          <w:rFonts w:hint="eastAsia" w:ascii="Times New Roman" w:hAnsi="Times New Roman" w:eastAsia="宋体" w:cs="Times New Roman"/>
          <w:color w:val="000000" w:themeColor="text1"/>
          <w:lang w:val="en-US" w:eastAsia="zh-CN"/>
          <w14:textFill>
            <w14:solidFill>
              <w14:schemeClr w14:val="tx1"/>
            </w14:solidFill>
          </w14:textFill>
        </w:rPr>
        <w:t>2.6-1</w:t>
      </w:r>
      <w:r>
        <w:rPr>
          <w:rFonts w:hint="eastAsia" w:ascii="Times New Roman" w:hAnsi="Times New Roman" w:eastAsia="宋体" w:cs="Times New Roman"/>
          <w:color w:val="000000" w:themeColor="text1"/>
          <w:lang w:eastAsia="zh-CN"/>
          <w14:textFill>
            <w14:solidFill>
              <w14:schemeClr w14:val="tx1"/>
            </w14:solidFill>
          </w14:textFill>
        </w:rPr>
        <w:t>。</w:t>
      </w:r>
    </w:p>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黑体" w:cs="Times New Roman"/>
          <w:color w:val="000000" w:themeColor="text1"/>
          <w:sz w:val="21"/>
          <w:szCs w:val="21"/>
          <w:lang w:eastAsia="zh-CN"/>
          <w14:textFill>
            <w14:solidFill>
              <w14:schemeClr w14:val="tx1"/>
            </w14:solidFill>
          </w14:textFill>
        </w:rPr>
      </w:pPr>
      <w:r>
        <w:rPr>
          <w:rFonts w:hint="default" w:ascii="Times New Roman" w:hAnsi="Times New Roman" w:eastAsia="黑体" w:cs="Times New Roman"/>
          <w:color w:val="000000" w:themeColor="text1"/>
          <w:sz w:val="21"/>
          <w:szCs w:val="21"/>
          <w:lang w:eastAsia="zh-CN"/>
          <w14:textFill>
            <w14:solidFill>
              <w14:schemeClr w14:val="tx1"/>
            </w14:solidFill>
          </w14:textFill>
        </w:rPr>
        <w:t>表</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6</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 xml:space="preserve">-1    </w:t>
      </w:r>
      <w:r>
        <w:rPr>
          <w:rFonts w:hint="default" w:ascii="Times New Roman" w:hAnsi="Times New Roman" w:eastAsia="黑体" w:cs="Times New Roman"/>
          <w:color w:val="000000" w:themeColor="text1"/>
          <w:sz w:val="21"/>
          <w:szCs w:val="21"/>
          <w:lang w:eastAsia="zh-CN"/>
          <w14:textFill>
            <w14:solidFill>
              <w14:schemeClr w14:val="tx1"/>
            </w14:solidFill>
          </w14:textFill>
        </w:rPr>
        <w:t xml:space="preserve"> 火电企业定量评价指标项目、权重及基准值</w:t>
      </w:r>
    </w:p>
    <w:tbl>
      <w:tblPr>
        <w:tblStyle w:val="21"/>
        <w:tblW w:w="8518"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636"/>
        <w:gridCol w:w="657"/>
        <w:gridCol w:w="2228"/>
        <w:gridCol w:w="960"/>
        <w:gridCol w:w="708"/>
        <w:gridCol w:w="1080"/>
        <w:gridCol w:w="1188"/>
        <w:gridCol w:w="10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一级</w:t>
            </w:r>
          </w:p>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指标</w:t>
            </w:r>
          </w:p>
        </w:tc>
        <w:tc>
          <w:tcPr>
            <w:tcW w:w="65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权重值</w:t>
            </w: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二级指标</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单位</w:t>
            </w: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权重</w:t>
            </w:r>
          </w:p>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分值</w:t>
            </w: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评价基准值</w:t>
            </w: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本项目值</w:t>
            </w: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得分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restart"/>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能源消耗指标</w:t>
            </w:r>
          </w:p>
        </w:tc>
        <w:tc>
          <w:tcPr>
            <w:tcW w:w="657" w:type="dxa"/>
            <w:vMerge w:val="restart"/>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35</w:t>
            </w: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纯凝汽机组供电煤耗</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57"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湿冷机组</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kgce/kWh</w:t>
            </w: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0.365</w:t>
            </w: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57"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空冷机组</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kgce/kWh</w:t>
            </w: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0.375</w:t>
            </w: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0.31</w:t>
            </w: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57"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供热机组</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57"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年平均热电比</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20</w:t>
            </w: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50</w:t>
            </w: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5.264</w:t>
            </w: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restart"/>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资源消耗指标</w:t>
            </w:r>
          </w:p>
        </w:tc>
        <w:tc>
          <w:tcPr>
            <w:tcW w:w="657" w:type="dxa"/>
            <w:vMerge w:val="restart"/>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25</w:t>
            </w: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单位发电量耗水量</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10</w:t>
            </w: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57"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循环冷却机组</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kg/kWh</w:t>
            </w: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3.84</w:t>
            </w: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57"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直流冷却机组</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kg/kWh</w:t>
            </w: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0.72</w:t>
            </w: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57"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空冷机组</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kg/kWh</w:t>
            </w: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0.80</w:t>
            </w: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57"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工业用水重复利用率</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10</w:t>
            </w: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57"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闭式循环</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95</w:t>
            </w: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57"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开式循环</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35</w:t>
            </w: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8.75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57"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全厂汽水损失率</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1.5</w:t>
            </w: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restart"/>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综合利用指标</w:t>
            </w:r>
          </w:p>
        </w:tc>
        <w:tc>
          <w:tcPr>
            <w:tcW w:w="657" w:type="dxa"/>
            <w:vMerge w:val="restart"/>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15</w:t>
            </w: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粉煤灰综合利用率</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10</w:t>
            </w: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60（中西部地区）</w:t>
            </w: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57"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脱硫</w:t>
            </w:r>
            <w:r>
              <w:rPr>
                <w:rFonts w:hint="eastAsia" w:ascii="Times New Roman" w:hAnsi="Times New Roman" w:eastAsia="宋体" w:cs="Times New Roman"/>
                <w:color w:val="000000" w:themeColor="text1"/>
                <w:sz w:val="21"/>
                <w:szCs w:val="21"/>
                <w:lang w:eastAsia="zh-CN"/>
                <w14:textFill>
                  <w14:solidFill>
                    <w14:schemeClr w14:val="tx1"/>
                  </w14:solidFill>
                </w14:textFill>
              </w:rPr>
              <w:t>灰</w:t>
            </w:r>
            <w:r>
              <w:rPr>
                <w:rFonts w:hint="default" w:ascii="Times New Roman" w:hAnsi="Times New Roman" w:eastAsia="宋体" w:cs="Times New Roman"/>
                <w:color w:val="000000" w:themeColor="text1"/>
                <w:sz w:val="21"/>
                <w:szCs w:val="21"/>
                <w:lang w:eastAsia="zh-CN"/>
                <w14:textFill>
                  <w14:solidFill>
                    <w14:schemeClr w14:val="tx1"/>
                  </w14:solidFill>
                </w14:textFill>
              </w:rPr>
              <w:t>利用率</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100</w:t>
            </w: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restart"/>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污染物排放指标</w:t>
            </w:r>
          </w:p>
        </w:tc>
        <w:tc>
          <w:tcPr>
            <w:tcW w:w="657" w:type="dxa"/>
            <w:vMerge w:val="restart"/>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25</w:t>
            </w: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单位发电量烟尘排放量</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g/kWh</w:t>
            </w: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1.8</w:t>
            </w: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0.0492</w:t>
            </w: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57"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单位发电量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排量</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g/kWh</w:t>
            </w: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10</w:t>
            </w: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6.5</w:t>
            </w: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0.2566</w:t>
            </w: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57"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单位发电量废水排放量</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kg/kWh</w:t>
            </w: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1.0</w:t>
            </w: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jc w:val="center"/>
        </w:trPr>
        <w:tc>
          <w:tcPr>
            <w:tcW w:w="636"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57"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22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厂界噪声</w:t>
            </w:r>
          </w:p>
        </w:tc>
        <w:tc>
          <w:tcPr>
            <w:tcW w:w="96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dB（A）</w:t>
            </w:r>
          </w:p>
        </w:tc>
        <w:tc>
          <w:tcPr>
            <w:tcW w:w="70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1080"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≤60</w:t>
            </w:r>
          </w:p>
        </w:tc>
        <w:tc>
          <w:tcPr>
            <w:tcW w:w="1188"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50.1</w:t>
            </w:r>
          </w:p>
        </w:tc>
        <w:tc>
          <w:tcPr>
            <w:tcW w:w="1061"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r>
    </w:tbl>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注：1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评价基准值的单位与其相应指标的单位相同；</w:t>
      </w:r>
    </w:p>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企业清洁生产评价指标针对发电企业全厂清洁生产水平进行评定，企业包括不同类型发电机组时，分别确定指标，按全年发电量加权平均；</w:t>
      </w:r>
    </w:p>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企业综合利用厂用电不在机组能耗范围计算。</w:t>
      </w:r>
    </w:p>
    <w:p>
      <w:pPr>
        <w:pStyle w:val="129"/>
        <w:keepNext w:val="0"/>
        <w:keepLines w:val="0"/>
        <w:pageBreakBefore w:val="0"/>
        <w:widowControl w:val="0"/>
        <w:kinsoku/>
        <w:wordWrap/>
        <w:overflowPunct/>
        <w:topLinePunct w:val="0"/>
        <w:autoSpaceDE/>
        <w:autoSpaceDN/>
        <w:bidi w:val="0"/>
        <w:adjustRightInd w:val="0"/>
        <w:snapToGrid w:val="0"/>
        <w:ind w:left="0" w:leftChars="0" w:firstLine="482" w:firstLineChars="200"/>
        <w:textAlignment w:val="auto"/>
        <w:rPr>
          <w:rFonts w:hint="default" w:ascii="Times New Roman" w:hAnsi="Times New Roman" w:eastAsia="宋体" w:cs="Times New Roman"/>
          <w:b/>
          <w:bCs w:val="0"/>
          <w:color w:val="000000" w:themeColor="text1"/>
          <w14:textFill>
            <w14:solidFill>
              <w14:schemeClr w14:val="tx1"/>
            </w14:solidFill>
          </w14:textFill>
        </w:rPr>
      </w:pPr>
      <w:bookmarkStart w:id="103" w:name="_Toc158102712"/>
      <w:r>
        <w:rPr>
          <w:rFonts w:hint="eastAsia" w:ascii="Times New Roman" w:hAnsi="Times New Roman" w:eastAsia="宋体" w:cs="Times New Roman"/>
          <w:b/>
          <w:bCs w:val="0"/>
          <w:color w:val="000000" w:themeColor="text1"/>
          <w:lang w:eastAsia="zh-CN"/>
          <w14:textFill>
            <w14:solidFill>
              <w14:schemeClr w14:val="tx1"/>
            </w14:solidFill>
          </w14:textFill>
        </w:rPr>
        <w:t>（</w:t>
      </w:r>
      <w:r>
        <w:rPr>
          <w:rFonts w:hint="eastAsia" w:ascii="Times New Roman" w:hAnsi="Times New Roman" w:eastAsia="宋体" w:cs="Times New Roman"/>
          <w:b/>
          <w:bCs w:val="0"/>
          <w:color w:val="000000" w:themeColor="text1"/>
          <w:lang w:val="en-US" w:eastAsia="zh-CN"/>
          <w14:textFill>
            <w14:solidFill>
              <w14:schemeClr w14:val="tx1"/>
            </w14:solidFill>
          </w14:textFill>
        </w:rPr>
        <w:t>2</w:t>
      </w:r>
      <w:r>
        <w:rPr>
          <w:rFonts w:hint="eastAsia" w:ascii="Times New Roman" w:hAnsi="Times New Roman" w:eastAsia="宋体" w:cs="Times New Roman"/>
          <w:b/>
          <w:bCs w:val="0"/>
          <w:color w:val="000000" w:themeColor="text1"/>
          <w:lang w:eastAsia="zh-CN"/>
          <w14:textFill>
            <w14:solidFill>
              <w14:schemeClr w14:val="tx1"/>
            </w14:solidFill>
          </w14:textFill>
        </w:rPr>
        <w:t>）</w:t>
      </w:r>
      <w:r>
        <w:rPr>
          <w:rFonts w:hint="default" w:ascii="Times New Roman" w:hAnsi="Times New Roman" w:eastAsia="宋体" w:cs="Times New Roman"/>
          <w:b/>
          <w:bCs w:val="0"/>
          <w:color w:val="000000" w:themeColor="text1"/>
          <w14:textFill>
            <w14:solidFill>
              <w14:schemeClr w14:val="tx1"/>
            </w14:solidFill>
          </w14:textFill>
        </w:rPr>
        <w:t>定性评价指标的考核评分计算</w:t>
      </w:r>
      <w:bookmarkEnd w:id="103"/>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定性评价指标考核总分值按式（4）计算：</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object>
          <v:shape id="_x0000_i1028" o:spt="75" type="#_x0000_t75" style="height:28.9pt;width:43.35pt;" o:ole="t" fillcolor="#000011" filled="f" stroked="f" coordsize="21600,21600">
            <v:path/>
            <v:fill on="f" focussize="0,0"/>
            <v:stroke on="f"/>
            <v:imagedata r:id="rId27" o:title=""/>
            <o:lock v:ext="edit" aspectratio="t"/>
            <w10:wrap type="none"/>
            <w10:anchorlock/>
          </v:shape>
          <o:OLEObject Type="Embed" ProgID="Equation.3" ShapeID="_x0000_i1028" DrawAspect="Content" ObjectID="_1468075728" r:id="rId26">
            <o:LockedField>false</o:LockedField>
          </o:OLEObject>
        </w:object>
      </w:r>
      <w:r>
        <w:rPr>
          <w:rFonts w:hint="default" w:ascii="Times New Roman" w:hAnsi="Times New Roman" w:eastAsia="宋体" w:cs="Times New Roman"/>
          <w:color w:val="000000" w:themeColor="text1"/>
          <w14:textFill>
            <w14:solidFill>
              <w14:schemeClr w14:val="tx1"/>
            </w14:solidFill>
          </w14:textFill>
        </w:rPr>
        <w:t xml:space="preserve">                             （4）</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式中：</w:t>
      </w:r>
      <w:r>
        <w:rPr>
          <w:rFonts w:hint="default" w:ascii="Times New Roman" w:hAnsi="Times New Roman" w:eastAsia="宋体" w:cs="Times New Roman"/>
          <w:i/>
          <w:iCs/>
          <w:color w:val="000000" w:themeColor="text1"/>
          <w14:textFill>
            <w14:solidFill>
              <w14:schemeClr w14:val="tx1"/>
            </w14:solidFill>
          </w14:textFill>
        </w:rPr>
        <w:t>P</w:t>
      </w:r>
      <w:r>
        <w:rPr>
          <w:rFonts w:hint="default" w:ascii="Times New Roman" w:hAnsi="Times New Roman" w:eastAsia="宋体" w:cs="Times New Roman"/>
          <w:i/>
          <w:iCs/>
          <w:color w:val="000000" w:themeColor="text1"/>
          <w:vertAlign w:val="subscript"/>
          <w14:textFill>
            <w14:solidFill>
              <w14:schemeClr w14:val="tx1"/>
            </w14:solidFill>
          </w14:textFill>
        </w:rPr>
        <w:t>2</w:t>
      </w:r>
      <w:r>
        <w:rPr>
          <w:rFonts w:hint="default" w:ascii="Times New Roman" w:hAnsi="Times New Roman" w:eastAsia="宋体" w:cs="Times New Roman"/>
          <w:i/>
          <w:iCs/>
          <w:color w:val="000000" w:themeColor="text1"/>
          <w14:textFill>
            <w14:solidFill>
              <w14:schemeClr w14:val="tx1"/>
            </w14:solidFill>
          </w14:textFill>
        </w:rPr>
        <w:t> </w:t>
      </w:r>
      <w:r>
        <w:rPr>
          <w:rFonts w:hint="default" w:ascii="Times New Roman" w:hAnsi="Times New Roman" w:eastAsia="宋体" w:cs="Times New Roman"/>
          <w:color w:val="000000" w:themeColor="text1"/>
          <w14:textFill>
            <w14:solidFill>
              <w14:schemeClr w14:val="tx1"/>
            </w14:solidFill>
          </w14:textFill>
        </w:rPr>
        <w:t>—— 定性评价二级指标考核总分值；</w:t>
      </w:r>
    </w:p>
    <w:p>
      <w:pPr>
        <w:pStyle w:val="129"/>
        <w:keepNext w:val="0"/>
        <w:keepLines w:val="0"/>
        <w:pageBreakBefore w:val="0"/>
        <w:widowControl w:val="0"/>
        <w:kinsoku/>
        <w:wordWrap/>
        <w:overflowPunct/>
        <w:topLinePunct w:val="0"/>
        <w:autoSpaceDE/>
        <w:autoSpaceDN/>
        <w:bidi w:val="0"/>
        <w:adjustRightInd w:val="0"/>
        <w:snapToGrid w:val="0"/>
        <w:ind w:left="0" w:leftChars="0" w:firstLine="1200" w:firstLineChars="5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F</w:t>
      </w:r>
      <w:r>
        <w:rPr>
          <w:rFonts w:hint="default" w:ascii="Times New Roman" w:hAnsi="Times New Roman" w:eastAsia="宋体" w:cs="Times New Roman"/>
          <w:i/>
          <w:iCs/>
          <w:color w:val="000000" w:themeColor="text1"/>
          <w:vertAlign w:val="subscript"/>
          <w14:textFill>
            <w14:solidFill>
              <w14:schemeClr w14:val="tx1"/>
            </w14:solidFill>
          </w14:textFill>
        </w:rPr>
        <w:t>i</w:t>
      </w:r>
      <w:r>
        <w:rPr>
          <w:rFonts w:hint="default" w:ascii="Times New Roman" w:hAnsi="Times New Roman" w:eastAsia="宋体" w:cs="Times New Roman"/>
          <w:i/>
          <w:iCs/>
          <w:color w:val="000000" w:themeColor="text1"/>
          <w14:textFill>
            <w14:solidFill>
              <w14:schemeClr w14:val="tx1"/>
            </w14:solidFill>
          </w14:textFill>
        </w:rPr>
        <w:t> </w:t>
      </w:r>
      <w:r>
        <w:rPr>
          <w:rFonts w:hint="default" w:ascii="Times New Roman" w:hAnsi="Times New Roman" w:eastAsia="宋体" w:cs="Times New Roman"/>
          <w:color w:val="000000" w:themeColor="text1"/>
          <w14:textFill>
            <w14:solidFill>
              <w14:schemeClr w14:val="tx1"/>
            </w14:solidFill>
          </w14:textFill>
        </w:rPr>
        <w:t>—— 定性评价指标体系中的第i项二级指标的得分值；</w:t>
      </w:r>
    </w:p>
    <w:p>
      <w:pPr>
        <w:pStyle w:val="129"/>
        <w:keepNext w:val="0"/>
        <w:keepLines w:val="0"/>
        <w:pageBreakBefore w:val="0"/>
        <w:widowControl w:val="0"/>
        <w:kinsoku/>
        <w:wordWrap/>
        <w:overflowPunct/>
        <w:topLinePunct w:val="0"/>
        <w:autoSpaceDE/>
        <w:autoSpaceDN/>
        <w:bidi w:val="0"/>
        <w:adjustRightInd w:val="0"/>
        <w:snapToGrid w:val="0"/>
        <w:ind w:left="0" w:leftChars="0" w:firstLine="1200" w:firstLineChars="5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n </w:t>
      </w:r>
      <w:r>
        <w:rPr>
          <w:rFonts w:hint="default" w:ascii="Times New Roman" w:hAnsi="Times New Roman" w:eastAsia="宋体" w:cs="Times New Roman"/>
          <w:color w:val="000000" w:themeColor="text1"/>
          <w14:textFill>
            <w14:solidFill>
              <w14:schemeClr w14:val="tx1"/>
            </w14:solidFill>
          </w14:textFill>
        </w:rPr>
        <w:t>—— 参与考核的定性评价二级指标的项目总数。</w:t>
      </w:r>
    </w:p>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Times New Roman" w:hAnsi="Times New Roman" w:eastAsia="黑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定性评价指标项目及分值见表</w:t>
      </w:r>
      <w:r>
        <w:rPr>
          <w:rFonts w:hint="eastAsia" w:ascii="Times New Roman" w:hAnsi="Times New Roman" w:eastAsia="宋体" w:cs="Times New Roman"/>
          <w:color w:val="000000" w:themeColor="text1"/>
          <w:lang w:val="en-US" w:eastAsia="zh-CN"/>
          <w14:textFill>
            <w14:solidFill>
              <w14:schemeClr w14:val="tx1"/>
            </w14:solidFill>
          </w14:textFill>
        </w:rPr>
        <w:t>2.6-</w:t>
      </w:r>
      <w:r>
        <w:rPr>
          <w:rFonts w:hint="eastAsia" w:ascii="Times New Roman" w:hAnsi="Times New Roman" w:eastAsia="宋体" w:cs="Times New Roman"/>
          <w:color w:val="000000" w:themeColor="text1"/>
          <w:lang w:eastAsia="zh-CN"/>
          <w14:textFill>
            <w14:solidFill>
              <w14:schemeClr w14:val="tx1"/>
            </w14:solidFill>
          </w14:textFill>
        </w:rPr>
        <w:t>2</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pPr>
        <w:pStyle w:val="129"/>
        <w:keepNext w:val="0"/>
        <w:keepLines w:val="0"/>
        <w:pageBreakBefore w:val="0"/>
        <w:widowControl w:val="0"/>
        <w:kinsoku/>
        <w:wordWrap/>
        <w:overflowPunct/>
        <w:topLinePunct w:val="0"/>
        <w:autoSpaceDE/>
        <w:autoSpaceDN/>
        <w:bidi w:val="0"/>
        <w:adjustRightInd w:val="0"/>
        <w:snapToGrid w:val="0"/>
        <w:spacing w:before="157" w:beforeLines="50" w:line="360" w:lineRule="exact"/>
        <w:ind w:firstLine="0" w:firstLineChars="0"/>
        <w:jc w:val="center"/>
        <w:textAlignment w:val="auto"/>
        <w:rPr>
          <w:rFonts w:hint="eastAsia" w:ascii="Times New Roman" w:hAnsi="Times New Roman" w:eastAsia="黑体" w:cs="Times New Roman"/>
          <w:color w:val="000000" w:themeColor="text1"/>
          <w:sz w:val="21"/>
          <w:szCs w:val="21"/>
          <w:lang w:eastAsia="zh-CN"/>
          <w14:textFill>
            <w14:solidFill>
              <w14:schemeClr w14:val="tx1"/>
            </w14:solidFill>
          </w14:textFill>
        </w:rPr>
      </w:pPr>
      <w:r>
        <w:rPr>
          <w:rFonts w:hint="eastAsia" w:ascii="Times New Roman" w:hAnsi="Times New Roman" w:eastAsia="黑体" w:cs="Times New Roman"/>
          <w:color w:val="000000" w:themeColor="text1"/>
          <w:sz w:val="21"/>
          <w:szCs w:val="21"/>
          <w:lang w:eastAsia="zh-CN"/>
          <w14:textFill>
            <w14:solidFill>
              <w14:schemeClr w14:val="tx1"/>
            </w14:solidFill>
          </w14:textFill>
        </w:rPr>
        <w:t>表2</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.6-2</w:t>
      </w:r>
      <w:r>
        <w:rPr>
          <w:rFonts w:hint="eastAsia" w:ascii="Times New Roman" w:hAnsi="Times New Roman" w:eastAsia="黑体" w:cs="Times New Roman"/>
          <w:color w:val="000000" w:themeColor="text1"/>
          <w:sz w:val="21"/>
          <w:szCs w:val="21"/>
          <w:lang w:eastAsia="zh-CN"/>
          <w14:textFill>
            <w14:solidFill>
              <w14:schemeClr w14:val="tx1"/>
            </w14:solidFill>
          </w14:textFill>
        </w:rPr>
        <w:t xml:space="preserve">  火电企业定性评价指标项目及分值</w:t>
      </w:r>
    </w:p>
    <w:tbl>
      <w:tblPr>
        <w:tblStyle w:val="21"/>
        <w:tblW w:w="8519"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1289"/>
        <w:gridCol w:w="673"/>
        <w:gridCol w:w="2484"/>
        <w:gridCol w:w="877"/>
        <w:gridCol w:w="2423"/>
        <w:gridCol w:w="77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trHeight w:val="0" w:hRule="atLeast"/>
          <w:jc w:val="center"/>
        </w:trPr>
        <w:tc>
          <w:tcPr>
            <w:tcW w:w="1289"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一级指标</w:t>
            </w:r>
          </w:p>
        </w:tc>
        <w:tc>
          <w:tcPr>
            <w:tcW w:w="6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指标</w:t>
            </w:r>
          </w:p>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分值</w:t>
            </w:r>
          </w:p>
        </w:tc>
        <w:tc>
          <w:tcPr>
            <w:tcW w:w="2484"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二级指标</w:t>
            </w:r>
          </w:p>
        </w:tc>
        <w:tc>
          <w:tcPr>
            <w:tcW w:w="87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指标</w:t>
            </w:r>
          </w:p>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分值</w:t>
            </w:r>
          </w:p>
        </w:tc>
        <w:tc>
          <w:tcPr>
            <w:tcW w:w="242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本项目情况</w:t>
            </w:r>
          </w:p>
        </w:tc>
        <w:tc>
          <w:tcPr>
            <w:tcW w:w="7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trHeight w:val="0" w:hRule="atLeast"/>
          <w:jc w:val="center"/>
        </w:trPr>
        <w:tc>
          <w:tcPr>
            <w:tcW w:w="1289" w:type="dxa"/>
            <w:vMerge w:val="restart"/>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（1）执行国家、行业重点鼓励</w:t>
            </w:r>
          </w:p>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发展清洁生产</w:t>
            </w:r>
          </w:p>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技术的符合性</w:t>
            </w:r>
          </w:p>
        </w:tc>
        <w:tc>
          <w:tcPr>
            <w:tcW w:w="673" w:type="dxa"/>
            <w:vMerge w:val="restart"/>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45</w:t>
            </w:r>
          </w:p>
        </w:tc>
        <w:tc>
          <w:tcPr>
            <w:tcW w:w="2484"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不符合国家产业政策的小机组关停</w:t>
            </w:r>
          </w:p>
        </w:tc>
        <w:tc>
          <w:tcPr>
            <w:tcW w:w="87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10</w:t>
            </w:r>
          </w:p>
        </w:tc>
        <w:tc>
          <w:tcPr>
            <w:tcW w:w="242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无小机组</w:t>
            </w:r>
          </w:p>
        </w:tc>
        <w:tc>
          <w:tcPr>
            <w:tcW w:w="7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trHeight w:val="0" w:hRule="atLeast"/>
          <w:jc w:val="center"/>
        </w:trPr>
        <w:tc>
          <w:tcPr>
            <w:tcW w:w="1289"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73"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484"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20万机组及早期30万机组汽机通流部分完成改造</w:t>
            </w:r>
          </w:p>
        </w:tc>
        <w:tc>
          <w:tcPr>
            <w:tcW w:w="87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242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无需改造</w:t>
            </w:r>
          </w:p>
        </w:tc>
        <w:tc>
          <w:tcPr>
            <w:tcW w:w="7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trHeight w:val="0" w:hRule="atLeast"/>
          <w:jc w:val="center"/>
        </w:trPr>
        <w:tc>
          <w:tcPr>
            <w:tcW w:w="1289"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73"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484"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采用节油点火技术</w:t>
            </w:r>
          </w:p>
        </w:tc>
        <w:tc>
          <w:tcPr>
            <w:tcW w:w="87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242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采用节油点火技术</w:t>
            </w:r>
          </w:p>
        </w:tc>
        <w:tc>
          <w:tcPr>
            <w:tcW w:w="7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trHeight w:val="0" w:hRule="atLeast"/>
          <w:jc w:val="center"/>
        </w:trPr>
        <w:tc>
          <w:tcPr>
            <w:tcW w:w="1289"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73"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484"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泵与风机容量匹配及变速改造</w:t>
            </w:r>
          </w:p>
        </w:tc>
        <w:tc>
          <w:tcPr>
            <w:tcW w:w="87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242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泵与风机容量匹配</w:t>
            </w:r>
          </w:p>
        </w:tc>
        <w:tc>
          <w:tcPr>
            <w:tcW w:w="7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trHeight w:val="0" w:hRule="atLeast"/>
          <w:jc w:val="center"/>
        </w:trPr>
        <w:tc>
          <w:tcPr>
            <w:tcW w:w="1289"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73"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484"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有完善的运行监测装置</w:t>
            </w:r>
          </w:p>
        </w:tc>
        <w:tc>
          <w:tcPr>
            <w:tcW w:w="87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242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有完善的运行监测装置</w:t>
            </w:r>
          </w:p>
        </w:tc>
        <w:tc>
          <w:tcPr>
            <w:tcW w:w="7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trHeight w:val="0" w:hRule="atLeast"/>
          <w:jc w:val="center"/>
        </w:trPr>
        <w:tc>
          <w:tcPr>
            <w:tcW w:w="1289"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73"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484"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开展二氧化硫治理</w:t>
            </w:r>
          </w:p>
        </w:tc>
        <w:tc>
          <w:tcPr>
            <w:tcW w:w="87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242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开展二氧化硫治理</w:t>
            </w:r>
          </w:p>
        </w:tc>
        <w:tc>
          <w:tcPr>
            <w:tcW w:w="7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trHeight w:val="0" w:hRule="atLeast"/>
          <w:jc w:val="center"/>
        </w:trPr>
        <w:tc>
          <w:tcPr>
            <w:tcW w:w="1289"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73"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484"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采用低氮氧化物燃烧方式</w:t>
            </w:r>
          </w:p>
        </w:tc>
        <w:tc>
          <w:tcPr>
            <w:tcW w:w="87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242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采用低氮氧化物燃烧方式</w:t>
            </w:r>
          </w:p>
        </w:tc>
        <w:tc>
          <w:tcPr>
            <w:tcW w:w="7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trHeight w:val="0" w:hRule="atLeast"/>
          <w:jc w:val="center"/>
        </w:trPr>
        <w:tc>
          <w:tcPr>
            <w:tcW w:w="1289"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73"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484"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全厂污水处理及回用</w:t>
            </w:r>
          </w:p>
        </w:tc>
        <w:tc>
          <w:tcPr>
            <w:tcW w:w="87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242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全厂污水处理及回用</w:t>
            </w:r>
          </w:p>
        </w:tc>
        <w:tc>
          <w:tcPr>
            <w:tcW w:w="7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trHeight w:val="0" w:hRule="atLeast"/>
          <w:jc w:val="center"/>
        </w:trPr>
        <w:tc>
          <w:tcPr>
            <w:tcW w:w="1289" w:type="dxa"/>
            <w:vMerge w:val="restart"/>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（2）清洁</w:t>
            </w:r>
          </w:p>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生产管理</w:t>
            </w:r>
          </w:p>
        </w:tc>
        <w:tc>
          <w:tcPr>
            <w:tcW w:w="673" w:type="dxa"/>
            <w:vMerge w:val="restart"/>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30</w:t>
            </w:r>
          </w:p>
        </w:tc>
        <w:tc>
          <w:tcPr>
            <w:tcW w:w="2484"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开展燃料平衡、热平衡、电能平衡、水平衡测试</w:t>
            </w:r>
          </w:p>
        </w:tc>
        <w:tc>
          <w:tcPr>
            <w:tcW w:w="87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15</w:t>
            </w:r>
          </w:p>
        </w:tc>
        <w:tc>
          <w:tcPr>
            <w:tcW w:w="242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项目运营后对其进行测试</w:t>
            </w:r>
          </w:p>
        </w:tc>
        <w:tc>
          <w:tcPr>
            <w:tcW w:w="7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trHeight w:val="0" w:hRule="atLeast"/>
          <w:jc w:val="center"/>
        </w:trPr>
        <w:tc>
          <w:tcPr>
            <w:tcW w:w="1289"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73"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484"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开展煤质源头控制</w:t>
            </w:r>
          </w:p>
        </w:tc>
        <w:tc>
          <w:tcPr>
            <w:tcW w:w="87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242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开展煤质源头控制</w:t>
            </w:r>
          </w:p>
        </w:tc>
        <w:tc>
          <w:tcPr>
            <w:tcW w:w="7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trHeight w:val="0" w:hRule="atLeast"/>
          <w:jc w:val="center"/>
        </w:trPr>
        <w:tc>
          <w:tcPr>
            <w:tcW w:w="1289"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73"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484"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开展全面清洁生产审核</w:t>
            </w:r>
          </w:p>
        </w:tc>
        <w:tc>
          <w:tcPr>
            <w:tcW w:w="87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10</w:t>
            </w:r>
          </w:p>
        </w:tc>
        <w:tc>
          <w:tcPr>
            <w:tcW w:w="242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开展全面清洁生产审核</w:t>
            </w:r>
          </w:p>
        </w:tc>
        <w:tc>
          <w:tcPr>
            <w:tcW w:w="7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trHeight w:val="0" w:hRule="atLeast"/>
          <w:jc w:val="center"/>
        </w:trPr>
        <w:tc>
          <w:tcPr>
            <w:tcW w:w="1289" w:type="dxa"/>
            <w:vMerge w:val="restart"/>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（3）环境管理体系建立及贯彻执行环境保护法规的符合性</w:t>
            </w:r>
          </w:p>
        </w:tc>
        <w:tc>
          <w:tcPr>
            <w:tcW w:w="673" w:type="dxa"/>
            <w:vMerge w:val="restart"/>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25</w:t>
            </w:r>
          </w:p>
        </w:tc>
        <w:tc>
          <w:tcPr>
            <w:tcW w:w="2484"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建立环境管理体系并通过认证</w:t>
            </w:r>
          </w:p>
        </w:tc>
        <w:tc>
          <w:tcPr>
            <w:tcW w:w="87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242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同步建立环境管理体系</w:t>
            </w:r>
          </w:p>
        </w:tc>
        <w:tc>
          <w:tcPr>
            <w:tcW w:w="7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trHeight w:val="0" w:hRule="atLeast"/>
          <w:jc w:val="center"/>
        </w:trPr>
        <w:tc>
          <w:tcPr>
            <w:tcW w:w="1289"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73"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484"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建设项目环保 “三同时”执行情况</w:t>
            </w:r>
          </w:p>
        </w:tc>
        <w:tc>
          <w:tcPr>
            <w:tcW w:w="87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242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开展</w:t>
            </w:r>
            <w:r>
              <w:rPr>
                <w:rFonts w:hint="default" w:ascii="Times New Roman" w:hAnsi="Times New Roman" w:eastAsia="宋体" w:cs="Times New Roman"/>
                <w:color w:val="000000" w:themeColor="text1"/>
                <w:sz w:val="21"/>
                <w:szCs w:val="21"/>
                <w:lang w:eastAsia="zh-CN"/>
                <w14:textFill>
                  <w14:solidFill>
                    <w14:schemeClr w14:val="tx1"/>
                  </w14:solidFill>
                </w14:textFill>
              </w:rPr>
              <w:t>环保 “三同时”</w:t>
            </w:r>
          </w:p>
        </w:tc>
        <w:tc>
          <w:tcPr>
            <w:tcW w:w="7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trHeight w:val="0" w:hRule="atLeast"/>
          <w:jc w:val="center"/>
        </w:trPr>
        <w:tc>
          <w:tcPr>
            <w:tcW w:w="1289"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73"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484"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建设项目环境影响评价制度执行情况</w:t>
            </w:r>
          </w:p>
        </w:tc>
        <w:tc>
          <w:tcPr>
            <w:tcW w:w="87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242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已开展环评</w:t>
            </w:r>
          </w:p>
        </w:tc>
        <w:tc>
          <w:tcPr>
            <w:tcW w:w="7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trHeight w:val="0" w:hRule="atLeast"/>
          <w:jc w:val="center"/>
        </w:trPr>
        <w:tc>
          <w:tcPr>
            <w:tcW w:w="1289"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73"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484"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老污染源限期治理项目完成情况</w:t>
            </w:r>
          </w:p>
        </w:tc>
        <w:tc>
          <w:tcPr>
            <w:tcW w:w="87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242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无</w:t>
            </w:r>
          </w:p>
        </w:tc>
        <w:tc>
          <w:tcPr>
            <w:tcW w:w="7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cantSplit/>
          <w:trHeight w:val="0" w:hRule="atLeast"/>
          <w:jc w:val="center"/>
        </w:trPr>
        <w:tc>
          <w:tcPr>
            <w:tcW w:w="1289"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673" w:type="dxa"/>
            <w:vMerge w:val="continue"/>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2484"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污染物排放总量控制情况</w:t>
            </w:r>
          </w:p>
        </w:tc>
        <w:tc>
          <w:tcPr>
            <w:tcW w:w="877"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w:t>
            </w:r>
          </w:p>
        </w:tc>
        <w:tc>
          <w:tcPr>
            <w:tcW w:w="242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污染物排放</w:t>
            </w:r>
            <w:r>
              <w:rPr>
                <w:rFonts w:hint="eastAsia" w:ascii="Times New Roman" w:hAnsi="Times New Roman" w:eastAsia="宋体" w:cs="Times New Roman"/>
                <w:color w:val="000000" w:themeColor="text1"/>
                <w:sz w:val="21"/>
                <w:szCs w:val="21"/>
                <w:lang w:eastAsia="zh-CN"/>
                <w14:textFill>
                  <w14:solidFill>
                    <w14:schemeClr w14:val="tx1"/>
                  </w14:solidFill>
                </w14:textFill>
              </w:rPr>
              <w:t>达到特排要求</w:t>
            </w:r>
          </w:p>
        </w:tc>
        <w:tc>
          <w:tcPr>
            <w:tcW w:w="773" w:type="dxa"/>
            <w:tcBorders>
              <w:tl2br w:val="nil"/>
              <w:tr2bl w:val="nil"/>
            </w:tcBorders>
            <w:noWrap w:val="0"/>
            <w:vAlign w:val="center"/>
          </w:tcPr>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r>
    </w:tbl>
    <w:p>
      <w:pPr>
        <w:pStyle w:val="129"/>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p>
      <w:pPr>
        <w:pStyle w:val="129"/>
        <w:keepNext w:val="0"/>
        <w:keepLines w:val="0"/>
        <w:pageBreakBefore w:val="0"/>
        <w:widowControl w:val="0"/>
        <w:kinsoku/>
        <w:wordWrap/>
        <w:overflowPunct/>
        <w:topLinePunct w:val="0"/>
        <w:autoSpaceDE/>
        <w:autoSpaceDN/>
        <w:bidi w:val="0"/>
        <w:adjustRightInd w:val="0"/>
        <w:snapToGrid w:val="0"/>
        <w:ind w:left="0" w:leftChars="0" w:firstLine="482" w:firstLineChars="200"/>
        <w:textAlignment w:val="auto"/>
        <w:rPr>
          <w:rFonts w:hint="default" w:ascii="Times New Roman" w:hAnsi="Times New Roman" w:eastAsia="宋体" w:cs="Times New Roman"/>
          <w:b/>
          <w:bCs w:val="0"/>
          <w:color w:val="000000" w:themeColor="text1"/>
          <w14:textFill>
            <w14:solidFill>
              <w14:schemeClr w14:val="tx1"/>
            </w14:solidFill>
          </w14:textFill>
        </w:rPr>
      </w:pPr>
      <w:bookmarkStart w:id="104" w:name="_Toc158102713"/>
      <w:r>
        <w:rPr>
          <w:rFonts w:hint="eastAsia" w:ascii="Times New Roman" w:hAnsi="Times New Roman" w:eastAsia="宋体" w:cs="Times New Roman"/>
          <w:b/>
          <w:bCs w:val="0"/>
          <w:color w:val="000000" w:themeColor="text1"/>
          <w:lang w:eastAsia="zh-CN"/>
          <w14:textFill>
            <w14:solidFill>
              <w14:schemeClr w14:val="tx1"/>
            </w14:solidFill>
          </w14:textFill>
        </w:rPr>
        <w:t>（</w:t>
      </w:r>
      <w:r>
        <w:rPr>
          <w:rFonts w:hint="eastAsia" w:ascii="Times New Roman" w:hAnsi="Times New Roman" w:eastAsia="宋体" w:cs="Times New Roman"/>
          <w:b/>
          <w:bCs w:val="0"/>
          <w:color w:val="000000" w:themeColor="text1"/>
          <w:lang w:val="en-US" w:eastAsia="zh-CN"/>
          <w14:textFill>
            <w14:solidFill>
              <w14:schemeClr w14:val="tx1"/>
            </w14:solidFill>
          </w14:textFill>
        </w:rPr>
        <w:t>3</w:t>
      </w:r>
      <w:r>
        <w:rPr>
          <w:rFonts w:hint="eastAsia" w:ascii="Times New Roman" w:hAnsi="Times New Roman" w:eastAsia="宋体" w:cs="Times New Roman"/>
          <w:b/>
          <w:bCs w:val="0"/>
          <w:color w:val="000000" w:themeColor="text1"/>
          <w:lang w:eastAsia="zh-CN"/>
          <w14:textFill>
            <w14:solidFill>
              <w14:schemeClr w14:val="tx1"/>
            </w14:solidFill>
          </w14:textFill>
        </w:rPr>
        <w:t>）</w:t>
      </w:r>
      <w:r>
        <w:rPr>
          <w:rFonts w:hint="default" w:ascii="Times New Roman" w:hAnsi="Times New Roman" w:eastAsia="宋体" w:cs="Times New Roman"/>
          <w:b/>
          <w:bCs w:val="0"/>
          <w:color w:val="000000" w:themeColor="text1"/>
          <w14:textFill>
            <w14:solidFill>
              <w14:schemeClr w14:val="tx1"/>
            </w14:solidFill>
          </w14:textFill>
        </w:rPr>
        <w:t>综合评价指数的考核评分计算</w:t>
      </w:r>
      <w:bookmarkEnd w:id="104"/>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为了综合考核火电企业清洁生产的总体水平，在对该企业进行定量和定性评价考核评分的基础上，将这两类指标的考核得分按权重（定量和定性评价指标各占70%、30%）予以综合，得出该企业的清洁生产综合评价指数。</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综合评价指数是评价被考核企业在考核年度内清洁生产总体水平的一项综合指标。综合评价指数之差可以反映企业之间清洁生产水平的总体差距。综合评价指数按式（5）计算：</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object>
          <v:shape id="_x0000_i1029" o:spt="75" type="#_x0000_t75" style="height:14.55pt;width:74.5pt;" o:ole="t" fillcolor="#000011" filled="f" o:preferrelative="t" stroked="f" coordsize="21600,21600">
            <v:path/>
            <v:fill on="f" alignshape="1" focussize="0,0"/>
            <v:stroke on="f"/>
            <v:imagedata r:id="rId29" grayscale="f" bilevel="f" o:title=""/>
            <o:lock v:ext="edit" aspectratio="t"/>
            <w10:wrap type="none"/>
            <w10:anchorlock/>
          </v:shape>
          <o:OLEObject Type="Embed" ProgID="Equation.3" ShapeID="_x0000_i1029" DrawAspect="Content" ObjectID="_1468075729" r:id="rId28">
            <o:LockedField>false</o:LockedField>
          </o:OLEObject>
        </w:object>
      </w:r>
      <w:r>
        <w:rPr>
          <w:rFonts w:hint="default" w:ascii="Times New Roman" w:hAnsi="Times New Roman" w:eastAsia="宋体" w:cs="Times New Roman"/>
          <w:color w:val="000000" w:themeColor="text1"/>
          <w14:textFill>
            <w14:solidFill>
              <w14:schemeClr w14:val="tx1"/>
            </w14:solidFill>
          </w14:textFill>
        </w:rPr>
        <w:t xml:space="preserve">                          （5）</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式中：</w:t>
      </w:r>
      <w:r>
        <w:rPr>
          <w:rFonts w:hint="default" w:ascii="Times New Roman" w:hAnsi="Times New Roman" w:eastAsia="宋体" w:cs="Times New Roman"/>
          <w:i/>
          <w:iCs/>
          <w:color w:val="000000" w:themeColor="text1"/>
          <w14:textFill>
            <w14:solidFill>
              <w14:schemeClr w14:val="tx1"/>
            </w14:solidFill>
          </w14:textFill>
        </w:rPr>
        <w:t>P</w:t>
      </w:r>
      <w:r>
        <w:rPr>
          <w:rFonts w:hint="default" w:ascii="Times New Roman" w:hAnsi="Times New Roman" w:eastAsia="宋体" w:cs="Times New Roman"/>
          <w:color w:val="000000" w:themeColor="text1"/>
          <w14:textFill>
            <w14:solidFill>
              <w14:schemeClr w14:val="tx1"/>
            </w14:solidFill>
          </w14:textFill>
        </w:rPr>
        <w:t> —— 企业清洁生产的综合评价指数；</w:t>
      </w:r>
    </w:p>
    <w:p>
      <w:pPr>
        <w:pStyle w:val="129"/>
        <w:keepNext w:val="0"/>
        <w:keepLines w:val="0"/>
        <w:pageBreakBefore w:val="0"/>
        <w:widowControl w:val="0"/>
        <w:kinsoku/>
        <w:wordWrap/>
        <w:overflowPunct/>
        <w:topLinePunct w:val="0"/>
        <w:autoSpaceDE/>
        <w:autoSpaceDN/>
        <w:bidi w:val="0"/>
        <w:adjustRightInd w:val="0"/>
        <w:snapToGrid w:val="0"/>
        <w:ind w:left="0" w:leftChars="0" w:firstLine="1200" w:firstLineChars="5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P</w:t>
      </w:r>
      <w:r>
        <w:rPr>
          <w:rFonts w:hint="default" w:ascii="Times New Roman" w:hAnsi="Times New Roman" w:eastAsia="宋体" w:cs="Times New Roman"/>
          <w:i/>
          <w:iCs/>
          <w:color w:val="000000" w:themeColor="text1"/>
          <w:vertAlign w:val="subscript"/>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 —— 定量评价指标中各二级评价指标考核总分值；</w:t>
      </w:r>
    </w:p>
    <w:p>
      <w:pPr>
        <w:pStyle w:val="129"/>
        <w:keepNext w:val="0"/>
        <w:keepLines w:val="0"/>
        <w:pageBreakBefore w:val="0"/>
        <w:widowControl w:val="0"/>
        <w:kinsoku/>
        <w:wordWrap/>
        <w:overflowPunct/>
        <w:topLinePunct w:val="0"/>
        <w:autoSpaceDE/>
        <w:autoSpaceDN/>
        <w:bidi w:val="0"/>
        <w:adjustRightInd w:val="0"/>
        <w:snapToGrid w:val="0"/>
        <w:ind w:left="0" w:leftChars="0" w:firstLine="1200" w:firstLineChars="5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P</w:t>
      </w:r>
      <w:r>
        <w:rPr>
          <w:rFonts w:hint="default" w:ascii="Times New Roman" w:hAnsi="Times New Roman" w:eastAsia="宋体" w:cs="Times New Roman"/>
          <w:i/>
          <w:iCs/>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 —— 定性评价指标中各二级评价指标考核总分值。</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根据我国目前火电行业的实际情况，不同等级清洁生产企业的综合评价指数列于表</w:t>
      </w:r>
      <w:r>
        <w:rPr>
          <w:rFonts w:hint="eastAsia" w:ascii="Times New Roman" w:hAnsi="Times New Roman" w:eastAsia="宋体" w:cs="Times New Roman"/>
          <w:color w:val="000000" w:themeColor="text1"/>
          <w:lang w:val="en-US" w:eastAsia="zh-CN"/>
          <w14:textFill>
            <w14:solidFill>
              <w14:schemeClr w14:val="tx1"/>
            </w14:solidFill>
          </w14:textFill>
        </w:rPr>
        <w:t>2.6-3</w:t>
      </w:r>
      <w:r>
        <w:rPr>
          <w:rFonts w:hint="default" w:ascii="Times New Roman" w:hAnsi="Times New Roman" w:eastAsia="宋体" w:cs="Times New Roman"/>
          <w:color w:val="000000" w:themeColor="text1"/>
          <w14:textFill>
            <w14:solidFill>
              <w14:schemeClr w14:val="tx1"/>
            </w14:solidFill>
          </w14:textFill>
        </w:rPr>
        <w:t>。</w:t>
      </w:r>
    </w:p>
    <w:p>
      <w:pPr>
        <w:pStyle w:val="129"/>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表</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 xml:space="preserve">2.6-3   </w:t>
      </w:r>
      <w:r>
        <w:rPr>
          <w:rFonts w:hint="default" w:ascii="Times New Roman" w:hAnsi="Times New Roman" w:eastAsia="黑体" w:cs="Times New Roman"/>
          <w:color w:val="000000" w:themeColor="text1"/>
          <w:sz w:val="21"/>
          <w:szCs w:val="21"/>
          <w14:textFill>
            <w14:solidFill>
              <w14:schemeClr w14:val="tx1"/>
            </w14:solidFill>
          </w14:textFill>
        </w:rPr>
        <w:t xml:space="preserve">  火电行业不同等级的清洁生产企业综合评价指数</w:t>
      </w:r>
    </w:p>
    <w:tbl>
      <w:tblPr>
        <w:tblStyle w:val="21"/>
        <w:tblW w:w="830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4152"/>
        <w:gridCol w:w="415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tblHeader/>
        </w:trPr>
        <w:tc>
          <w:tcPr>
            <w:tcW w:w="4152" w:type="dxa"/>
            <w:tcBorders>
              <w:tl2br w:val="nil"/>
              <w:tr2bl w:val="nil"/>
            </w:tcBorders>
            <w:noWrap w:val="0"/>
            <w:vAlign w:val="top"/>
          </w:tcPr>
          <w:p>
            <w:pPr>
              <w:pStyle w:val="129"/>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清洁生产企业等级</w:t>
            </w:r>
          </w:p>
        </w:tc>
        <w:tc>
          <w:tcPr>
            <w:tcW w:w="4154" w:type="dxa"/>
            <w:tcBorders>
              <w:tl2br w:val="nil"/>
              <w:tr2bl w:val="nil"/>
            </w:tcBorders>
            <w:noWrap w:val="0"/>
            <w:vAlign w:val="top"/>
          </w:tcPr>
          <w:p>
            <w:pPr>
              <w:pStyle w:val="129"/>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清洁生产综合评价指数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tblHeader/>
        </w:trPr>
        <w:tc>
          <w:tcPr>
            <w:tcW w:w="4152" w:type="dxa"/>
            <w:tcBorders>
              <w:tl2br w:val="nil"/>
              <w:tr2bl w:val="nil"/>
            </w:tcBorders>
            <w:noWrap w:val="0"/>
            <w:vAlign w:val="top"/>
          </w:tcPr>
          <w:p>
            <w:pPr>
              <w:pStyle w:val="129"/>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清洁生产先进企业</w:t>
            </w:r>
          </w:p>
        </w:tc>
        <w:tc>
          <w:tcPr>
            <w:tcW w:w="4154" w:type="dxa"/>
            <w:tcBorders>
              <w:tl2br w:val="nil"/>
              <w:tr2bl w:val="nil"/>
            </w:tcBorders>
            <w:noWrap w:val="0"/>
            <w:vAlign w:val="top"/>
          </w:tcPr>
          <w:p>
            <w:pPr>
              <w:pStyle w:val="129"/>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P≥95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Ex>
        <w:trPr>
          <w:tblHeader/>
        </w:trPr>
        <w:tc>
          <w:tcPr>
            <w:tcW w:w="4152" w:type="dxa"/>
            <w:tcBorders>
              <w:tl2br w:val="nil"/>
              <w:tr2bl w:val="nil"/>
            </w:tcBorders>
            <w:noWrap w:val="0"/>
            <w:vAlign w:val="top"/>
          </w:tcPr>
          <w:p>
            <w:pPr>
              <w:pStyle w:val="129"/>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清洁生产企业</w:t>
            </w:r>
          </w:p>
        </w:tc>
        <w:tc>
          <w:tcPr>
            <w:tcW w:w="4154" w:type="dxa"/>
            <w:tcBorders>
              <w:tl2br w:val="nil"/>
              <w:tr2bl w:val="nil"/>
            </w:tcBorders>
            <w:noWrap w:val="0"/>
            <w:vAlign w:val="top"/>
          </w:tcPr>
          <w:p>
            <w:pPr>
              <w:pStyle w:val="129"/>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80≤P＜95</w:t>
            </w:r>
          </w:p>
        </w:tc>
      </w:tr>
    </w:tbl>
    <w:p>
      <w:pPr>
        <w:pStyle w:val="129"/>
        <w:keepNext w:val="0"/>
        <w:keepLines w:val="0"/>
        <w:pageBreakBefore w:val="0"/>
        <w:widowControl w:val="0"/>
        <w:kinsoku/>
        <w:wordWrap/>
        <w:overflowPunct/>
        <w:topLinePunct w:val="0"/>
        <w:autoSpaceDE/>
        <w:autoSpaceDN/>
        <w:bidi w:val="0"/>
        <w:adjustRightInd w:val="0"/>
        <w:snapToGrid w:val="0"/>
        <w:spacing w:before="157" w:beforeLines="50"/>
        <w:ind w:left="0" w:lef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经计算，本项目清洁生产的综合评价指数为</w:t>
      </w:r>
      <w:r>
        <w:rPr>
          <w:rFonts w:hint="eastAsia" w:ascii="Times New Roman" w:hAnsi="Times New Roman" w:eastAsia="宋体" w:cs="Times New Roman"/>
          <w:color w:val="000000" w:themeColor="text1"/>
          <w:lang w:val="en-US" w:eastAsia="zh-CN"/>
          <w14:textFill>
            <w14:solidFill>
              <w14:schemeClr w14:val="tx1"/>
            </w14:solidFill>
          </w14:textFill>
        </w:rPr>
        <w:t>102.5</w:t>
      </w:r>
      <w:r>
        <w:rPr>
          <w:rFonts w:hint="eastAsia" w:ascii="Times New Roman" w:hAnsi="Times New Roman" w:eastAsia="宋体" w:cs="Times New Roman"/>
          <w:color w:val="000000" w:themeColor="text1"/>
          <w:lang w:eastAsia="zh-CN"/>
          <w14:textFill>
            <w14:solidFill>
              <w14:schemeClr w14:val="tx1"/>
            </w14:solidFill>
          </w14:textFill>
        </w:rPr>
        <w:t>，根据“火电行业不同等级的清洁生产企业综合评价指数表”，本项目为清洁生产先进企业。</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kern w:val="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kern w:val="0"/>
          <w:position w:val="0"/>
          <w:sz w:val="28"/>
          <w:szCs w:val="28"/>
          <w:u w:val="none"/>
          <w:lang w:val="en-US" w:eastAsia="zh-CN" w:bidi="zh-CN"/>
          <w14:textFill>
            <w14:solidFill>
              <w14:schemeClr w14:val="tx1"/>
            </w14:solidFill>
          </w14:textFill>
        </w:rPr>
        <w:t xml:space="preserve">2.6.2 </w:t>
      </w:r>
      <w:r>
        <w:rPr>
          <w:rFonts w:hint="eastAsia" w:ascii="Times New Roman" w:hAnsi="Times New Roman" w:eastAsia="宋体" w:cs="Times New Roman"/>
          <w:b/>
          <w:bCs/>
          <w:color w:val="000000" w:themeColor="text1"/>
          <w:spacing w:val="0"/>
          <w:w w:val="100"/>
          <w:kern w:val="0"/>
          <w:position w:val="0"/>
          <w:sz w:val="28"/>
          <w:szCs w:val="28"/>
          <w:u w:val="none"/>
          <w:lang w:val="en-US" w:eastAsia="en-US" w:bidi="zh-CN"/>
          <w14:textFill>
            <w14:solidFill>
              <w14:schemeClr w14:val="tx1"/>
            </w14:solidFill>
          </w14:textFill>
        </w:rPr>
        <w:t>循环经济分析</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循环经济是对物质闭环流动型经济的简称，是以物质、能量梯次和闭路循环使用为特征的经济形态，它要求遵循生态学规律，合理利用自然资源和环境容量。循环经济把清洁生产、资源综合利用、生态设计和可持续消费等融为一体，实现废物减量化、资源化和无害化。发展循环经济的根本目标是要在经济增长过程中系统地避免或减少废物产生，实现污染物低排放或零排放，促进经济和社会的全面、协调和可持续发展。</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本项目采用生产废水经沉淀处理后回用，不外排；产生的固体废物经收集后进行综合利用，减少了废水、固废排放量，同时减少新鲜水消耗量，使得排入环境的污染物减少到最低限，减少了对环境的影响。</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本项目循环经济体现在如下几个方面：</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Times New Roman"/>
          <w:color w:val="000000" w:themeColor="text1"/>
          <w:lang w:val="zh-CN" w:eastAsia="zh-CN"/>
          <w14:textFill>
            <w14:solidFill>
              <w14:schemeClr w14:val="tx1"/>
            </w14:solidFill>
          </w14:textFill>
        </w:rPr>
      </w:pPr>
      <w:r>
        <w:rPr>
          <w:rFonts w:hint="eastAsia" w:ascii="Times New Roman" w:hAnsi="Times New Roman" w:eastAsia="宋体" w:cs="Times New Roman"/>
          <w:color w:val="000000" w:themeColor="text1"/>
          <w:lang w:val="zh-CN"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1</w:t>
      </w:r>
      <w:r>
        <w:rPr>
          <w:rFonts w:hint="eastAsia" w:ascii="Times New Roman" w:hAnsi="Times New Roman" w:eastAsia="宋体" w:cs="Times New Roman"/>
          <w:color w:val="000000" w:themeColor="text1"/>
          <w:lang w:val="zh-CN" w:eastAsia="zh-CN"/>
          <w14:textFill>
            <w14:solidFill>
              <w14:schemeClr w14:val="tx1"/>
            </w14:solidFill>
          </w14:textFill>
        </w:rPr>
        <w:t>）厂区排水系统采用分流制，设有生活污水排水系统、工业污水、雨水排水系统，化水废水处理系统。</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Times New Roman"/>
          <w:color w:val="000000" w:themeColor="text1"/>
          <w:lang w:val="zh-CN" w:eastAsia="zh-CN"/>
          <w14:textFill>
            <w14:solidFill>
              <w14:schemeClr w14:val="tx1"/>
            </w14:solidFill>
          </w14:textFill>
        </w:rPr>
      </w:pPr>
      <w:r>
        <w:rPr>
          <w:rFonts w:hint="eastAsia" w:ascii="Times New Roman" w:hAnsi="Times New Roman" w:eastAsia="宋体" w:cs="Times New Roman"/>
          <w:color w:val="000000" w:themeColor="text1"/>
          <w:lang w:val="zh-CN"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2</w:t>
      </w:r>
      <w:r>
        <w:rPr>
          <w:rFonts w:hint="eastAsia" w:ascii="Times New Roman" w:hAnsi="Times New Roman" w:eastAsia="宋体" w:cs="Times New Roman"/>
          <w:color w:val="000000" w:themeColor="text1"/>
          <w:lang w:val="zh-CN" w:eastAsia="zh-CN"/>
          <w14:textFill>
            <w14:solidFill>
              <w14:schemeClr w14:val="tx1"/>
            </w14:solidFill>
          </w14:textFill>
        </w:rPr>
        <w:t>）主厂房和各辅助建筑物的生活污水，排入生活污水下水道并接入生活污水处理站进行处理，处理后的水夏季作为厂区绿化及道路浇洒用水。电厂冬季生活污水经处理后排入厂区工业废水处理站内的清水池内回用。</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Times New Roman"/>
          <w:color w:val="000000" w:themeColor="text1"/>
          <w:lang w:val="zh-CN" w:eastAsia="zh-CN"/>
          <w14:textFill>
            <w14:solidFill>
              <w14:schemeClr w14:val="tx1"/>
            </w14:solidFill>
          </w14:textFill>
        </w:rPr>
      </w:pPr>
      <w:r>
        <w:rPr>
          <w:rFonts w:hint="eastAsia" w:ascii="Times New Roman" w:hAnsi="Times New Roman" w:eastAsia="宋体" w:cs="Times New Roman"/>
          <w:color w:val="000000" w:themeColor="text1"/>
          <w:lang w:val="zh-CN"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eastAsia" w:ascii="Times New Roman" w:hAnsi="Times New Roman" w:eastAsia="宋体" w:cs="Times New Roman"/>
          <w:color w:val="000000" w:themeColor="text1"/>
          <w:lang w:val="zh-CN" w:eastAsia="zh-CN"/>
          <w14:textFill>
            <w14:solidFill>
              <w14:schemeClr w14:val="tx1"/>
            </w14:solidFill>
          </w14:textFill>
        </w:rPr>
        <w:t>）化学水处理室排出的水在化学水处理车间内分别进行回收至工业废水处理站处理后回用。</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Times New Roman"/>
          <w:color w:val="000000" w:themeColor="text1"/>
          <w:lang w:val="zh-CN" w:eastAsia="zh-CN"/>
          <w14:textFill>
            <w14:solidFill>
              <w14:schemeClr w14:val="tx1"/>
            </w14:solidFill>
          </w14:textFill>
        </w:rPr>
      </w:pPr>
      <w:r>
        <w:rPr>
          <w:rFonts w:hint="eastAsia" w:ascii="Times New Roman" w:hAnsi="Times New Roman" w:eastAsia="宋体" w:cs="Times New Roman"/>
          <w:color w:val="000000" w:themeColor="text1"/>
          <w:lang w:val="zh-CN"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4</w:t>
      </w:r>
      <w:r>
        <w:rPr>
          <w:rFonts w:hint="eastAsia" w:ascii="Times New Roman" w:hAnsi="Times New Roman" w:eastAsia="宋体" w:cs="Times New Roman"/>
          <w:color w:val="000000" w:themeColor="text1"/>
          <w:lang w:val="zh-CN" w:eastAsia="zh-CN"/>
          <w14:textFill>
            <w14:solidFill>
              <w14:schemeClr w14:val="tx1"/>
            </w14:solidFill>
          </w14:textFill>
        </w:rPr>
        <w:t>）主厂房区域的锅炉定排水经过定排井回收后经升压送至厂区循环水系统。</w:t>
      </w:r>
    </w:p>
    <w:p>
      <w:pPr>
        <w:pStyle w:val="12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zh-CN"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脱硫后产生脱硫灰的输送采用管正压气力输灰系统输送至脱硫灰库，本项目己与克拉玛依市厉达油田工程技术服务有限公司签订了脱硫灰供应协议，本项目投运后的脱硫灰由其承诺收购使用，本项目运营期间脱硫灰综合利用率可达到100%。</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20" w:firstLineChars="200"/>
        <w:jc w:val="both"/>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综合分析，本项目清洁生产、物质循环利用符合相关要求。</w:t>
      </w:r>
    </w:p>
    <w:p>
      <w:pPr>
        <w:pStyle w:val="3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kern w:val="0"/>
          <w:position w:val="0"/>
          <w:sz w:val="32"/>
          <w:szCs w:val="32"/>
          <w:u w:val="none"/>
          <w:lang w:val="en-US" w:eastAsia="zh-CN" w:bidi="zh-CN"/>
          <w14:textFill>
            <w14:solidFill>
              <w14:schemeClr w14:val="tx1"/>
            </w14:solidFill>
          </w14:textFill>
        </w:rPr>
      </w:pPr>
      <w:bookmarkStart w:id="105" w:name="_Toc12017203"/>
      <w:r>
        <w:rPr>
          <w:rFonts w:hint="eastAsia" w:ascii="Times New Roman" w:hAnsi="Times New Roman" w:eastAsia="宋体" w:cs="Times New Roman"/>
          <w:b/>
          <w:bCs/>
          <w:color w:val="000000" w:themeColor="text1"/>
          <w:spacing w:val="0"/>
          <w:w w:val="100"/>
          <w:kern w:val="0"/>
          <w:position w:val="0"/>
          <w:sz w:val="32"/>
          <w:szCs w:val="32"/>
          <w:u w:val="none"/>
          <w:lang w:val="en-US" w:eastAsia="zh-CN" w:bidi="zh-CN"/>
          <w14:textFill>
            <w14:solidFill>
              <w14:schemeClr w14:val="tx1"/>
            </w14:solidFill>
          </w14:textFill>
        </w:rPr>
        <w:t>2.7与相关规划符合性分析</w:t>
      </w:r>
      <w:bookmarkEnd w:id="105"/>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kern w:val="0"/>
          <w:position w:val="0"/>
          <w:sz w:val="28"/>
          <w:szCs w:val="28"/>
          <w:u w:val="none"/>
          <w:lang w:val="en-US"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kern w:val="0"/>
          <w:position w:val="0"/>
          <w:sz w:val="28"/>
          <w:szCs w:val="28"/>
          <w:u w:val="none"/>
          <w:lang w:val="en-US" w:eastAsia="zh-CN" w:bidi="zh-CN"/>
          <w14:textFill>
            <w14:solidFill>
              <w14:schemeClr w14:val="tx1"/>
            </w14:solidFill>
          </w14:textFill>
        </w:rPr>
        <w:t>2.7.1产业政策符合性分析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本项目建设属于《产业结构调整指导目录（2011年本）》（2013年修正）中“第一类鼓励类：二十二、城市基础建设-11.城镇集中供热建设和改造工程”。符合国家的产业政策。</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kern w:val="0"/>
          <w:position w:val="0"/>
          <w:sz w:val="28"/>
          <w:szCs w:val="28"/>
          <w:u w:val="none"/>
          <w:lang w:val="en-US"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kern w:val="0"/>
          <w:position w:val="0"/>
          <w:sz w:val="28"/>
          <w:szCs w:val="28"/>
          <w:u w:val="none"/>
          <w:lang w:val="en-US" w:eastAsia="zh-CN" w:bidi="zh-CN"/>
          <w14:textFill>
            <w14:solidFill>
              <w14:schemeClr w14:val="tx1"/>
            </w14:solidFill>
          </w14:textFill>
        </w:rPr>
        <w:t>2.7.2相关规划符合性分析</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1</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与开发区规划符合性</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项目所在克拉玛依高新区技术产业开发区（原名克拉玛依石油化工工业园区）已编制规划环评并取得了审查意见新环评价函</w:t>
      </w:r>
      <w:r>
        <w:rPr>
          <w:rFonts w:hint="default" w:ascii="Times New Roman" w:hAnsi="Times New Roman" w:cs="Times New Roman"/>
          <w:color w:val="000000" w:themeColor="text1"/>
          <w:sz w:val="24"/>
          <w14:textFill>
            <w14:solidFill>
              <w14:schemeClr w14:val="tx1"/>
            </w14:solidFill>
          </w14:textFill>
        </w:rPr>
        <w:t>[2012]692</w:t>
      </w:r>
      <w:r>
        <w:rPr>
          <w:rFonts w:hint="eastAsia" w:ascii="Times New Roman" w:hAnsi="Times New Roman" w:cs="Times New Roman"/>
          <w:color w:val="000000" w:themeColor="text1"/>
          <w:sz w:val="24"/>
          <w14:textFill>
            <w14:solidFill>
              <w14:schemeClr w14:val="tx1"/>
            </w14:solidFill>
          </w14:textFill>
        </w:rPr>
        <w:t>号；2017年1月园区更名为克拉玛依高新区技术产业开发区。开发区重点发展炼油、石油化工、煤化工深加工，同时发展石油工程技术（化学）服务、石油（化）物流中心等辅助产业。规划的开发区将成为集约化、规模化、产业一体化、结构合理、基础设施完善的新型综合发展工业区，成为克拉玛依市经济发展的增长极、工业旅游示范点和绿色环保安全的国家级化工工业开发区。本项目为开发区的配套热动力中心工程，主要为开发区的化工企业提供工业热负荷，同时为三平镇和金龙镇提供采暖负荷，符合开发区产业规划要求。</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2</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《自治区打赢蓝天保卫战三年行动计划（</w:t>
      </w:r>
      <w:r>
        <w:rPr>
          <w:rFonts w:hint="default" w:ascii="Times New Roman" w:hAnsi="Times New Roman" w:cs="Times New Roman"/>
          <w:color w:val="000000" w:themeColor="text1"/>
          <w:sz w:val="24"/>
          <w14:textFill>
            <w14:solidFill>
              <w14:schemeClr w14:val="tx1"/>
            </w14:solidFill>
          </w14:textFill>
        </w:rPr>
        <w:t>2018-2020</w:t>
      </w:r>
      <w:r>
        <w:rPr>
          <w:rFonts w:hint="eastAsia" w:ascii="Times New Roman" w:hAnsi="Times New Roman" w:cs="Times New Roman"/>
          <w:color w:val="000000" w:themeColor="text1"/>
          <w:sz w:val="24"/>
          <w14:textFill>
            <w14:solidFill>
              <w14:schemeClr w14:val="tx1"/>
            </w14:solidFill>
          </w14:textFill>
        </w:rPr>
        <w:t xml:space="preserve">）》符合性分析 </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新疆维吾尔自治区人民政府</w:t>
      </w:r>
      <w:r>
        <w:rPr>
          <w:rFonts w:hint="default" w:ascii="Times New Roman" w:hAnsi="Times New Roman" w:cs="Times New Roman"/>
          <w:color w:val="000000" w:themeColor="text1"/>
          <w:sz w:val="24"/>
          <w14:textFill>
            <w14:solidFill>
              <w14:schemeClr w14:val="tx1"/>
            </w14:solidFill>
          </w14:textFill>
        </w:rPr>
        <w:t>2018</w:t>
      </w:r>
      <w:r>
        <w:rPr>
          <w:rFonts w:hint="eastAsia"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14:textFill>
            <w14:solidFill>
              <w14:schemeClr w14:val="tx1"/>
            </w14:solidFill>
          </w14:textFill>
        </w:rPr>
        <w:t>9</w:t>
      </w:r>
      <w:r>
        <w:rPr>
          <w:rFonts w:hint="eastAsia"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14:textFill>
            <w14:solidFill>
              <w14:schemeClr w14:val="tx1"/>
            </w14:solidFill>
          </w14:textFill>
        </w:rPr>
        <w:t>28</w:t>
      </w:r>
      <w:r>
        <w:rPr>
          <w:rFonts w:hint="eastAsia" w:ascii="Times New Roman" w:hAnsi="Times New Roman" w:cs="Times New Roman"/>
          <w:color w:val="000000" w:themeColor="text1"/>
          <w:sz w:val="24"/>
          <w14:textFill>
            <w14:solidFill>
              <w14:schemeClr w14:val="tx1"/>
            </w14:solidFill>
          </w14:textFill>
        </w:rPr>
        <w:t>日发布新政发</w:t>
      </w:r>
      <w:r>
        <w:rPr>
          <w:rFonts w:hint="default" w:ascii="Times New Roman" w:hAnsi="Times New Roman" w:cs="Times New Roman"/>
          <w:color w:val="000000" w:themeColor="text1"/>
          <w:sz w:val="24"/>
          <w14:textFill>
            <w14:solidFill>
              <w14:schemeClr w14:val="tx1"/>
            </w14:solidFill>
          </w14:textFill>
        </w:rPr>
        <w:t>[2018]66</w:t>
      </w:r>
      <w:r>
        <w:rPr>
          <w:rFonts w:hint="eastAsia" w:ascii="Times New Roman" w:hAnsi="Times New Roman" w:cs="Times New Roman"/>
          <w:color w:val="000000" w:themeColor="text1"/>
          <w:sz w:val="24"/>
          <w14:textFill>
            <w14:solidFill>
              <w14:schemeClr w14:val="tx1"/>
            </w14:solidFill>
          </w14:textFill>
        </w:rPr>
        <w:t>号文件《自治区打赢蓝天保卫战三年行动计划（</w:t>
      </w:r>
      <w:r>
        <w:rPr>
          <w:rFonts w:hint="default" w:ascii="Times New Roman" w:hAnsi="Times New Roman" w:cs="Times New Roman"/>
          <w:color w:val="000000" w:themeColor="text1"/>
          <w:sz w:val="24"/>
          <w14:textFill>
            <w14:solidFill>
              <w14:schemeClr w14:val="tx1"/>
            </w14:solidFill>
          </w14:textFill>
        </w:rPr>
        <w:t>2018-2020</w:t>
      </w:r>
      <w:r>
        <w:rPr>
          <w:rFonts w:hint="eastAsia" w:ascii="Times New Roman" w:hAnsi="Times New Roman" w:cs="Times New Roman"/>
          <w:color w:val="000000" w:themeColor="text1"/>
          <w:sz w:val="24"/>
          <w14:textFill>
            <w14:solidFill>
              <w14:schemeClr w14:val="tx1"/>
            </w14:solidFill>
          </w14:textFill>
        </w:rPr>
        <w:t>）》，文件中第</w:t>
      </w:r>
      <w:r>
        <w:rPr>
          <w:rFonts w:hint="default" w:ascii="Times New Roman" w:hAnsi="Times New Roman" w:cs="Times New Roman"/>
          <w:color w:val="000000" w:themeColor="text1"/>
          <w:sz w:val="24"/>
          <w14:textFill>
            <w14:solidFill>
              <w14:schemeClr w14:val="tx1"/>
            </w14:solidFill>
          </w14:textFill>
        </w:rPr>
        <w:t>10</w:t>
      </w:r>
      <w:r>
        <w:rPr>
          <w:rFonts w:hint="eastAsia" w:ascii="Times New Roman" w:hAnsi="Times New Roman" w:cs="Times New Roman"/>
          <w:color w:val="000000" w:themeColor="text1"/>
          <w:sz w:val="24"/>
          <w14:textFill>
            <w14:solidFill>
              <w14:schemeClr w14:val="tx1"/>
            </w14:solidFill>
          </w14:textFill>
        </w:rPr>
        <w:t>条明确：全区所有具备改造条件的燃煤机组和热电联产机组在</w:t>
      </w:r>
      <w:r>
        <w:rPr>
          <w:rFonts w:hint="default" w:ascii="Times New Roman" w:hAnsi="Times New Roman" w:cs="Times New Roman"/>
          <w:color w:val="000000" w:themeColor="text1"/>
          <w:sz w:val="24"/>
          <w14:textFill>
            <w14:solidFill>
              <w14:schemeClr w14:val="tx1"/>
            </w14:solidFill>
          </w14:textFill>
        </w:rPr>
        <w:t>2019</w:t>
      </w:r>
      <w:r>
        <w:rPr>
          <w:rFonts w:hint="eastAsia" w:ascii="Times New Roman" w:hAnsi="Times New Roman" w:cs="Times New Roman"/>
          <w:color w:val="000000" w:themeColor="text1"/>
          <w:sz w:val="24"/>
          <w14:textFill>
            <w14:solidFill>
              <w14:schemeClr w14:val="tx1"/>
            </w14:solidFill>
          </w14:textFill>
        </w:rPr>
        <w:t>年年底前完成超低排放及节能改造，要求全区热电联产机组全部执行超低排放要求。</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本工程为开发区的配套热动力中心工程，同时设计进行脱硫脱硝除尘相关环保工程的建设，锅炉烟气排放可以满足</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超低排放</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要求，本工程的建设符合新政发</w:t>
      </w:r>
      <w:r>
        <w:rPr>
          <w:rFonts w:hint="default" w:ascii="Times New Roman" w:hAnsi="Times New Roman" w:cs="Times New Roman"/>
          <w:color w:val="000000" w:themeColor="text1"/>
          <w:sz w:val="24"/>
          <w14:textFill>
            <w14:solidFill>
              <w14:schemeClr w14:val="tx1"/>
            </w14:solidFill>
          </w14:textFill>
        </w:rPr>
        <w:t>[2018]66</w:t>
      </w:r>
      <w:r>
        <w:rPr>
          <w:rFonts w:hint="eastAsia" w:ascii="Times New Roman" w:hAnsi="Times New Roman" w:cs="Times New Roman"/>
          <w:color w:val="000000" w:themeColor="text1"/>
          <w:sz w:val="24"/>
          <w14:textFill>
            <w14:solidFill>
              <w14:schemeClr w14:val="tx1"/>
            </w14:solidFill>
          </w14:textFill>
        </w:rPr>
        <w:t>号《自治区打赢蓝天保卫战三年行动计划（</w:t>
      </w:r>
      <w:r>
        <w:rPr>
          <w:rFonts w:hint="default" w:ascii="Times New Roman" w:hAnsi="Times New Roman" w:cs="Times New Roman"/>
          <w:color w:val="000000" w:themeColor="text1"/>
          <w:sz w:val="24"/>
          <w14:textFill>
            <w14:solidFill>
              <w14:schemeClr w14:val="tx1"/>
            </w14:solidFill>
          </w14:textFill>
        </w:rPr>
        <w:t>2018-2020</w:t>
      </w:r>
      <w:r>
        <w:rPr>
          <w:rFonts w:hint="eastAsia"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200" w:right="0" w:rightChars="0"/>
        <w:jc w:val="both"/>
        <w:textAlignment w:val="auto"/>
        <w:rPr>
          <w:rFonts w:hint="eastAsia" w:eastAsia="宋体" w:cs="Times New Roman"/>
          <w:color w:val="000000" w:themeColor="text1"/>
          <w:sz w:val="24"/>
          <w:lang w:eastAsia="zh-CN"/>
          <w14:textFill>
            <w14:solidFill>
              <w14:schemeClr w14:val="tx1"/>
            </w14:solidFill>
          </w14:textFill>
        </w:rPr>
      </w:pPr>
      <w:r>
        <w:rPr>
          <w:rFonts w:hint="eastAsia" w:eastAsia="宋体" w:cs="Times New Roman"/>
          <w:color w:val="000000" w:themeColor="text1"/>
          <w:sz w:val="24"/>
          <w:lang w:eastAsia="zh-CN"/>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3</w:t>
      </w:r>
      <w:r>
        <w:rPr>
          <w:rFonts w:hint="eastAsia" w:eastAsia="宋体" w:cs="Times New Roman"/>
          <w:color w:val="000000" w:themeColor="text1"/>
          <w:sz w:val="24"/>
          <w:lang w:eastAsia="zh-CN"/>
          <w14:textFill>
            <w14:solidFill>
              <w14:schemeClr w14:val="tx1"/>
            </w14:solidFill>
          </w14:textFill>
        </w:rPr>
        <w:t>）《克拉玛依市热电联产规划修编（</w:t>
      </w:r>
      <w:r>
        <w:rPr>
          <w:rFonts w:hint="eastAsia" w:eastAsia="宋体" w:cs="Times New Roman"/>
          <w:color w:val="000000" w:themeColor="text1"/>
          <w:sz w:val="24"/>
          <w:lang w:val="en-US" w:eastAsia="zh-CN"/>
          <w14:textFill>
            <w14:solidFill>
              <w14:schemeClr w14:val="tx1"/>
            </w14:solidFill>
          </w14:textFill>
        </w:rPr>
        <w:t>201-2030</w:t>
      </w:r>
      <w:r>
        <w:rPr>
          <w:rFonts w:hint="eastAsia" w:eastAsia="宋体" w:cs="Times New Roman"/>
          <w:color w:val="000000" w:themeColor="text1"/>
          <w:sz w:val="24"/>
          <w:lang w:eastAsia="zh-CN"/>
          <w14:textFill>
            <w14:solidFill>
              <w14:schemeClr w14:val="tx1"/>
            </w14:solidFill>
          </w14:textFill>
        </w:rPr>
        <w:t>）》符合性分析</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rPr>
          <w:rFonts w:hint="eastAsia"/>
          <w:lang w:val="en-US" w:eastAsia="zh-CN"/>
        </w:rPr>
      </w:pPr>
      <w:r>
        <w:rPr>
          <w:rFonts w:hint="eastAsia"/>
          <w:lang w:eastAsia="zh-CN"/>
        </w:rPr>
        <w:t>本项目位于克拉玛依高新技术产业园区（原石化工业园），根据本次规划，石化工业园区供热区域目前已有两座热电联产项目，分别为国电克拉玛依热电厂及克拉玛依石化热电厂。其中克拉玛依热电厂主要针对城北及城南区供热，克拉玛依石化热电厂主要向克拉玛依石化厂和周边中石化企业生产及供热提供蒸汽热源，除供克拉玛依石化公司用电、生产用汽外，还向金龙镇地区附近企业和居民区供热，用于供热的高峰小时供气量为</w:t>
      </w:r>
      <w:r>
        <w:rPr>
          <w:rFonts w:hint="eastAsia"/>
          <w:lang w:val="en-US" w:eastAsia="zh-CN"/>
        </w:rPr>
        <w:t>60t/h，但是随着克拉玛依石化厂扩建该部分蒸汽量优先满足自身生产工艺所需，规划金龙镇、三平镇采暖由热动力中心一并解决。</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rPr>
          <w:rFonts w:hint="eastAsia"/>
          <w:lang w:val="en-US" w:eastAsia="zh-CN"/>
        </w:rPr>
      </w:pPr>
      <w:r>
        <w:rPr>
          <w:rFonts w:hint="eastAsia"/>
          <w:lang w:val="en-US" w:eastAsia="zh-CN"/>
        </w:rPr>
        <w:t>克拉玛依白碱滩地区电网由于克拉玛依电厂计划停运（320MW），电源装机仅有一座装机容量为24MW的热电厂，电源装机容量明显不足，随着后期负荷的增加将造成主网下网压力大，且由于小火电发电能力不稳定，在负荷高分期，即使全部满发也不能满足所有用电负荷的用电需要，后期随着克拉玛依热点厂的计划停运，电源装机将严重不足，需尽快投入大容量机组电源，确保克拉玛依电网供需平衡，加快电网建设步伐，确保规划的电源项目能够按时投运，为克拉玛依社会经济跨越式发展提供可靠的电力保障。</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rPr>
          <w:rStyle w:val="38"/>
          <w:rFonts w:hint="eastAsia" w:ascii="Times New Roman" w:hAnsi="Times New Roman" w:eastAsia="宋体" w:cs="Times New Roman"/>
          <w:b w:val="0"/>
          <w:bCs w:val="0"/>
          <w:i w:val="0"/>
          <w:iCs w:val="0"/>
          <w:smallCaps w:val="0"/>
          <w:strike w:val="0"/>
          <w:color w:val="000000" w:themeColor="text1"/>
          <w:sz w:val="24"/>
          <w:szCs w:val="24"/>
          <w:lang w:val="en-US" w:eastAsia="zh-CN" w:bidi="en-US"/>
          <w14:textFill>
            <w14:solidFill>
              <w14:schemeClr w14:val="tx1"/>
            </w14:solidFill>
          </w14:textFill>
        </w:rPr>
      </w:pPr>
      <w:r>
        <w:rPr>
          <w:rFonts w:hint="default" w:ascii="Times New Roman" w:hAnsi="Times New Roman" w:cs="Times New Roman"/>
          <w:sz w:val="24"/>
          <w:szCs w:val="24"/>
          <w:lang w:val="en-US" w:eastAsia="zh-CN"/>
        </w:rPr>
        <w:t>本项目</w:t>
      </w:r>
      <w:r>
        <w:rPr>
          <w:rFonts w:hint="default" w:ascii="Times New Roman" w:hAnsi="Times New Roman" w:eastAsia="宋体" w:cs="Times New Roman"/>
          <w:color w:val="000000" w:themeColor="text1"/>
          <w:sz w:val="24"/>
          <w:szCs w:val="24"/>
          <w:lang w:val="en-US"/>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14:textFill>
            <w14:solidFill>
              <w14:schemeClr w14:val="tx1"/>
            </w14:solidFill>
          </w14:textFill>
        </w:rPr>
        <w:t>30</w:t>
      </w:r>
      <w:r>
        <w:rPr>
          <w:rFonts w:hint="default" w:ascii="Times New Roman" w:hAnsi="Times New Roman" w:eastAsia="宋体" w:cs="Times New Roman"/>
          <w:color w:val="000000" w:themeColor="text1"/>
          <w:sz w:val="24"/>
          <w:szCs w:val="24"/>
          <w14:textFill>
            <w14:solidFill>
              <w14:schemeClr w14:val="tx1"/>
            </w14:solidFill>
          </w14:textFill>
        </w:rPr>
        <w:t>t</w:t>
      </w:r>
      <w:r>
        <w:rPr>
          <w:rFonts w:hint="default" w:ascii="Times New Roman" w:hAnsi="Times New Roman" w:eastAsia="宋体" w:cs="Times New Roman"/>
          <w:color w:val="000000" w:themeColor="text1"/>
          <w:sz w:val="24"/>
          <w:szCs w:val="24"/>
          <w:lang w:val="en-US"/>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h水煤浆锅炉+1×</w:t>
      </w:r>
      <w:r>
        <w:rPr>
          <w:rFonts w:hint="default" w:ascii="Times New Roman" w:hAnsi="Times New Roman" w:eastAsia="宋体" w:cs="Times New Roman"/>
          <w:color w:val="000000" w:themeColor="text1"/>
          <w:sz w:val="24"/>
          <w:szCs w:val="24"/>
          <w:lang w:val="en-US"/>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MW高温高压背压汽轮机组及1×</w:t>
      </w:r>
      <w:r>
        <w:rPr>
          <w:rFonts w:hint="default" w:ascii="Times New Roman" w:hAnsi="Times New Roman" w:eastAsia="宋体" w:cs="Times New Roman"/>
          <w:color w:val="000000" w:themeColor="text1"/>
          <w:sz w:val="24"/>
          <w:szCs w:val="24"/>
          <w:lang w:val="en-US"/>
          <w14:textFill>
            <w14:solidFill>
              <w14:schemeClr w14:val="tx1"/>
            </w14:solidFill>
          </w14:textFill>
        </w:rPr>
        <w:t>220</w:t>
      </w:r>
      <w:r>
        <w:rPr>
          <w:rFonts w:hint="default" w:ascii="Times New Roman" w:hAnsi="Times New Roman" w:eastAsia="宋体" w:cs="Times New Roman"/>
          <w:color w:val="000000" w:themeColor="text1"/>
          <w:sz w:val="24"/>
          <w:szCs w:val="24"/>
          <w14:textFill>
            <w14:solidFill>
              <w14:schemeClr w14:val="tx1"/>
            </w14:solidFill>
          </w14:textFill>
        </w:rPr>
        <w:t>t</w:t>
      </w:r>
      <w:r>
        <w:rPr>
          <w:rFonts w:hint="default" w:ascii="Times New Roman" w:hAnsi="Times New Roman" w:eastAsia="宋体" w:cs="Times New Roman"/>
          <w:color w:val="000000" w:themeColor="text1"/>
          <w:sz w:val="24"/>
          <w:szCs w:val="24"/>
          <w:lang w:val="en-US"/>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h水煤浆锅炉</w:t>
      </w:r>
      <w:r>
        <w:rPr>
          <w:rFonts w:hint="default" w:ascii="Times New Roman" w:hAnsi="Times New Roman" w:eastAsia="宋体" w:cs="Times New Roman"/>
          <w:color w:val="000000" w:themeColor="text1"/>
          <w:sz w:val="24"/>
          <w:szCs w:val="24"/>
          <w:lang w:val="en-US"/>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MW高温高压背压汽轮机组</w:t>
      </w:r>
      <w:r>
        <w:rPr>
          <w:rFonts w:hint="default" w:ascii="Times New Roman" w:hAnsi="Times New Roman" w:eastAsia="宋体" w:cs="Times New Roman"/>
          <w:color w:val="000000" w:themeColor="text1"/>
          <w:sz w:val="24"/>
          <w:szCs w:val="24"/>
          <w:lang w:eastAsia="zh-CN"/>
          <w14:textFill>
            <w14:solidFill>
              <w14:schemeClr w14:val="tx1"/>
            </w14:solidFill>
          </w14:textFill>
        </w:rPr>
        <w:t>。年发电量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Style w:val="38"/>
          <w:rFonts w:hint="default" w:ascii="Times New Roman" w:hAnsi="Times New Roman" w:eastAsia="宋体" w:cs="Times New Roman"/>
          <w:b w:val="0"/>
          <w:bCs w:val="0"/>
          <w:i w:val="0"/>
          <w:iCs w:val="0"/>
          <w:smallCaps w:val="0"/>
          <w:strike w:val="0"/>
          <w:color w:val="000000" w:themeColor="text1"/>
          <w:sz w:val="24"/>
          <w:szCs w:val="24"/>
          <w14:textFill>
            <w14:solidFill>
              <w14:schemeClr w14:val="tx1"/>
            </w14:solidFill>
          </w14:textFill>
        </w:rPr>
        <w:t xml:space="preserve">亿 </w:t>
      </w:r>
      <w:r>
        <w:rPr>
          <w:rStyle w:val="38"/>
          <w:rFonts w:hint="default" w:ascii="Times New Roman" w:hAnsi="Times New Roman" w:eastAsia="宋体" w:cs="Times New Roman"/>
          <w:b w:val="0"/>
          <w:bCs w:val="0"/>
          <w:i w:val="0"/>
          <w:iCs w:val="0"/>
          <w:smallCaps w:val="0"/>
          <w:strike w:val="0"/>
          <w:color w:val="000000" w:themeColor="text1"/>
          <w:sz w:val="24"/>
          <w:szCs w:val="24"/>
          <w:lang w:val="en-US" w:eastAsia="en-US" w:bidi="en-US"/>
          <w14:textFill>
            <w14:solidFill>
              <w14:schemeClr w14:val="tx1"/>
            </w14:solidFill>
          </w14:textFill>
        </w:rPr>
        <w:t>kW • h</w:t>
      </w:r>
      <w:r>
        <w:rPr>
          <w:rStyle w:val="38"/>
          <w:rFonts w:hint="default" w:ascii="Times New Roman" w:hAnsi="Times New Roman" w:eastAsia="宋体" w:cs="Times New Roman"/>
          <w:b w:val="0"/>
          <w:bCs w:val="0"/>
          <w:i w:val="0"/>
          <w:iCs w:val="0"/>
          <w:smallCaps w:val="0"/>
          <w:strike w:val="0"/>
          <w:color w:val="000000" w:themeColor="text1"/>
          <w:sz w:val="24"/>
          <w:szCs w:val="24"/>
          <w:lang w:val="en-US" w:eastAsia="zh-CN" w:bidi="en-US"/>
          <w14:textFill>
            <w14:solidFill>
              <w14:schemeClr w14:val="tx1"/>
            </w14:solidFill>
          </w14:textFill>
        </w:rPr>
        <w:t>，年供热量568.4928</w:t>
      </w:r>
      <w:r>
        <w:rPr>
          <w:rStyle w:val="38"/>
          <w:rFonts w:hint="default" w:ascii="Times New Roman" w:hAnsi="Times New Roman" w:eastAsia="宋体" w:cs="Times New Roman"/>
          <w:b w:val="0"/>
          <w:bCs w:val="0"/>
          <w:i w:val="0"/>
          <w:iCs w:val="0"/>
          <w:smallCaps w:val="0"/>
          <w:strike w:val="0"/>
          <w:color w:val="000000" w:themeColor="text1"/>
          <w:sz w:val="24"/>
          <w:szCs w:val="24"/>
          <w14:textFill>
            <w14:solidFill>
              <w14:schemeClr w14:val="tx1"/>
            </w14:solidFill>
          </w14:textFill>
        </w:rPr>
        <w:t>万</w:t>
      </w:r>
      <w:r>
        <w:rPr>
          <w:rStyle w:val="38"/>
          <w:rFonts w:hint="default" w:ascii="Times New Roman" w:hAnsi="Times New Roman" w:eastAsia="宋体" w:cs="Times New Roman"/>
          <w:b w:val="0"/>
          <w:bCs w:val="0"/>
          <w:i w:val="0"/>
          <w:iCs w:val="0"/>
          <w:smallCaps w:val="0"/>
          <w:strike w:val="0"/>
          <w:color w:val="000000" w:themeColor="text1"/>
          <w:sz w:val="24"/>
          <w:szCs w:val="24"/>
          <w:lang w:val="en-US" w:eastAsia="en-US" w:bidi="en-US"/>
          <w14:textFill>
            <w14:solidFill>
              <w14:schemeClr w14:val="tx1"/>
            </w14:solidFill>
          </w14:textFill>
        </w:rPr>
        <w:t>GJ</w:t>
      </w:r>
      <w:r>
        <w:rPr>
          <w:rStyle w:val="38"/>
          <w:rFonts w:hint="eastAsia" w:ascii="Times New Roman" w:hAnsi="Times New Roman" w:eastAsia="宋体" w:cs="Times New Roman"/>
          <w:b w:val="0"/>
          <w:bCs w:val="0"/>
          <w:i w:val="0"/>
          <w:iCs w:val="0"/>
          <w:smallCaps w:val="0"/>
          <w:strike w:val="0"/>
          <w:color w:val="000000" w:themeColor="text1"/>
          <w:sz w:val="24"/>
          <w:szCs w:val="24"/>
          <w:lang w:val="en-US" w:eastAsia="zh-CN" w:bidi="en-US"/>
          <w14:textFill>
            <w14:solidFill>
              <w14:schemeClr w14:val="tx1"/>
            </w14:solidFill>
          </w14:textFill>
        </w:rPr>
        <w:t>。可以满足上述地区供热及供电。</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rPr>
          <w:rFonts w:hint="eastAsia" w:eastAsia="宋体"/>
          <w:color w:val="000000" w:themeColor="text1"/>
          <w:lang w:val="en-US" w:eastAsia="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4"/>
          <w:szCs w:val="24"/>
          <w:lang w:val="en-US" w:eastAsia="zh-CN" w:bidi="en-US"/>
          <w14:textFill>
            <w14:solidFill>
              <w14:schemeClr w14:val="tx1"/>
            </w14:solidFill>
          </w14:textFill>
        </w:rPr>
        <w:t>因此，本项目的建设符合</w:t>
      </w:r>
      <w:r>
        <w:rPr>
          <w:rFonts w:hint="eastAsia" w:eastAsia="宋体" w:cs="Times New Roman"/>
          <w:color w:val="000000" w:themeColor="text1"/>
          <w:sz w:val="24"/>
          <w:lang w:eastAsia="zh-CN"/>
          <w14:textFill>
            <w14:solidFill>
              <w14:schemeClr w14:val="tx1"/>
            </w14:solidFill>
          </w14:textFill>
        </w:rPr>
        <w:t>《克拉玛依市热电联产规划修编（</w:t>
      </w:r>
      <w:r>
        <w:rPr>
          <w:rFonts w:hint="eastAsia" w:eastAsia="宋体" w:cs="Times New Roman"/>
          <w:color w:val="000000" w:themeColor="text1"/>
          <w:sz w:val="24"/>
          <w:lang w:val="en-US" w:eastAsia="zh-CN"/>
          <w14:textFill>
            <w14:solidFill>
              <w14:schemeClr w14:val="tx1"/>
            </w14:solidFill>
          </w14:textFill>
        </w:rPr>
        <w:t>201-2030</w:t>
      </w:r>
      <w:r>
        <w:rPr>
          <w:rFonts w:hint="eastAsia" w:eastAsia="宋体" w:cs="Times New Roman"/>
          <w:color w:val="000000" w:themeColor="text1"/>
          <w:sz w:val="24"/>
          <w:lang w:eastAsia="zh-CN"/>
          <w14:textFill>
            <w14:solidFill>
              <w14:schemeClr w14:val="tx1"/>
            </w14:solidFill>
          </w14:textFill>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eastAsia="宋体" w:cs="Times New Roman"/>
          <w:color w:val="000000" w:themeColor="text1"/>
          <w:sz w:val="24"/>
          <w:lang w:eastAsia="zh-CN"/>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4</w:t>
      </w:r>
      <w:r>
        <w:rPr>
          <w:rFonts w:hint="eastAsia" w:eastAsia="宋体"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“三线一单”符合性分析</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 xml:space="preserve">①生态保护红线 </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本项目不在克拉玛依生态红线范围内，位于克拉玛依高新区技术产业开发区用地范围内，属于工业用地，项目选址不在国家、自治区及克拉玛依市生态保护红线范围内。</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 xml:space="preserve">②环境质量底线 </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 xml:space="preserve">根据本次环评现状监测结果可知，本项目附近大气环境、水环境、声环境质量能够满足相应的标准要求，本项目废气、废水、固废经采取措施处理后，能够改善区域环境，对周围环境影响很小。结合环境影响预测章节，项目建设后不会突破环境质量底线。 </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 xml:space="preserve">③资源利用上限 </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本项目为热动力生产项目，在营运过程中消耗一定量的水煤浆、天然气、水、电等资源，燃料为清洁能源，供水水源为开发区自来水管网，用水指标也在克拉玛依工业用水</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三条红线</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范围内，生产废水经处理后回用，不会超出区域资源利用上限。项目资源消耗量相对区域资源利用总量较少，符合资源利用上限要求。</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 xml:space="preserve">④环境准入负面清单 </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目前项目不在新疆维吾尔自治区28个国家重点生态功能区县（市）产业准入负面清单（试行）中。本项目属于《产业结构调整指导目录（</w:t>
      </w:r>
      <w:r>
        <w:rPr>
          <w:rFonts w:hint="default" w:ascii="Times New Roman" w:hAnsi="Times New Roman" w:cs="Times New Roman"/>
          <w:color w:val="000000" w:themeColor="text1"/>
          <w:sz w:val="24"/>
          <w14:textFill>
            <w14:solidFill>
              <w14:schemeClr w14:val="tx1"/>
            </w14:solidFill>
          </w14:textFill>
        </w:rPr>
        <w:t>2011</w:t>
      </w:r>
      <w:r>
        <w:rPr>
          <w:rFonts w:hint="eastAsia" w:ascii="Times New Roman" w:hAnsi="Times New Roman" w:cs="Times New Roman"/>
          <w:color w:val="000000" w:themeColor="text1"/>
          <w:sz w:val="24"/>
          <w14:textFill>
            <w14:solidFill>
              <w14:schemeClr w14:val="tx1"/>
            </w14:solidFill>
          </w14:textFill>
        </w:rPr>
        <w:t>年本）（2013年修正）》中的鼓励类项目，未使用国家淘汰和限制使用的工艺及设备，符合国家当前产业政策。</w:t>
      </w:r>
    </w:p>
    <w:p>
      <w:pPr>
        <w:pStyle w:val="3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kern w:val="0"/>
          <w:position w:val="0"/>
          <w:sz w:val="32"/>
          <w:szCs w:val="32"/>
          <w:u w:val="none"/>
          <w:lang w:val="en-US" w:eastAsia="zh-CN" w:bidi="zh-CN"/>
          <w14:textFill>
            <w14:solidFill>
              <w14:schemeClr w14:val="tx1"/>
            </w14:solidFill>
          </w14:textFill>
        </w:rPr>
      </w:pPr>
      <w:bookmarkStart w:id="106" w:name="_Toc12017204"/>
      <w:r>
        <w:rPr>
          <w:rFonts w:hint="eastAsia" w:ascii="Times New Roman" w:hAnsi="Times New Roman" w:eastAsia="宋体" w:cs="Times New Roman"/>
          <w:b/>
          <w:bCs/>
          <w:color w:val="000000" w:themeColor="text1"/>
          <w:spacing w:val="0"/>
          <w:w w:val="100"/>
          <w:kern w:val="0"/>
          <w:position w:val="0"/>
          <w:sz w:val="32"/>
          <w:szCs w:val="32"/>
          <w:u w:val="none"/>
          <w:lang w:val="en-US" w:eastAsia="zh-CN" w:bidi="zh-CN"/>
          <w14:textFill>
            <w14:solidFill>
              <w14:schemeClr w14:val="tx1"/>
            </w14:solidFill>
          </w14:textFill>
        </w:rPr>
        <w:t>2.8选址环境及总图布置合理性分析</w:t>
      </w:r>
      <w:bookmarkEnd w:id="106"/>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kern w:val="0"/>
          <w:position w:val="0"/>
          <w:sz w:val="28"/>
          <w:szCs w:val="28"/>
          <w:u w:val="none"/>
          <w:lang w:val="en-US"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kern w:val="0"/>
          <w:position w:val="0"/>
          <w:sz w:val="28"/>
          <w:szCs w:val="28"/>
          <w:u w:val="none"/>
          <w:lang w:val="en-US" w:eastAsia="zh-CN" w:bidi="zh-CN"/>
          <w14:textFill>
            <w14:solidFill>
              <w14:schemeClr w14:val="tx1"/>
            </w14:solidFill>
          </w14:textFill>
        </w:rPr>
        <w:t>2.8.1热源站选址合理性分析</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因为工程属新建性质，站址的选择十分关键。站址是一个复杂的综合课题，涉及到政治、经济、技术等方面的问题，主要包括国民经济政策、城市规划、热力规划、交通运输、水源、大气对污染物的输送扩散能力、对地表水、地下水的影响、噪声对周围环境的影响等。</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1、站址地理位置</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本工程拟建热源站站址位于新疆维吾尔自治区克拉玛依市东部金龙镇至三平镇之间的高新技术产业开发区内。属于工业用地，拟建场地已进行场地平整，地形平坦，周围无自然保护区，生态敏感区等环境保护区域。</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2、从建站基本条件分析</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（1）燃料来源</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本项目工程用水煤浆来自场外南侧3km处的新疆正恒清洁能源有限公司水煤浆生产基地。本项目年耗水煤浆量60.42万t，全部由此水煤浆生产基地提供。因此，浆源是有保证的。</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（2）交通运输</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本项目站址位于开发区路网内，西侧、南侧和北侧分别紧邻开发区道路金西三街、中央大道和北一路。北侧217国道距站址约3km，南侧奎北铁路距站址约4.5km。交通运输十分方便。</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（3）水源</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本项目主要用水为生产用水和生活用水及部分消防用水，热源站用水由开发区供水管网提供，用水可以保证。</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（4）供电条件</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本项目用电由市政电网提供，采用两路10KV电源供电，所以，供电是有保证的。</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（5）场地条件</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 xml:space="preserve">本项目站址处地势平坦，工程地址条件优良；站址处不压矿、不压文物；热源站排放的污染物对城区污染较轻；交通便利，同时也可方便的引出热力管线。 </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3、从环境影响角度考虑</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（1）从对环境空气影响的角度分析</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项目所在区域主导风向为西北风。本项目站区位于克拉玛依市高新技术产业开发区内，周围2.5km范围内没有居民等大气环境敏感目标，从此角度分析，本项目站址的选择是可行的。</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（2）从排水去向考虑</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本项目的废水主要是生产废水和生活污水。生产废水部分回用，部分输送至水煤浆生产基地回用，剩余排入开发区污水管网中。生活污水直接排入开发区污水管网中。所以，本项目的排水对环境影响很小，从此角度分析，本项目站址的选择是可行的。</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（3）从噪声对周围环境的影响分析</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在项目建设上，本项目选用低噪声设备，鼓、引风机及循环泵采用低转速马达并配变频调速器，从根本上降低噪声源强，在风机进、出口加装消音器，在风机底座、水泵基础加装减震装置，接管处加装减震喉管，烟管设必要保温层，可有效降低噪声源的声压级和设备振动。本项目工程将风机、水泵等高噪声设备集中于单独的设备间内，采取隔音措施进一步消音降噪。振、隔声处理，可减少对周围环境敏感点的影响。</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所以，本项目从噪声角度分析，不会对周围居民产生影响，选址是可行的。</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ascii="宋体" w:hAnsi="宋体"/>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综上所述，从项目的建站条件，对环境的影响和对克拉玛依市的发展等主客观条件上分析，本项目的选址都是正影响远远大于负影响，所以，本项目的选址是合理可行的。</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kern w:val="0"/>
          <w:position w:val="0"/>
          <w:sz w:val="28"/>
          <w:szCs w:val="28"/>
          <w:u w:val="none"/>
          <w:lang w:val="en-US" w:eastAsia="zh-CN" w:bidi="zh-CN"/>
          <w14:textFill>
            <w14:solidFill>
              <w14:schemeClr w14:val="tx1"/>
            </w14:solidFill>
          </w14:textFill>
        </w:rPr>
      </w:pPr>
      <w:r>
        <w:rPr>
          <w:rFonts w:hint="eastAsia" w:ascii="Times New Roman" w:hAnsi="Times New Roman" w:eastAsia="宋体" w:cs="Times New Roman"/>
          <w:b/>
          <w:bCs/>
          <w:color w:val="000000" w:themeColor="text1"/>
          <w:spacing w:val="0"/>
          <w:w w:val="100"/>
          <w:kern w:val="0"/>
          <w:position w:val="0"/>
          <w:sz w:val="28"/>
          <w:szCs w:val="28"/>
          <w:u w:val="none"/>
          <w:lang w:val="en-US" w:eastAsia="zh-CN" w:bidi="zh-CN"/>
          <w14:textFill>
            <w14:solidFill>
              <w14:schemeClr w14:val="tx1"/>
            </w14:solidFill>
          </w14:textFill>
        </w:rPr>
        <w:t>2.8.2平面布置合理性分析</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项目所在区域主导风向为西北风。本项目站区位于克拉玛依市高新技术产业开发区内，周围</w:t>
      </w:r>
      <w:r>
        <w:rPr>
          <w:rFonts w:hint="eastAsia" w:ascii="Times New Roman" w:hAnsi="Times New Roman" w:cs="Times New Roman"/>
          <w:color w:val="000000" w:themeColor="text1"/>
          <w:sz w:val="24"/>
          <w:lang w:eastAsia="zh-CN"/>
          <w14:textFill>
            <w14:solidFill>
              <w14:schemeClr w14:val="tx1"/>
            </w14:solidFill>
          </w14:textFill>
        </w:rPr>
        <w:t>2.5</w:t>
      </w:r>
      <w:r>
        <w:rPr>
          <w:rFonts w:hint="eastAsia" w:ascii="Times New Roman" w:hAnsi="Times New Roman" w:cs="Times New Roman"/>
          <w:color w:val="000000" w:themeColor="text1"/>
          <w:sz w:val="24"/>
          <w14:textFill>
            <w14:solidFill>
              <w14:schemeClr w14:val="tx1"/>
            </w14:solidFill>
          </w14:textFill>
        </w:rPr>
        <w:t>km范围内没有居民等大气环境敏感目标。</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站区平面布置以节约用地为原则，在满足生产工艺要求的前提下，力求做到工艺流程简捷、流畅、布局合理、紧凑，分区明确，合理布置站区的建、构筑物，使站区平面布置既经济合理、美观实用，又满足消防要求。</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站区总平面布局上做到按照物流周转需要布置，功能区布局明确，物流顺畅，符合GBZ1</w:t>
      </w:r>
      <w:r>
        <w:rPr>
          <w:rFonts w:hint="eastAsia" w:eastAsia="宋体"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2002《工业企业卫生设计标准的要求》。</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办公生活区位于站区的西北侧，处于年主导风向的上风向；锅炉房站房坐于站区中部，东侧为预留区；南侧为脱硫脱硝除尘等环保设施，烟囱设于站房东南侧，处于年主导风向的下风向。另在站区内还设有车库、机修、门卫、地磅房、发电机房等附属用房。</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lang w:val="zh-CN" w:eastAsia="zh-CN"/>
          <w14:textFill>
            <w14:solidFill>
              <w14:schemeClr w14:val="tx1"/>
            </w14:solidFill>
          </w14:textFill>
        </w:rPr>
        <w:sectPr>
          <w:pgSz w:w="12105" w:h="17376"/>
          <w:pgMar w:top="1440" w:right="1800" w:bottom="1440" w:left="1800" w:header="0" w:footer="3" w:gutter="0"/>
          <w:pgNumType w:fmt="decimal"/>
          <w:cols w:space="720" w:num="1"/>
          <w:rtlGutter w:val="0"/>
          <w:docGrid w:linePitch="360" w:charSpace="0"/>
        </w:sectPr>
      </w:pPr>
      <w:r>
        <w:rPr>
          <w:rFonts w:hint="eastAsia" w:ascii="Times New Roman" w:hAnsi="Times New Roman" w:cs="Times New Roman"/>
          <w:color w:val="000000" w:themeColor="text1"/>
          <w:sz w:val="24"/>
          <w14:textFill>
            <w14:solidFill>
              <w14:schemeClr w14:val="tx1"/>
            </w14:solidFill>
          </w14:textFill>
        </w:rPr>
        <w:t>主要污染源均位于办公生活区的下风向；站区布置了两个出入口，形成人物流分开，互不干扰的格局；从减少污染，降低污染影响方面考虑，该项目平面布置可行。</w:t>
      </w:r>
    </w:p>
    <w:p>
      <w:pPr>
        <w:spacing w:line="360" w:lineRule="auto"/>
        <w:outlineLvl w:val="0"/>
        <w:rPr>
          <w:rStyle w:val="75"/>
          <w:color w:val="000000" w:themeColor="text1"/>
          <w:sz w:val="44"/>
          <w:szCs w:val="44"/>
          <w14:textFill>
            <w14:solidFill>
              <w14:schemeClr w14:val="tx1"/>
            </w14:solidFill>
          </w14:textFill>
        </w:rPr>
      </w:pPr>
      <w:bookmarkStart w:id="107" w:name="_Toc28035"/>
      <w:bookmarkStart w:id="108" w:name="_Toc18626"/>
      <w:r>
        <w:rPr>
          <w:rStyle w:val="75"/>
          <w:color w:val="000000" w:themeColor="text1"/>
          <w:sz w:val="44"/>
          <w:szCs w:val="44"/>
          <w14:textFill>
            <w14:solidFill>
              <w14:schemeClr w14:val="tx1"/>
            </w14:solidFill>
          </w14:textFill>
        </w:rPr>
        <w:t>3 环境现状质量调查与评价</w:t>
      </w:r>
      <w:bookmarkEnd w:id="107"/>
      <w:bookmarkEnd w:id="108"/>
    </w:p>
    <w:p>
      <w:pPr>
        <w:pStyle w:val="4"/>
        <w:rPr>
          <w:color w:val="000000" w:themeColor="text1"/>
          <w14:textFill>
            <w14:solidFill>
              <w14:schemeClr w14:val="tx1"/>
            </w14:solidFill>
          </w14:textFill>
        </w:rPr>
      </w:pPr>
      <w:bookmarkStart w:id="109" w:name="_Toc20572"/>
      <w:bookmarkStart w:id="110" w:name="_Toc19709"/>
      <w:bookmarkStart w:id="111" w:name="_Toc29025_WPSOffice_Level2"/>
      <w:bookmarkStart w:id="112" w:name="_Toc163"/>
      <w:bookmarkStart w:id="113" w:name="_Toc491857661"/>
      <w:r>
        <w:rPr>
          <w:color w:val="000000" w:themeColor="text1"/>
          <w14:textFill>
            <w14:solidFill>
              <w14:schemeClr w14:val="tx1"/>
            </w14:solidFill>
          </w14:textFill>
        </w:rPr>
        <w:t>3.1 地理位置</w:t>
      </w:r>
      <w:bookmarkEnd w:id="109"/>
      <w:bookmarkEnd w:id="110"/>
      <w:bookmarkEnd w:id="111"/>
      <w:bookmarkEnd w:id="112"/>
      <w:bookmarkEnd w:id="113"/>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bookmarkStart w:id="114" w:name="_Toc10334_WPSOffice_Level2"/>
      <w:bookmarkStart w:id="115" w:name="_Toc491857662"/>
      <w:bookmarkStart w:id="116" w:name="_Toc8237"/>
      <w:bookmarkStart w:id="117" w:name="_Toc21176"/>
      <w:r>
        <w:rPr>
          <w:rFonts w:hint="default" w:ascii="Times New Roman" w:hAnsi="Times New Roman" w:cs="Times New Roman"/>
          <w:color w:val="000000" w:themeColor="text1"/>
          <w:sz w:val="24"/>
          <w:szCs w:val="24"/>
          <w14:textFill>
            <w14:solidFill>
              <w14:schemeClr w14:val="tx1"/>
            </w14:solidFill>
          </w14:textFill>
        </w:rPr>
        <w:t xml:space="preserve">克拉玛依市位于准噶尔盆地西北缘，扎依尔山南麓，地处东经80° </w:t>
      </w:r>
      <w:r>
        <w:rPr>
          <w:rFonts w:hint="default" w:ascii="Times New Roman" w:hAnsi="Times New Roman" w:cs="Times New Roman"/>
          <w:color w:val="000000" w:themeColor="text1"/>
          <w:sz w:val="24"/>
          <w:szCs w:val="24"/>
          <w:lang w:val="en-US" w:eastAsia="en-US"/>
          <w14:textFill>
            <w14:solidFill>
              <w14:schemeClr w14:val="tx1"/>
            </w14:solidFill>
          </w14:textFill>
        </w:rPr>
        <w:t>44'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xml:space="preserve">86° </w:t>
      </w:r>
      <w:r>
        <w:rPr>
          <w:rFonts w:hint="default" w:ascii="Times New Roman" w:hAnsi="Times New Roman" w:cs="Times New Roman"/>
          <w:color w:val="000000" w:themeColor="text1"/>
          <w:sz w:val="24"/>
          <w:szCs w:val="24"/>
          <w:lang w:val="en-US" w:eastAsia="en-US"/>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 xml:space="preserve">, 北纬44° </w:t>
      </w:r>
      <w:r>
        <w:rPr>
          <w:rFonts w:hint="default" w:ascii="Times New Roman" w:hAnsi="Times New Roman" w:cs="Times New Roman"/>
          <w:color w:val="000000" w:themeColor="text1"/>
          <w:sz w:val="24"/>
          <w:szCs w:val="24"/>
          <w:lang w:val="en-US" w:eastAsia="en-US"/>
          <w14:textFill>
            <w14:solidFill>
              <w14:schemeClr w14:val="tx1"/>
            </w14:solidFill>
          </w14:textFill>
        </w:rPr>
        <w:t>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xml:space="preserve">46° </w:t>
      </w:r>
      <w:r>
        <w:rPr>
          <w:rFonts w:hint="default" w:ascii="Times New Roman" w:hAnsi="Times New Roman" w:cs="Times New Roman"/>
          <w:color w:val="000000" w:themeColor="text1"/>
          <w:sz w:val="24"/>
          <w:szCs w:val="24"/>
          <w:lang w:val="en-US" w:eastAsia="en-US"/>
          <w14:textFill>
            <w14:solidFill>
              <w14:schemeClr w14:val="tx1"/>
            </w14:solidFill>
          </w14:textFill>
        </w:rPr>
        <w:t>8'</w:t>
      </w:r>
      <w:r>
        <w:rPr>
          <w:rFonts w:hint="default" w:ascii="Times New Roman" w:hAnsi="Times New Roman" w:cs="Times New Roman"/>
          <w:color w:val="000000" w:themeColor="text1"/>
          <w:sz w:val="24"/>
          <w:szCs w:val="24"/>
          <w14:textFill>
            <w14:solidFill>
              <w14:schemeClr w14:val="tx1"/>
            </w14:solidFill>
          </w14:textFill>
        </w:rPr>
        <w:t>之间。东北与和布克赛尔蒙古自治县相邻；东南与沙湾县相接； 西部与托里县和乌苏县毗连。行政区划包括克拉玛依市区、乌尔禾区、白碱滩区、小拐乡和位于准噶尔盆地南缘的独山子区。市区距乌鲁木齐公路里程</w:t>
      </w:r>
      <w:r>
        <w:rPr>
          <w:rFonts w:hint="default" w:ascii="Times New Roman" w:hAnsi="Times New Roman" w:cs="Times New Roman"/>
          <w:color w:val="000000" w:themeColor="text1"/>
          <w:sz w:val="24"/>
          <w:szCs w:val="24"/>
          <w:lang w:val="en-US" w:eastAsia="en-US"/>
          <w14:textFill>
            <w14:solidFill>
              <w14:schemeClr w14:val="tx1"/>
            </w14:solidFill>
          </w14:textFill>
        </w:rPr>
        <w:t>312</w:t>
      </w:r>
      <w:r>
        <w:rPr>
          <w:rFonts w:hint="default" w:ascii="Times New Roman" w:hAnsi="Times New Roman" w:cs="Times New Roman"/>
          <w:color w:val="000000" w:themeColor="text1"/>
          <w:sz w:val="24"/>
          <w:szCs w:val="24"/>
          <w14:textFill>
            <w14:solidFill>
              <w14:schemeClr w14:val="tx1"/>
            </w14:solidFill>
          </w14:textFill>
        </w:rPr>
        <w:t>km</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xml:space="preserve">直线距离 </w:t>
      </w:r>
      <w:r>
        <w:rPr>
          <w:rFonts w:hint="default" w:ascii="Times New Roman" w:hAnsi="Times New Roman" w:cs="Times New Roman"/>
          <w:color w:val="000000" w:themeColor="text1"/>
          <w:sz w:val="24"/>
          <w:szCs w:val="24"/>
          <w:lang w:val="en-US" w:eastAsia="en-US"/>
          <w14:textFill>
            <w14:solidFill>
              <w14:schemeClr w14:val="tx1"/>
            </w14:solidFill>
          </w14:textFill>
        </w:rPr>
        <w:t>280</w:t>
      </w:r>
      <w:r>
        <w:rPr>
          <w:rFonts w:hint="default" w:ascii="Times New Roman" w:hAnsi="Times New Roman" w:cs="Times New Roman"/>
          <w:color w:val="000000" w:themeColor="text1"/>
          <w:sz w:val="24"/>
          <w:szCs w:val="24"/>
          <w14:textFill>
            <w14:solidFill>
              <w14:schemeClr w14:val="tx1"/>
            </w14:solidFill>
          </w14:textFill>
        </w:rPr>
        <w:t>km</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南北最长距离</w:t>
      </w:r>
      <w:r>
        <w:rPr>
          <w:rFonts w:hint="default" w:ascii="Times New Roman" w:hAnsi="Times New Roman" w:cs="Times New Roman"/>
          <w:color w:val="000000" w:themeColor="text1"/>
          <w:sz w:val="24"/>
          <w:szCs w:val="24"/>
          <w:lang w:val="en-US" w:eastAsia="en-US"/>
          <w14:textFill>
            <w14:solidFill>
              <w14:schemeClr w14:val="tx1"/>
            </w14:solidFill>
          </w14:textFill>
        </w:rPr>
        <w:t>240.3</w:t>
      </w:r>
      <w:r>
        <w:rPr>
          <w:rFonts w:hint="default" w:ascii="Times New Roman" w:hAnsi="Times New Roman" w:cs="Times New Roman"/>
          <w:color w:val="000000" w:themeColor="text1"/>
          <w:sz w:val="24"/>
          <w:szCs w:val="24"/>
          <w14:textFill>
            <w14:solidFill>
              <w14:schemeClr w14:val="tx1"/>
            </w14:solidFill>
          </w14:textFill>
        </w:rPr>
        <w:t>km</w:t>
      </w:r>
      <w:r>
        <w:rPr>
          <w:rFonts w:hint="default" w:ascii="Times New Roman" w:hAnsi="Times New Roman" w:cs="Times New Roman"/>
          <w:color w:val="000000" w:themeColor="text1"/>
          <w:sz w:val="24"/>
          <w:szCs w:val="24"/>
          <w:lang w:val="en-US" w:eastAsia="en-US"/>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呈斜条状，海拔高度在250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en-US"/>
          <w14:textFill>
            <w14:solidFill>
              <w14:schemeClr w14:val="tx1"/>
            </w14:solidFill>
          </w14:textFill>
        </w:rPr>
        <w:t>500</w:t>
      </w:r>
      <w:r>
        <w:rPr>
          <w:rFonts w:hint="default" w:ascii="Times New Roman" w:hAnsi="Times New Roman" w:cs="Times New Roman"/>
          <w:color w:val="000000" w:themeColor="text1"/>
          <w:sz w:val="24"/>
          <w:szCs w:val="24"/>
          <w14:textFill>
            <w14:solidFill>
              <w14:schemeClr w14:val="tx1"/>
            </w14:solidFill>
          </w14:textFill>
        </w:rPr>
        <w:t>m之间。</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克拉玛依</w:t>
      </w:r>
      <w:r>
        <w:rPr>
          <w:rFonts w:hint="eastAsia" w:eastAsia="宋体" w:cs="Times New Roman"/>
          <w:color w:val="000000" w:themeColor="text1"/>
          <w:sz w:val="24"/>
          <w:szCs w:val="24"/>
          <w:lang w:eastAsia="zh-CN"/>
          <w14:textFill>
            <w14:solidFill>
              <w14:schemeClr w14:val="tx1"/>
            </w14:solidFill>
          </w14:textFill>
        </w:rPr>
        <w:t>高新技术产业开发区位于</w:t>
      </w:r>
      <w:r>
        <w:rPr>
          <w:rFonts w:hint="default" w:ascii="Times New Roman" w:hAnsi="Times New Roman" w:cs="Times New Roman"/>
          <w:color w:val="000000" w:themeColor="text1"/>
          <w:sz w:val="24"/>
          <w:szCs w:val="24"/>
          <w14:textFill>
            <w14:solidFill>
              <w14:schemeClr w14:val="tx1"/>
            </w14:solidFill>
          </w14:textFill>
        </w:rPr>
        <w:t>克拉玛依市金龙镇至三坪镇以及两者之间广阔用地范围。其北邻217国道，西至石化大道向南延长段，东面将石油公司纳入克拉玛依高新技术产业开发区，南面为奎北铁路，并在园区内设有货运站一克北站。</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厂址西北距217国道约</w:t>
      </w:r>
      <w:r>
        <w:rPr>
          <w:rFonts w:hint="default" w:ascii="Times New Roman" w:hAnsi="Times New Roman" w:cs="Times New Roman"/>
          <w:color w:val="000000" w:themeColor="text1"/>
          <w:sz w:val="24"/>
          <w:szCs w:val="24"/>
          <w:lang w:val="en-US" w:eastAsia="en-US"/>
          <w14:textFill>
            <w14:solidFill>
              <w14:schemeClr w14:val="tx1"/>
            </w14:solidFill>
          </w14:textFill>
        </w:rPr>
        <w:t>1. 2</w:t>
      </w:r>
      <w:r>
        <w:rPr>
          <w:rFonts w:hint="default" w:ascii="Times New Roman" w:hAnsi="Times New Roman" w:cs="Times New Roman"/>
          <w:color w:val="000000" w:themeColor="text1"/>
          <w:sz w:val="24"/>
          <w:szCs w:val="24"/>
          <w14:textFill>
            <w14:solidFill>
              <w14:schemeClr w14:val="tx1"/>
            </w14:solidFill>
          </w14:textFill>
        </w:rPr>
        <w:t>km</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奎北铁路由厂址南侧约</w:t>
      </w:r>
      <w:r>
        <w:rPr>
          <w:rFonts w:hint="default" w:ascii="Times New Roman" w:hAnsi="Times New Roman" w:cs="Times New Roman"/>
          <w:color w:val="000000" w:themeColor="text1"/>
          <w:sz w:val="24"/>
          <w:szCs w:val="24"/>
          <w:lang w:val="en-US" w:eastAsia="en-US"/>
          <w14:textFill>
            <w14:solidFill>
              <w14:schemeClr w14:val="tx1"/>
            </w14:solidFill>
          </w14:textFill>
        </w:rPr>
        <w:t>5. 4</w:t>
      </w:r>
      <w:r>
        <w:rPr>
          <w:rFonts w:hint="default" w:ascii="Times New Roman" w:hAnsi="Times New Roman" w:cs="Times New Roman"/>
          <w:color w:val="000000" w:themeColor="text1"/>
          <w:sz w:val="24"/>
          <w:szCs w:val="24"/>
          <w14:textFill>
            <w14:solidFill>
              <w14:schemeClr w14:val="tx1"/>
            </w14:solidFill>
          </w14:textFill>
        </w:rPr>
        <w:t>km处东西向通过。厂址丙侧紧邻</w:t>
      </w:r>
      <w:r>
        <w:rPr>
          <w:rFonts w:hint="eastAsia" w:eastAsia="宋体" w:cs="Times New Roman"/>
          <w:color w:val="000000" w:themeColor="text1"/>
          <w:sz w:val="24"/>
          <w:szCs w:val="24"/>
          <w:lang w:eastAsia="zh-CN"/>
          <w14:textFill>
            <w14:solidFill>
              <w14:schemeClr w14:val="tx1"/>
            </w14:solidFill>
          </w14:textFill>
        </w:rPr>
        <w:t>高新技术产业开发区</w:t>
      </w:r>
      <w:r>
        <w:rPr>
          <w:rFonts w:hint="default" w:ascii="Times New Roman" w:hAnsi="Times New Roman" w:cs="Times New Roman"/>
          <w:color w:val="000000" w:themeColor="text1"/>
          <w:sz w:val="24"/>
          <w:szCs w:val="24"/>
          <w14:textFill>
            <w14:solidFill>
              <w14:schemeClr w14:val="tx1"/>
            </w14:solidFill>
          </w14:textFill>
        </w:rPr>
        <w:t>东三街，南侧为北四路，东侧为东四街。</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厂区地理位置见图</w:t>
      </w:r>
      <w:r>
        <w:rPr>
          <w:rFonts w:hint="default" w:ascii="Times New Roman" w:hAnsi="Times New Roman" w:cs="Times New Roman"/>
          <w:color w:val="000000" w:themeColor="text1"/>
          <w:sz w:val="24"/>
          <w:szCs w:val="24"/>
          <w:lang w:val="en-US" w:eastAsia="en-US"/>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1-1。厂区所在园区位置见图</w:t>
      </w:r>
      <w:r>
        <w:rPr>
          <w:rFonts w:hint="default" w:ascii="Times New Roman" w:hAnsi="Times New Roman" w:cs="Times New Roman"/>
          <w:color w:val="000000" w:themeColor="text1"/>
          <w:sz w:val="24"/>
          <w:szCs w:val="24"/>
          <w:lang w:val="en-US" w:eastAsia="en-US"/>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1-2。</w:t>
      </w:r>
    </w:p>
    <w:p>
      <w:pPr>
        <w:pStyle w:val="4"/>
        <w:rPr>
          <w:color w:val="000000" w:themeColor="text1"/>
          <w14:textFill>
            <w14:solidFill>
              <w14:schemeClr w14:val="tx1"/>
            </w14:solidFill>
          </w14:textFill>
        </w:rPr>
      </w:pPr>
      <w:bookmarkStart w:id="118" w:name="_Toc25789"/>
      <w:r>
        <w:rPr>
          <w:color w:val="000000" w:themeColor="text1"/>
          <w14:textFill>
            <w14:solidFill>
              <w14:schemeClr w14:val="tx1"/>
            </w14:solidFill>
          </w14:textFill>
        </w:rPr>
        <w:t>3.2 自然环境</w:t>
      </w:r>
      <w:bookmarkEnd w:id="114"/>
      <w:bookmarkEnd w:id="115"/>
      <w:bookmarkEnd w:id="116"/>
      <w:bookmarkEnd w:id="117"/>
      <w:bookmarkEnd w:id="118"/>
    </w:p>
    <w:p>
      <w:pPr>
        <w:pStyle w:val="5"/>
        <w:rPr>
          <w:color w:val="000000" w:themeColor="text1"/>
          <w:lang w:val="zh-CN"/>
          <w14:textFill>
            <w14:solidFill>
              <w14:schemeClr w14:val="tx1"/>
            </w14:solidFill>
          </w14:textFill>
        </w:rPr>
      </w:pPr>
      <w:bookmarkStart w:id="119" w:name="_Toc29027"/>
      <w:bookmarkStart w:id="120" w:name="_Toc19318"/>
      <w:bookmarkStart w:id="121" w:name="_Toc26301"/>
      <w:bookmarkStart w:id="122" w:name="_Toc12070"/>
      <w:bookmarkStart w:id="123" w:name="_Toc20388"/>
      <w:r>
        <w:rPr>
          <w:color w:val="000000" w:themeColor="text1"/>
          <w:lang w:val="zh-CN"/>
          <w14:textFill>
            <w14:solidFill>
              <w14:schemeClr w14:val="tx1"/>
            </w14:solidFill>
          </w14:textFill>
        </w:rPr>
        <w:t>3.2.1</w:t>
      </w:r>
      <w:r>
        <w:rPr>
          <w:color w:val="000000" w:themeColor="text1"/>
          <w14:textFill>
            <w14:solidFill>
              <w14:schemeClr w14:val="tx1"/>
            </w14:solidFill>
          </w14:textFill>
        </w:rPr>
        <w:t xml:space="preserve"> </w:t>
      </w:r>
      <w:r>
        <w:rPr>
          <w:color w:val="000000" w:themeColor="text1"/>
          <w:lang w:val="zh-CN"/>
          <w14:textFill>
            <w14:solidFill>
              <w14:schemeClr w14:val="tx1"/>
            </w14:solidFill>
          </w14:textFill>
        </w:rPr>
        <w:t>地形、地貌条件</w:t>
      </w:r>
      <w:bookmarkEnd w:id="119"/>
      <w:bookmarkEnd w:id="120"/>
      <w:bookmarkEnd w:id="121"/>
      <w:bookmarkEnd w:id="122"/>
      <w:bookmarkEnd w:id="123"/>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克拉玛依地处古尔班通古特沙漠西北缘的冲积扇前倾平原地带，全市呈南北长、东西窄的斜长条状。中心城区位于山脉与盆地之间的漫坡上，北有扎依尔山，南北走向，由构造剥蚀低山及丘陵地形组成，海拔高度600～800m；南部独山子山海拔高度为1283m；东南面是茫茫戈壁滩，一直伸展到盆地中部的沙漠区；中部、东部地势开阔平坦，向准噶尔盆地中心倾斜。整个市域地势呈西北高，东南低，南北向和东西向坡度为2%。</w:t>
      </w:r>
    </w:p>
    <w:p>
      <w:pPr>
        <w:overflowPunct w:val="0"/>
        <w:spacing w:line="360" w:lineRule="auto"/>
        <w:ind w:firstLine="480" w:firstLineChars="200"/>
        <w:rPr>
          <w:color w:val="000000" w:themeColor="text1"/>
          <w14:textFill>
            <w14:solidFill>
              <w14:schemeClr w14:val="tx1"/>
            </w14:solidFill>
          </w14:textFill>
        </w:rPr>
      </w:pPr>
      <w:r>
        <w:rPr>
          <w:color w:val="000000" w:themeColor="text1"/>
          <w:sz w:val="24"/>
          <w:szCs w:val="24"/>
          <w14:textFill>
            <w14:solidFill>
              <w14:schemeClr w14:val="tx1"/>
            </w14:solidFill>
          </w14:textFill>
        </w:rPr>
        <w:t>克拉玛依市的地貌多为广阔平坦的戈壁滩。除此之外，还有湿地、林地、草场。多小丘沙地、多垄沙地。主要的地质遗迹包括克拉玛依乌尔禾魔鬼城和独山子泥火山。戈壁滩上散落着许多沙丘、沙垄和沙包。由于强烈的风蚀作用，形成了独特的风蚀地貌——雅丹地貌。沙漠戈壁面积占了土地的77%，其上覆盖着荒漠植被，形成典型的荒漠生态系统。克拉玛依地震烈度为</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 7 \* ROMAN \* MERGEFORMAT </w:instrText>
      </w:r>
      <w:r>
        <w:rPr>
          <w:color w:val="000000" w:themeColor="text1"/>
          <w:sz w:val="24"/>
          <w:szCs w:val="24"/>
          <w14:textFill>
            <w14:solidFill>
              <w14:schemeClr w14:val="tx1"/>
            </w14:solidFill>
          </w14:textFill>
        </w:rPr>
        <w:fldChar w:fldCharType="separate"/>
      </w:r>
      <w:r>
        <w:rPr>
          <w:color w:val="000000" w:themeColor="text1"/>
          <w14:textFill>
            <w14:solidFill>
              <w14:schemeClr w14:val="tx1"/>
            </w14:solidFill>
          </w14:textFill>
        </w:rPr>
        <w:t>VII</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度。本项目所在区域白碱滩区位于</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"https://baike.baidu.com/item/%E5%87%86%E5%99%B6%E5%B0%94%E7%9B%86%E5%9C%B0" \t "https://baike.baidu.com/item/%E7%99%BD%E7%A2%B1%E6%BB%A9%E5%8C%BA/_blank"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准噶尔盆地</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西北缘，北面有扎依尔山山脉，自西北向东南倾斜。地形轮廓呈条形，西北高，东南低；地貌总体多为</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"https://baike.baidu.com/item/%E6%88%88%E5%A3%81/77954" \t "https://baike.baidu.com/item/%E7%99%BD%E7%A2%B1%E6%BB%A9%E5%8C%BA/_blank"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戈壁</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(荒漠)。</w:t>
      </w:r>
    </w:p>
    <w:p>
      <w:pPr>
        <w:pStyle w:val="5"/>
        <w:rPr>
          <w:color w:val="000000" w:themeColor="text1"/>
          <w:lang w:val="zh-CN"/>
          <w14:textFill>
            <w14:solidFill>
              <w14:schemeClr w14:val="tx1"/>
            </w14:solidFill>
          </w14:textFill>
        </w:rPr>
      </w:pPr>
      <w:bookmarkStart w:id="124" w:name="_Toc21426"/>
      <w:bookmarkStart w:id="125" w:name="_Toc9850"/>
      <w:bookmarkStart w:id="126" w:name="_Toc5401"/>
      <w:bookmarkStart w:id="127" w:name="_Toc5274"/>
      <w:bookmarkStart w:id="128" w:name="_Toc9259"/>
      <w:r>
        <w:rPr>
          <w:color w:val="000000" w:themeColor="text1"/>
          <w:lang w:val="zh-CN"/>
          <w14:textFill>
            <w14:solidFill>
              <w14:schemeClr w14:val="tx1"/>
            </w14:solidFill>
          </w14:textFill>
        </w:rPr>
        <w:t>3.2.2</w:t>
      </w:r>
      <w:r>
        <w:rPr>
          <w:color w:val="000000" w:themeColor="text1"/>
          <w14:textFill>
            <w14:solidFill>
              <w14:schemeClr w14:val="tx1"/>
            </w14:solidFill>
          </w14:textFill>
        </w:rPr>
        <w:t xml:space="preserve"> </w:t>
      </w:r>
      <w:r>
        <w:rPr>
          <w:color w:val="000000" w:themeColor="text1"/>
          <w:lang w:val="zh-CN"/>
          <w14:textFill>
            <w14:solidFill>
              <w14:schemeClr w14:val="tx1"/>
            </w14:solidFill>
          </w14:textFill>
        </w:rPr>
        <w:t>地质条件</w:t>
      </w:r>
      <w:bookmarkEnd w:id="124"/>
      <w:bookmarkEnd w:id="125"/>
      <w:bookmarkEnd w:id="126"/>
      <w:bookmarkEnd w:id="127"/>
      <w:bookmarkEnd w:id="128"/>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克拉玛依市坐落于扎伊尔山山前洪冲积扇上，其地貌单元主要为洪积地貌，第四纪的地层沉积稳定，无明显的构造破坏迹象，下伏基岩为白垩系泥岩夹砂岩地层。</w:t>
      </w:r>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克拉玛依市域内土壤土质贫瘠，大部分为荒漠灰钙土、棕钙土，不少地区土壤含盐量较高，因少雨出现表层结块，形成不同程度的土壤盐碱化,“白碱滩”因此而得名。从南向北，分布的土壤依次为棕钙土、荒漠灰钙土和灰棕色荒漠土，土中多砂砾。项目所在区白碱滩区处于构造活动相对较弱的地段，地表为第四系松散层覆盖，地层结构为第四系坡洪积粗粒物质互相沉积，沉积厚度为2.0~6.1m。</w:t>
      </w:r>
    </w:p>
    <w:p>
      <w:pPr>
        <w:pStyle w:val="5"/>
        <w:rPr>
          <w:color w:val="000000" w:themeColor="text1"/>
          <w:lang w:val="zh-CN"/>
          <w14:textFill>
            <w14:solidFill>
              <w14:schemeClr w14:val="tx1"/>
            </w14:solidFill>
          </w14:textFill>
        </w:rPr>
      </w:pPr>
      <w:bookmarkStart w:id="129" w:name="_Toc9423"/>
      <w:bookmarkStart w:id="130" w:name="_Toc3888"/>
      <w:bookmarkStart w:id="131" w:name="_Toc2700"/>
      <w:bookmarkStart w:id="132" w:name="_Toc14963"/>
      <w:bookmarkStart w:id="133" w:name="_Toc31318"/>
      <w:r>
        <w:rPr>
          <w:color w:val="000000" w:themeColor="text1"/>
          <w:lang w:val="zh-CN"/>
          <w14:textFill>
            <w14:solidFill>
              <w14:schemeClr w14:val="tx1"/>
            </w14:solidFill>
          </w14:textFill>
        </w:rPr>
        <w:t>3.2.3</w:t>
      </w:r>
      <w:r>
        <w:rPr>
          <w:color w:val="000000" w:themeColor="text1"/>
          <w14:textFill>
            <w14:solidFill>
              <w14:schemeClr w14:val="tx1"/>
            </w14:solidFill>
          </w14:textFill>
        </w:rPr>
        <w:t xml:space="preserve"> </w:t>
      </w:r>
      <w:r>
        <w:rPr>
          <w:color w:val="000000" w:themeColor="text1"/>
          <w:lang w:val="zh-CN"/>
          <w14:textFill>
            <w14:solidFill>
              <w14:schemeClr w14:val="tx1"/>
            </w14:solidFill>
          </w14:textFill>
        </w:rPr>
        <w:t>气象条件</w:t>
      </w:r>
      <w:bookmarkEnd w:id="129"/>
      <w:bookmarkEnd w:id="130"/>
      <w:bookmarkEnd w:id="131"/>
      <w:bookmarkEnd w:id="132"/>
      <w:bookmarkEnd w:id="133"/>
    </w:p>
    <w:p>
      <w:pPr>
        <w:overflowPunct w:val="0"/>
        <w:spacing w:line="360" w:lineRule="auto"/>
        <w:ind w:firstLine="480" w:firstLineChars="200"/>
        <w:rPr>
          <w:color w:val="000000" w:themeColor="text1"/>
          <w:sz w:val="24"/>
          <w:szCs w:val="24"/>
          <w14:textFill>
            <w14:solidFill>
              <w14:schemeClr w14:val="tx1"/>
            </w14:solidFill>
          </w14:textFill>
        </w:rPr>
      </w:pPr>
      <w:bookmarkStart w:id="134" w:name="OLE_LINK3"/>
      <w:r>
        <w:rPr>
          <w:color w:val="000000" w:themeColor="text1"/>
          <w:sz w:val="24"/>
          <w:szCs w:val="24"/>
          <w14:textFill>
            <w14:solidFill>
              <w14:schemeClr w14:val="tx1"/>
            </w14:solidFill>
          </w14:textFill>
        </w:rPr>
        <w:t>克拉玛依市位于中纬度内陆地区，属典型的温带大陆性气候。其特点是：寒暑差异悬殊，干燥少雨，春秋季风多，冬夏温差大。积雪薄，蒸发快，冻土深。大风、寒潮、冰雹、山洪等灾害天气频发。四季中，冬夏两季漫长，且温差大，春秋两季为过渡期，换季不明显。根据克拉玛依气象站，常规气象参数为：</w:t>
      </w:r>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极端最高温度42.7</w:t>
      </w:r>
      <w:r>
        <w:rPr>
          <w:rFonts w:ascii="宋体"/>
          <w:color w:val="000000" w:themeColor="text1"/>
          <w:sz w:val="24"/>
          <w:szCs w:val="24"/>
          <w14:textFill>
            <w14:solidFill>
              <w14:schemeClr w14:val="tx1"/>
            </w14:solidFill>
          </w14:textFill>
        </w:rPr>
        <w:t>℃</w:t>
      </w:r>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极端最低温度-34.3</w:t>
      </w:r>
      <w:r>
        <w:rPr>
          <w:rFonts w:ascii="宋体"/>
          <w:color w:val="000000" w:themeColor="text1"/>
          <w:sz w:val="24"/>
          <w:szCs w:val="24"/>
          <w14:textFill>
            <w14:solidFill>
              <w14:schemeClr w14:val="tx1"/>
            </w14:solidFill>
          </w14:textFill>
        </w:rPr>
        <w:t>℃</w:t>
      </w:r>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年平均气温8.6</w:t>
      </w:r>
      <w:r>
        <w:rPr>
          <w:rFonts w:ascii="宋体"/>
          <w:color w:val="000000" w:themeColor="text1"/>
          <w:sz w:val="24"/>
          <w:szCs w:val="24"/>
          <w14:textFill>
            <w14:solidFill>
              <w14:schemeClr w14:val="tx1"/>
            </w14:solidFill>
          </w14:textFill>
        </w:rPr>
        <w:t>℃</w:t>
      </w:r>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年平均蒸发量2692.1mm</w:t>
      </w:r>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年平均降水量</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108.9mm</w:t>
      </w:r>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无霜期225天</w:t>
      </w:r>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平均日照时数2455.3h</w:t>
      </w:r>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年平均风速2.54m/s</w:t>
      </w:r>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历年最大风速42.2m/s</w:t>
      </w:r>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主导风向西北风频率22%</w:t>
      </w:r>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次主导风向西北偏北风频率9%</w:t>
      </w:r>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最大冻土深度1.97m</w:t>
      </w:r>
    </w:p>
    <w:bookmarkEnd w:id="134"/>
    <w:p>
      <w:pPr>
        <w:pStyle w:val="5"/>
        <w:rPr>
          <w:color w:val="000000" w:themeColor="text1"/>
          <w:lang w:val="zh-CN"/>
          <w14:textFill>
            <w14:solidFill>
              <w14:schemeClr w14:val="tx1"/>
            </w14:solidFill>
          </w14:textFill>
        </w:rPr>
      </w:pPr>
      <w:bookmarkStart w:id="135" w:name="_Toc22864"/>
      <w:bookmarkStart w:id="136" w:name="_Toc26472"/>
      <w:bookmarkStart w:id="137" w:name="_Toc28567"/>
      <w:bookmarkStart w:id="138" w:name="_Toc13052"/>
      <w:bookmarkStart w:id="139" w:name="_Toc5390"/>
      <w:r>
        <w:rPr>
          <w:color w:val="000000" w:themeColor="text1"/>
          <w:lang w:val="zh-CN"/>
          <w14:textFill>
            <w14:solidFill>
              <w14:schemeClr w14:val="tx1"/>
            </w14:solidFill>
          </w14:textFill>
        </w:rPr>
        <w:t>3.2.4</w:t>
      </w:r>
      <w:r>
        <w:rPr>
          <w:color w:val="000000" w:themeColor="text1"/>
          <w14:textFill>
            <w14:solidFill>
              <w14:schemeClr w14:val="tx1"/>
            </w14:solidFill>
          </w14:textFill>
        </w:rPr>
        <w:t xml:space="preserve"> </w:t>
      </w:r>
      <w:r>
        <w:rPr>
          <w:color w:val="000000" w:themeColor="text1"/>
          <w:lang w:val="zh-CN"/>
          <w14:textFill>
            <w14:solidFill>
              <w14:schemeClr w14:val="tx1"/>
            </w14:solidFill>
          </w14:textFill>
        </w:rPr>
        <w:t>土壤、植被</w:t>
      </w:r>
      <w:bookmarkEnd w:id="135"/>
      <w:bookmarkEnd w:id="136"/>
      <w:bookmarkEnd w:id="137"/>
      <w:bookmarkEnd w:id="138"/>
      <w:bookmarkEnd w:id="139"/>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克拉玛依市全境大部分地区为戈壁荒漠，从南到北，土壤分布依次为棕钙土、荒漠灰钙土和灰棕色荒漠土。土质低劣，遍地砂砾，不少地方土壤含盐量高。因缺雨水冲刷，盐分板结在土壤表层上，形成严重的土壤盐碱化。境内“白碱滩区”就是因遍地白茫茫的盐碱而得名。由于具有干旱、少雨、多风、温差大等特征，植被一般比较稀少、矮小，多属能耐干旱、抗风沙、抗盐碱的藜科类植被。常见的有梭梭、沙枣树、骆驼刺、苦豆子、红柳等约230余种。白碱滩区境内</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"https://baike.baidu.com/item/%E9%87%8E%E7%94%9F%E6%A4%8D%E7%89%A9" \t "https://baike.baidu.com/item/%E7%99%BD%E7%A2%B1%E6%BB%A9%E5%8C%BA/_blank"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野生植物</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主要有</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"https://baike.baidu.com/item/%E8%83%A1%E6%9D%A8/981979" \t "https://baike.baidu.com/item/%E7%99%BD%E7%A2%B1%E6%BB%A9%E5%8C%BA/_blank"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胡杨</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、红柳、沙枣、</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"https://baike.baidu.com/item/%E6%A2%AD%E6%A2%AD%E6%9F%B4" \t "https://baike.baidu.com/item/%E7%99%BD%E7%A2%B1%E6%BB%A9%E5%8C%BA/_blank"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梭梭柴</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、骆驼刺、榆、</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"https://baike.baidu.com/item/%E8%8A%A6%E8%8B%87/1345" \t "https://baike.baidu.com/item/%E7%99%BD%E7%A2%B1%E6%BB%A9%E5%8C%BA/_blank"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芦苇</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、骆驼莲、芨芨草、肉苁蓉、牛舌颗、马齿笕、大蓟、车前子、刺蒺藜、蒲草、</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"https://baike.baidu.com/item/%E8%8B%8D%E8%80%B3/2061" \t "https://baike.baidu.com/item/%E7%99%BD%E7%A2%B1%E6%BB%A9%E5%8C%BA/_blank"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苍耳</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、扁蓄、扫帚菜、</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"https://baike.baidu.com/item/%E7%8B%97%E5%B0%BE%E5%B7%B4%E8%8D%89" \t "https://baike.baidu.com/item/%E7%99%BD%E7%A2%B1%E6%BB%A9%E5%8C%BA/_blank"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狗尾巴草</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、苦苣菜、苦豆子、铁角蕨、</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"https://baike.baidu.com/item/%E7%AE%97%E7%9B%98%E5%AD%90" \t "https://baike.baidu.com/item/%E7%99%BD%E7%A2%B1%E6%BB%A9%E5%8C%BA/_blank"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算盘子</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、碱蓬、羊草、水稗草、荟荟草、铃刺、枸杞、赖草、羊栖草、粉色苣、角呆藜、 黄芪、</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"https://baike.baidu.com/item/%E9%83%81%E9%87%91%E9%A6%99/13506" \t "https://baike.baidu.com/item/%E7%99%BD%E7%A2%B1%E6%BB%A9%E5%8C%BA/_blank"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郁金香</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、沙参、乌头、柴胡、锁阳、野葱、野蒜、野韭菜、苦菜、</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"https://baike.baidu.com/item/%E9%87%8E%E8%8F%A0%E8%8F%9C" \t "https://baike.baidu.com/item/%E7%99%BD%E7%A2%B1%E6%BB%A9%E5%8C%BA/_blank"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野菠菜</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等。</w:t>
      </w:r>
    </w:p>
    <w:p>
      <w:pPr>
        <w:pStyle w:val="5"/>
        <w:rPr>
          <w:color w:val="000000" w:themeColor="text1"/>
          <w:lang w:val="zh-CN"/>
          <w14:textFill>
            <w14:solidFill>
              <w14:schemeClr w14:val="tx1"/>
            </w14:solidFill>
          </w14:textFill>
        </w:rPr>
      </w:pPr>
      <w:bookmarkStart w:id="140" w:name="_Toc32568"/>
      <w:bookmarkStart w:id="141" w:name="_Toc22932"/>
      <w:bookmarkStart w:id="142" w:name="_Toc30337"/>
      <w:bookmarkStart w:id="143" w:name="_Toc11561"/>
      <w:bookmarkStart w:id="144" w:name="_Toc1297"/>
      <w:r>
        <w:rPr>
          <w:color w:val="000000" w:themeColor="text1"/>
          <w:lang w:val="zh-CN"/>
          <w14:textFill>
            <w14:solidFill>
              <w14:schemeClr w14:val="tx1"/>
            </w14:solidFill>
          </w14:textFill>
        </w:rPr>
        <w:t>3.2.</w:t>
      </w:r>
      <w:r>
        <w:rPr>
          <w:color w:val="000000" w:themeColor="text1"/>
          <w14:textFill>
            <w14:solidFill>
              <w14:schemeClr w14:val="tx1"/>
            </w14:solidFill>
          </w14:textFill>
        </w:rPr>
        <w:t xml:space="preserve">5 </w:t>
      </w:r>
      <w:r>
        <w:rPr>
          <w:color w:val="000000" w:themeColor="text1"/>
          <w:lang w:val="zh-CN"/>
          <w14:textFill>
            <w14:solidFill>
              <w14:schemeClr w14:val="tx1"/>
            </w14:solidFill>
          </w14:textFill>
        </w:rPr>
        <w:t>矿产资源</w:t>
      </w:r>
      <w:bookmarkEnd w:id="140"/>
      <w:bookmarkEnd w:id="141"/>
      <w:bookmarkEnd w:id="142"/>
      <w:bookmarkEnd w:id="143"/>
      <w:bookmarkEnd w:id="144"/>
    </w:p>
    <w:p>
      <w:pPr>
        <w:overflowPunct w:val="0"/>
        <w:spacing w:line="360" w:lineRule="auto"/>
        <w:ind w:firstLine="480" w:firstLineChars="200"/>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克拉玛依的主要矿产资源是石油和天然气。石油天然气油层浅、储量大，原油质地优良。分布状况是横向连片，纵向叠合，由多种油气层系和油藏类型组成。主要分布在准噶尔盆地腹部、西北缘和南缘地区。其他矿产主要有天然沥青和沥青砂、煤炭、金丝玉、食盐、石膏、</w:t>
      </w:r>
      <w:r>
        <w:rPr>
          <w:color w:val="000000" w:themeColor="text1"/>
          <w:sz w:val="24"/>
          <w:szCs w:val="24"/>
          <w:lang w:val="zh-CN"/>
          <w14:textFill>
            <w14:solidFill>
              <w14:schemeClr w14:val="tx1"/>
            </w14:solidFill>
          </w14:textFill>
        </w:rPr>
        <w:fldChar w:fldCharType="begin"/>
      </w:r>
      <w:r>
        <w:rPr>
          <w:color w:val="000000" w:themeColor="text1"/>
          <w:sz w:val="24"/>
          <w:szCs w:val="24"/>
          <w:lang w:val="zh-CN"/>
          <w14:textFill>
            <w14:solidFill>
              <w14:schemeClr w14:val="tx1"/>
            </w14:solidFill>
          </w14:textFill>
        </w:rPr>
        <w:instrText xml:space="preserve"> HYPERLINK "https://baike.baidu.com/item/%E8%8A%92%E7%A1%9D" \t "https://baike.baidu.com/item/%E5%85%8B%E6%8B%89%E7%8E%9B%E4%BE%9D/_blank" </w:instrText>
      </w:r>
      <w:r>
        <w:rPr>
          <w:color w:val="000000" w:themeColor="text1"/>
          <w:sz w:val="24"/>
          <w:szCs w:val="24"/>
          <w:lang w:val="zh-CN"/>
          <w14:textFill>
            <w14:solidFill>
              <w14:schemeClr w14:val="tx1"/>
            </w14:solidFill>
          </w14:textFill>
        </w:rPr>
        <w:fldChar w:fldCharType="separate"/>
      </w:r>
      <w:r>
        <w:rPr>
          <w:color w:val="000000" w:themeColor="text1"/>
          <w:sz w:val="24"/>
          <w:szCs w:val="24"/>
          <w:lang w:val="zh-CN"/>
          <w14:textFill>
            <w14:solidFill>
              <w14:schemeClr w14:val="tx1"/>
            </w14:solidFill>
          </w14:textFill>
        </w:rPr>
        <w:t>芒硝</w:t>
      </w:r>
      <w:r>
        <w:rPr>
          <w:color w:val="000000" w:themeColor="text1"/>
          <w:sz w:val="24"/>
          <w:szCs w:val="24"/>
          <w:lang w:val="zh-CN"/>
          <w14:textFill>
            <w14:solidFill>
              <w14:schemeClr w14:val="tx1"/>
            </w14:solidFill>
          </w14:textFill>
        </w:rPr>
        <w:fldChar w:fldCharType="end"/>
      </w:r>
      <w:r>
        <w:rPr>
          <w:color w:val="000000" w:themeColor="text1"/>
          <w:sz w:val="24"/>
          <w:szCs w:val="24"/>
          <w:lang w:val="zh-CN"/>
          <w14:textFill>
            <w14:solidFill>
              <w14:schemeClr w14:val="tx1"/>
            </w14:solidFill>
          </w14:textFill>
        </w:rPr>
        <w:t>、耐火材料、砂石等。其中天然气沥青和沥青砂储量丰富，沥青地质储量约2.5亿吨。</w:t>
      </w:r>
    </w:p>
    <w:p>
      <w:pPr>
        <w:pStyle w:val="5"/>
        <w:rPr>
          <w:color w:val="000000" w:themeColor="text1"/>
          <w:lang w:val="zh-CN"/>
          <w14:textFill>
            <w14:solidFill>
              <w14:schemeClr w14:val="tx1"/>
            </w14:solidFill>
          </w14:textFill>
        </w:rPr>
      </w:pPr>
      <w:bookmarkStart w:id="145" w:name="_Toc19229"/>
      <w:bookmarkStart w:id="146" w:name="_Toc16723"/>
      <w:bookmarkStart w:id="147" w:name="_Toc14991"/>
      <w:bookmarkStart w:id="148" w:name="_Toc8012"/>
      <w:bookmarkStart w:id="149" w:name="_Toc24964"/>
      <w:r>
        <w:rPr>
          <w:color w:val="000000" w:themeColor="text1"/>
          <w:lang w:val="zh-CN"/>
          <w14:textFill>
            <w14:solidFill>
              <w14:schemeClr w14:val="tx1"/>
            </w14:solidFill>
          </w14:textFill>
        </w:rPr>
        <w:t>3.2.</w:t>
      </w:r>
      <w:r>
        <w:rPr>
          <w:color w:val="000000" w:themeColor="text1"/>
          <w14:textFill>
            <w14:solidFill>
              <w14:schemeClr w14:val="tx1"/>
            </w14:solidFill>
          </w14:textFill>
        </w:rPr>
        <w:t>6 石油</w:t>
      </w:r>
      <w:r>
        <w:rPr>
          <w:color w:val="000000" w:themeColor="text1"/>
          <w:lang w:val="zh-CN"/>
          <w14:textFill>
            <w14:solidFill>
              <w14:schemeClr w14:val="tx1"/>
            </w14:solidFill>
          </w14:textFill>
        </w:rPr>
        <w:t>资源</w:t>
      </w:r>
      <w:bookmarkEnd w:id="145"/>
      <w:bookmarkEnd w:id="146"/>
      <w:bookmarkEnd w:id="147"/>
      <w:bookmarkEnd w:id="148"/>
      <w:bookmarkEnd w:id="149"/>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克拉玛依是新中国成立后勘探开发的第一个大油田。1955年6月14日，由8个民族36名职工组成的独山子矿务局钻井处1219青年钻井队，在技师陆铭宝、副技师艾山卡日·艾拜拉木带领下进军克拉玛依，在距黑油山东南方向5.5千米处的1号井现场布置打井。7月6日开钻，10月29日完井出油，标志着新中国成立后第一个大油田---克拉玛依油田的发现，揭开了新疆石油工业大发展的序幕。同年11月26日，新华社报道了克拉玛依黑油山地区1号井出油的消息。此后，克拉玛依油田经过50年代开发，70年代发展、80年代腾飞，90年代创新，取得累累硕果，2002年，原油产量突破1000万吨，成为中国西部第一个原油产量上千万吨的大油田。2008年，新疆油田在</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"https://baike.baidu.com/item/%E5%87%86%E5%99%B6%E5%B0%94%E7%9B%86%E5%9C%B0" \t "https://baike.baidu.com/item/%E5%85%8B%E6%8B%89%E7%8E%9B%E4%BE%9D/_blank"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准噶尔盆地</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全面完成“数字油田”建设，成为国内第一个数字化油气田。2017年，新疆油田公司原油产量1131万吨、天然气28.4亿方。两大炼厂</w:t>
      </w:r>
      <w:bookmarkStart w:id="150" w:name="OLE_LINK5"/>
      <w:bookmarkEnd w:id="150"/>
      <w:bookmarkStart w:id="151" w:name="OLE_LINK6"/>
      <w:r>
        <w:rPr>
          <w:color w:val="000000" w:themeColor="text1"/>
          <w:sz w:val="24"/>
          <w:szCs w:val="24"/>
          <w14:textFill>
            <w14:solidFill>
              <w14:schemeClr w14:val="tx1"/>
            </w14:solidFill>
          </w14:textFill>
        </w:rPr>
        <w:t>加工原油</w:t>
      </w:r>
      <w:bookmarkEnd w:id="151"/>
      <w:r>
        <w:rPr>
          <w:color w:val="000000" w:themeColor="text1"/>
          <w:sz w:val="24"/>
          <w:szCs w:val="24"/>
          <w14:textFill>
            <w14:solidFill>
              <w14:schemeClr w14:val="tx1"/>
            </w14:solidFill>
          </w14:textFill>
        </w:rPr>
        <w:t>1290万吨，生产乙烯132万吨。经济结构进一步优化，第三产业占全市经济比重达30.1%。</w:t>
      </w:r>
    </w:p>
    <w:p>
      <w:pPr>
        <w:pStyle w:val="4"/>
        <w:rPr>
          <w:color w:val="000000" w:themeColor="text1"/>
          <w14:textFill>
            <w14:solidFill>
              <w14:schemeClr w14:val="tx1"/>
            </w14:solidFill>
          </w14:textFill>
        </w:rPr>
      </w:pPr>
      <w:bookmarkStart w:id="152" w:name="_Toc30082"/>
      <w:bookmarkStart w:id="153" w:name="_Toc491857663"/>
      <w:bookmarkStart w:id="154" w:name="_Toc27370"/>
      <w:bookmarkStart w:id="155" w:name="_Toc6283_WPSOffice_Level2"/>
      <w:bookmarkStart w:id="156" w:name="_Toc10873"/>
      <w:r>
        <w:rPr>
          <w:color w:val="000000" w:themeColor="text1"/>
          <w14:textFill>
            <w14:solidFill>
              <w14:schemeClr w14:val="tx1"/>
            </w14:solidFill>
          </w14:textFill>
        </w:rPr>
        <w:t>3.3 园区概况</w:t>
      </w:r>
      <w:bookmarkEnd w:id="152"/>
      <w:bookmarkEnd w:id="153"/>
      <w:bookmarkEnd w:id="154"/>
      <w:bookmarkEnd w:id="155"/>
      <w:bookmarkEnd w:id="156"/>
    </w:p>
    <w:p>
      <w:pPr>
        <w:pStyle w:val="76"/>
        <w:spacing w:line="360" w:lineRule="auto"/>
        <w:ind w:firstLine="480" w:firstLineChars="200"/>
        <w:rPr>
          <w:color w:val="000000" w:themeColor="text1"/>
          <w:spacing w:val="4"/>
          <w:kern w:val="24"/>
          <w14:textFill>
            <w14:solidFill>
              <w14:schemeClr w14:val="tx1"/>
            </w14:solidFill>
          </w14:textFill>
        </w:rPr>
      </w:pPr>
      <w:r>
        <w:rPr>
          <w:rFonts w:eastAsia="宋体"/>
          <w:color w:val="000000" w:themeColor="text1"/>
          <w14:textFill>
            <w14:solidFill>
              <w14:schemeClr w14:val="tx1"/>
            </w14:solidFill>
          </w14:textFill>
        </w:rPr>
        <w:t>克拉玛依</w:t>
      </w:r>
      <w:r>
        <w:rPr>
          <w:rFonts w:hint="eastAsia" w:eastAsia="宋体"/>
          <w:color w:val="000000" w:themeColor="text1"/>
          <w:lang w:eastAsia="zh-CN"/>
          <w14:textFill>
            <w14:solidFill>
              <w14:schemeClr w14:val="tx1"/>
            </w14:solidFill>
          </w14:textFill>
        </w:rPr>
        <w:t>高新技术产业开发区</w:t>
      </w:r>
      <w:r>
        <w:rPr>
          <w:rFonts w:eastAsia="宋体"/>
          <w:color w:val="000000" w:themeColor="text1"/>
          <w14:textFill>
            <w14:solidFill>
              <w14:schemeClr w14:val="tx1"/>
            </w14:solidFill>
          </w14:textFill>
        </w:rPr>
        <w:t>位于克拉玛依市金龙镇至三</w:t>
      </w:r>
      <w:r>
        <w:rPr>
          <w:rFonts w:hint="eastAsia" w:eastAsia="宋体"/>
          <w:color w:val="000000" w:themeColor="text1"/>
          <w14:textFill>
            <w14:solidFill>
              <w14:schemeClr w14:val="tx1"/>
            </w14:solidFill>
          </w14:textFill>
        </w:rPr>
        <w:t>坪</w:t>
      </w:r>
      <w:r>
        <w:rPr>
          <w:rFonts w:eastAsia="宋体"/>
          <w:color w:val="000000" w:themeColor="text1"/>
          <w14:textFill>
            <w14:solidFill>
              <w14:schemeClr w14:val="tx1"/>
            </w14:solidFill>
          </w14:textFill>
        </w:rPr>
        <w:t>镇以及两者之间。其北邻217国道，西至石化大道向南延长段，东面将</w:t>
      </w:r>
      <w:r>
        <w:rPr>
          <w:rFonts w:hint="eastAsia" w:eastAsia="宋体"/>
          <w:color w:val="000000" w:themeColor="text1"/>
          <w14:textFill>
            <w14:solidFill>
              <w14:schemeClr w14:val="tx1"/>
            </w14:solidFill>
          </w14:textFill>
        </w:rPr>
        <w:t>石</w:t>
      </w:r>
      <w:r>
        <w:rPr>
          <w:rFonts w:eastAsia="宋体"/>
          <w:color w:val="000000" w:themeColor="text1"/>
          <w14:textFill>
            <w14:solidFill>
              <w14:schemeClr w14:val="tx1"/>
            </w14:solidFill>
          </w14:textFill>
        </w:rPr>
        <w:t>油公司纳入</w:t>
      </w:r>
      <w:r>
        <w:rPr>
          <w:rFonts w:hint="eastAsia" w:eastAsia="宋体"/>
          <w:color w:val="000000" w:themeColor="text1"/>
          <w14:textFill>
            <w14:solidFill>
              <w14:schemeClr w14:val="tx1"/>
            </w14:solidFill>
          </w14:textFill>
        </w:rPr>
        <w:t>克拉玛依高新技术产业开发区</w:t>
      </w:r>
      <w:r>
        <w:rPr>
          <w:rFonts w:eastAsia="宋体"/>
          <w:color w:val="000000" w:themeColor="text1"/>
          <w14:textFill>
            <w14:solidFill>
              <w14:schemeClr w14:val="tx1"/>
            </w14:solidFill>
          </w14:textFill>
        </w:rPr>
        <w:t>，南面为奎—阿铁路线路及货运站，规划总面积为64.33km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，工业园区地理位置见示意图</w:t>
      </w:r>
      <w:r>
        <w:rPr>
          <w:rFonts w:hint="eastAsia" w:eastAsia="宋体"/>
          <w:color w:val="000000" w:themeColor="text1"/>
          <w14:textFill>
            <w14:solidFill>
              <w14:schemeClr w14:val="tx1"/>
            </w14:solidFill>
          </w14:textFill>
        </w:rPr>
        <w:t>3</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3</w:t>
      </w:r>
      <w:r>
        <w:rPr>
          <w:rFonts w:eastAsia="宋体"/>
          <w:color w:val="000000" w:themeColor="text1"/>
          <w14:textFill>
            <w14:solidFill>
              <w14:schemeClr w14:val="tx1"/>
            </w14:solidFill>
          </w14:textFill>
        </w:rPr>
        <w:t>-1。</w:t>
      </w:r>
    </w:p>
    <w:p>
      <w:pPr>
        <w:pStyle w:val="5"/>
        <w:shd w:val="clear" w:color="auto" w:fill="auto"/>
        <w:rPr>
          <w:rFonts w:hint="eastAsia"/>
          <w:color w:val="000000" w:themeColor="text1"/>
          <w:sz w:val="28"/>
          <w:szCs w:val="28"/>
          <w:lang w:val="zh-CN"/>
          <w14:textFill>
            <w14:solidFill>
              <w14:schemeClr w14:val="tx1"/>
            </w14:solidFill>
          </w14:textFill>
        </w:rPr>
      </w:pPr>
      <w:bookmarkStart w:id="157" w:name="_Toc17275"/>
      <w:bookmarkStart w:id="158" w:name="_Toc6290"/>
      <w:bookmarkStart w:id="159" w:name="_Toc6483"/>
      <w:r>
        <w:rPr>
          <w:rFonts w:hint="eastAsia"/>
          <w:color w:val="000000" w:themeColor="text1"/>
          <w:sz w:val="28"/>
          <w:szCs w:val="28"/>
          <w:lang w:val="zh-CN"/>
          <w14:textFill>
            <w14:solidFill>
              <w14:schemeClr w14:val="tx1"/>
            </w14:solidFill>
          </w14:textFill>
        </w:rPr>
        <w:t>3.3.1 园区规划情况</w:t>
      </w:r>
      <w:bookmarkEnd w:id="157"/>
      <w:bookmarkEnd w:id="158"/>
      <w:bookmarkEnd w:id="159"/>
    </w:p>
    <w:p>
      <w:pPr>
        <w:overflowPunct w:val="0"/>
        <w:spacing w:line="360" w:lineRule="auto"/>
        <w:ind w:firstLine="480" w:firstLineChars="200"/>
        <w:rPr>
          <w:color w:val="000000" w:themeColor="text1"/>
          <w:sz w:val="24"/>
          <w:szCs w:val="24"/>
          <w:lang w:val="en-GB"/>
          <w14:textFill>
            <w14:solidFill>
              <w14:schemeClr w14:val="tx1"/>
            </w14:solidFill>
          </w14:textFill>
        </w:rPr>
      </w:pPr>
      <w:r>
        <w:rPr>
          <w:color w:val="000000" w:themeColor="text1"/>
          <w:sz w:val="24"/>
          <w:szCs w:val="24"/>
          <w:lang w:val="en-GB"/>
          <w14:textFill>
            <w14:solidFill>
              <w14:schemeClr w14:val="tx1"/>
            </w14:solidFill>
          </w14:textFill>
        </w:rPr>
        <w:t>2003</w:t>
      </w:r>
      <w:r>
        <w:rPr>
          <w:rFonts w:hint="eastAsia"/>
          <w:color w:val="000000" w:themeColor="text1"/>
          <w:sz w:val="24"/>
          <w:szCs w:val="24"/>
          <w:lang w:val="en-GB"/>
          <w14:textFill>
            <w14:solidFill>
              <w14:schemeClr w14:val="tx1"/>
            </w14:solidFill>
          </w14:textFill>
        </w:rPr>
        <w:t>年克拉玛依市城市规划管理局委托新疆时代石油工程有限公司编制了《克拉玛依市石油化工工业园区总体规划》，</w:t>
      </w:r>
      <w:r>
        <w:rPr>
          <w:color w:val="000000" w:themeColor="text1"/>
          <w:sz w:val="24"/>
          <w:szCs w:val="24"/>
          <w:lang w:val="en-GB"/>
          <w14:textFill>
            <w14:solidFill>
              <w14:schemeClr w14:val="tx1"/>
            </w14:solidFill>
          </w14:textFill>
        </w:rPr>
        <w:t>2005</w:t>
      </w:r>
      <w:r>
        <w:rPr>
          <w:rFonts w:hint="eastAsia"/>
          <w:color w:val="000000" w:themeColor="text1"/>
          <w:sz w:val="24"/>
          <w:szCs w:val="24"/>
          <w:lang w:val="en-GB"/>
          <w14:textFill>
            <w14:solidFill>
              <w14:schemeClr w14:val="tx1"/>
            </w14:solidFill>
          </w14:textFill>
        </w:rPr>
        <w:t>年自治区组织专家进行了评审，原则上同意该总体规划，也提出部分意见和建议。2006年，园区管理委员会审时度势，决定结合自治区建设厅《关于对克拉玛依石化工业园区规划方案评审意见的函》对原规划进行修编，将克拉玛依石化公司纳入园区统一考虑，主要是对园区的用地范围、园区产业规划和主要基础设施等方面进行重新调整。调整后园区规划总用地面积为</w:t>
      </w:r>
      <w:r>
        <w:rPr>
          <w:color w:val="000000" w:themeColor="text1"/>
          <w:sz w:val="24"/>
          <w:szCs w:val="24"/>
          <w:lang w:val="en-GB"/>
          <w14:textFill>
            <w14:solidFill>
              <w14:schemeClr w14:val="tx1"/>
            </w14:solidFill>
          </w14:textFill>
        </w:rPr>
        <w:t>64.33km</w:t>
      </w:r>
      <w:r>
        <w:rPr>
          <w:color w:val="000000" w:themeColor="text1"/>
          <w:sz w:val="24"/>
          <w:szCs w:val="24"/>
          <w:vertAlign w:val="superscript"/>
          <w:lang w:val="en-GB"/>
          <w14:textFill>
            <w14:solidFill>
              <w14:schemeClr w14:val="tx1"/>
            </w14:solidFill>
          </w14:textFill>
        </w:rPr>
        <w:t>2</w:t>
      </w:r>
      <w:r>
        <w:rPr>
          <w:rFonts w:hint="eastAsia"/>
          <w:color w:val="000000" w:themeColor="text1"/>
          <w:sz w:val="24"/>
          <w:szCs w:val="24"/>
          <w:lang w:val="en-GB"/>
          <w14:textFill>
            <w14:solidFill>
              <w14:schemeClr w14:val="tx1"/>
            </w14:solidFill>
          </w14:textFill>
        </w:rPr>
        <w:t>，园区规划期限为</w:t>
      </w:r>
      <w:r>
        <w:rPr>
          <w:color w:val="000000" w:themeColor="text1"/>
          <w:sz w:val="24"/>
          <w:szCs w:val="24"/>
          <w:lang w:val="en-GB"/>
          <w14:textFill>
            <w14:solidFill>
              <w14:schemeClr w14:val="tx1"/>
            </w14:solidFill>
          </w14:textFill>
        </w:rPr>
        <w:t>2006</w:t>
      </w:r>
      <w:r>
        <w:rPr>
          <w:rFonts w:hint="eastAsia"/>
          <w:color w:val="000000" w:themeColor="text1"/>
          <w:sz w:val="24"/>
          <w:szCs w:val="24"/>
          <w:lang w:val="en-GB"/>
          <w14:textFill>
            <w14:solidFill>
              <w14:schemeClr w14:val="tx1"/>
            </w14:solidFill>
          </w14:textFill>
        </w:rPr>
        <w:t>～</w:t>
      </w:r>
      <w:r>
        <w:rPr>
          <w:color w:val="000000" w:themeColor="text1"/>
          <w:sz w:val="24"/>
          <w:szCs w:val="24"/>
          <w:lang w:val="en-GB"/>
          <w14:textFill>
            <w14:solidFill>
              <w14:schemeClr w14:val="tx1"/>
            </w14:solidFill>
          </w14:textFill>
        </w:rPr>
        <w:t>2020</w:t>
      </w:r>
      <w:r>
        <w:rPr>
          <w:rFonts w:hint="eastAsia"/>
          <w:color w:val="000000" w:themeColor="text1"/>
          <w:sz w:val="24"/>
          <w:szCs w:val="24"/>
          <w:lang w:val="en-GB"/>
          <w14:textFill>
            <w14:solidFill>
              <w14:schemeClr w14:val="tx1"/>
            </w14:solidFill>
          </w14:textFill>
        </w:rPr>
        <w:t>年，重点发展炼油、石油化工、煤化工深加工，同时发展石油工程技术（化学）服务、石油（化）物流中心等辅</w:t>
      </w:r>
      <w:r>
        <w:rPr>
          <w:rFonts w:hint="eastAsia"/>
          <w:color w:val="000000" w:themeColor="text1"/>
          <w:sz w:val="24"/>
          <w:szCs w:val="24"/>
          <w14:textFill>
            <w14:solidFill>
              <w14:schemeClr w14:val="tx1"/>
            </w14:solidFill>
          </w14:textFill>
        </w:rPr>
        <w:t>助</w:t>
      </w:r>
      <w:r>
        <w:rPr>
          <w:rFonts w:hint="eastAsia"/>
          <w:color w:val="000000" w:themeColor="text1"/>
          <w:sz w:val="24"/>
          <w:szCs w:val="24"/>
          <w:lang w:val="en-GB"/>
          <w14:textFill>
            <w14:solidFill>
              <w14:schemeClr w14:val="tx1"/>
            </w14:solidFill>
          </w14:textFill>
        </w:rPr>
        <w:t>产业；使工业园到规划期末，成为集约化、规模化、产业一体化、结构合理、基础设施完善的新型综合发展工业区，成为克拉玛依市经济发展的增长极、工业旅游示范点、绿色环保安全的化工工业园区。该规划已通过新疆维吾尔自治区人民政府办公厅审批（批复见附件）。</w:t>
      </w:r>
    </w:p>
    <w:p>
      <w:pPr>
        <w:pStyle w:val="5"/>
        <w:shd w:val="clear" w:color="auto" w:fill="auto"/>
        <w:rPr>
          <w:rFonts w:hint="eastAsia"/>
          <w:color w:val="000000" w:themeColor="text1"/>
          <w:sz w:val="28"/>
          <w:szCs w:val="28"/>
          <w:lang w:val="zh-CN"/>
          <w14:textFill>
            <w14:solidFill>
              <w14:schemeClr w14:val="tx1"/>
            </w14:solidFill>
          </w14:textFill>
        </w:rPr>
      </w:pPr>
      <w:bookmarkStart w:id="160" w:name="_Toc28865"/>
      <w:bookmarkStart w:id="161" w:name="_Toc25552"/>
      <w:bookmarkStart w:id="162" w:name="_Toc4175"/>
      <w:r>
        <w:rPr>
          <w:rFonts w:hint="eastAsia"/>
          <w:color w:val="000000" w:themeColor="text1"/>
          <w:sz w:val="28"/>
          <w:szCs w:val="28"/>
          <w:lang w:val="zh-CN"/>
          <w14:textFill>
            <w14:solidFill>
              <w14:schemeClr w14:val="tx1"/>
            </w14:solidFill>
          </w14:textFill>
        </w:rPr>
        <w:t>3.3.2 园区规划环评情况</w:t>
      </w:r>
      <w:bookmarkEnd w:id="160"/>
      <w:bookmarkEnd w:id="161"/>
      <w:bookmarkEnd w:id="162"/>
    </w:p>
    <w:p>
      <w:pPr>
        <w:overflowPunct w:val="0"/>
        <w:spacing w:line="360" w:lineRule="auto"/>
        <w:ind w:firstLine="480" w:firstLineChars="200"/>
        <w:rPr>
          <w:color w:val="000000" w:themeColor="text1"/>
          <w:sz w:val="24"/>
          <w:szCs w:val="24"/>
          <w:lang w:val="en-GB"/>
          <w14:textFill>
            <w14:solidFill>
              <w14:schemeClr w14:val="tx1"/>
            </w14:solidFill>
          </w14:textFill>
        </w:rPr>
      </w:pPr>
      <w:r>
        <w:rPr>
          <w:rFonts w:hint="eastAsia"/>
          <w:color w:val="000000" w:themeColor="text1"/>
          <w:sz w:val="24"/>
          <w:szCs w:val="24"/>
          <w14:textFill>
            <w14:solidFill>
              <w14:schemeClr w14:val="tx1"/>
            </w14:solidFill>
          </w14:textFill>
        </w:rPr>
        <w:t>2003年</w:t>
      </w:r>
      <w:r>
        <w:rPr>
          <w:color w:val="000000" w:themeColor="text1"/>
          <w:sz w:val="24"/>
          <w:szCs w:val="24"/>
          <w:lang w:val="en-GB"/>
          <w14:textFill>
            <w14:solidFill>
              <w14:schemeClr w14:val="tx1"/>
            </w14:solidFill>
          </w14:textFill>
        </w:rPr>
        <w:t>由克拉玛依石油化工园区管委会委托国家环保总局环境发展中心承担《克拉玛依石油化学工园区总体规划（2004-2020）》的环境影响评价任务</w:t>
      </w:r>
      <w:r>
        <w:rPr>
          <w:rFonts w:hint="eastAsia"/>
          <w:color w:val="000000" w:themeColor="text1"/>
          <w:sz w:val="24"/>
          <w:szCs w:val="24"/>
          <w:lang w:val="en-GB"/>
          <w14:textFill>
            <w14:solidFill>
              <w14:schemeClr w14:val="tx1"/>
            </w14:solidFill>
          </w14:textFill>
        </w:rPr>
        <w:t>，</w:t>
      </w:r>
      <w:r>
        <w:rPr>
          <w:color w:val="000000" w:themeColor="text1"/>
          <w:sz w:val="24"/>
          <w:szCs w:val="24"/>
          <w:lang w:val="en-GB"/>
          <w14:textFill>
            <w14:solidFill>
              <w14:schemeClr w14:val="tx1"/>
            </w14:solidFill>
          </w14:textFill>
        </w:rPr>
        <w:t>2005年</w:t>
      </w:r>
      <w:r>
        <w:rPr>
          <w:rFonts w:hint="eastAsia"/>
          <w:color w:val="000000" w:themeColor="text1"/>
          <w:sz w:val="24"/>
          <w:szCs w:val="24"/>
          <w:lang w:val="en-GB"/>
          <w14:textFill>
            <w14:solidFill>
              <w14:schemeClr w14:val="tx1"/>
            </w14:solidFill>
          </w14:textFill>
        </w:rPr>
        <w:t>该环评报告书</w:t>
      </w:r>
      <w:r>
        <w:rPr>
          <w:color w:val="000000" w:themeColor="text1"/>
          <w:sz w:val="24"/>
          <w:szCs w:val="24"/>
          <w:lang w:val="en-GB"/>
          <w14:textFill>
            <w14:solidFill>
              <w14:schemeClr w14:val="tx1"/>
            </w14:solidFill>
          </w14:textFill>
        </w:rPr>
        <w:t>通过了新疆维吾尔自治区环保局的审查</w:t>
      </w:r>
      <w:r>
        <w:rPr>
          <w:rFonts w:hint="eastAsia"/>
          <w:color w:val="000000" w:themeColor="text1"/>
          <w:sz w:val="24"/>
          <w:szCs w:val="24"/>
          <w:lang w:val="en-GB"/>
          <w14:textFill>
            <w14:solidFill>
              <w14:schemeClr w14:val="tx1"/>
            </w14:solidFill>
          </w14:textFill>
        </w:rPr>
        <w:t>（见附件）</w:t>
      </w:r>
      <w:r>
        <w:rPr>
          <w:color w:val="000000" w:themeColor="text1"/>
          <w:sz w:val="24"/>
          <w:szCs w:val="24"/>
          <w:lang w:val="en-GB"/>
          <w14:textFill>
            <w14:solidFill>
              <w14:schemeClr w14:val="tx1"/>
            </w14:solidFill>
          </w14:textFill>
        </w:rPr>
        <w:t>。</w:t>
      </w:r>
    </w:p>
    <w:p>
      <w:pPr>
        <w:pStyle w:val="5"/>
        <w:rPr>
          <w:rFonts w:hint="eastAsia"/>
          <w:color w:val="000000" w:themeColor="text1"/>
          <w:sz w:val="28"/>
          <w:szCs w:val="28"/>
          <w:lang w:val="zh-CN"/>
          <w14:textFill>
            <w14:solidFill>
              <w14:schemeClr w14:val="tx1"/>
            </w14:solidFill>
          </w14:textFill>
        </w:rPr>
      </w:pPr>
      <w:bookmarkStart w:id="163" w:name="_Toc11240"/>
      <w:bookmarkStart w:id="164" w:name="_Toc18593"/>
      <w:bookmarkStart w:id="165" w:name="_Toc15725"/>
      <w:r>
        <w:rPr>
          <w:rFonts w:hint="eastAsia"/>
          <w:color w:val="000000" w:themeColor="text1"/>
          <w:sz w:val="28"/>
          <w:szCs w:val="28"/>
          <w:lang w:val="zh-CN"/>
          <w14:textFill>
            <w14:solidFill>
              <w14:schemeClr w14:val="tx1"/>
            </w14:solidFill>
          </w14:textFill>
        </w:rPr>
        <w:t>3</w:t>
      </w:r>
      <w:r>
        <w:rPr>
          <w:color w:val="000000" w:themeColor="text1"/>
          <w:sz w:val="28"/>
          <w:szCs w:val="28"/>
          <w:lang w:val="zh-CN"/>
          <w14:textFill>
            <w14:solidFill>
              <w14:schemeClr w14:val="tx1"/>
            </w14:solidFill>
          </w14:textFill>
        </w:rPr>
        <w:t>.</w:t>
      </w:r>
      <w:r>
        <w:rPr>
          <w:rFonts w:hint="eastAsia"/>
          <w:color w:val="000000" w:themeColor="text1"/>
          <w:sz w:val="28"/>
          <w:szCs w:val="28"/>
          <w:lang w:val="zh-CN"/>
          <w14:textFill>
            <w14:solidFill>
              <w14:schemeClr w14:val="tx1"/>
            </w14:solidFill>
          </w14:textFill>
        </w:rPr>
        <w:t>3</w:t>
      </w:r>
      <w:r>
        <w:rPr>
          <w:color w:val="000000" w:themeColor="text1"/>
          <w:sz w:val="28"/>
          <w:szCs w:val="28"/>
          <w:lang w:val="zh-CN"/>
          <w14:textFill>
            <w14:solidFill>
              <w14:schemeClr w14:val="tx1"/>
            </w14:solidFill>
          </w14:textFill>
        </w:rPr>
        <w:t>.</w:t>
      </w:r>
      <w:r>
        <w:rPr>
          <w:rFonts w:hint="eastAsia"/>
          <w:color w:val="000000" w:themeColor="text1"/>
          <w:sz w:val="28"/>
          <w:szCs w:val="28"/>
          <w14:textFill>
            <w14:solidFill>
              <w14:schemeClr w14:val="tx1"/>
            </w14:solidFill>
          </w14:textFill>
        </w:rPr>
        <w:t>3</w:t>
      </w:r>
      <w:r>
        <w:rPr>
          <w:color w:val="000000" w:themeColor="text1"/>
          <w:sz w:val="28"/>
          <w:szCs w:val="28"/>
          <w:lang w:val="zh-CN"/>
          <w14:textFill>
            <w14:solidFill>
              <w14:schemeClr w14:val="tx1"/>
            </w14:solidFill>
          </w14:textFill>
        </w:rPr>
        <w:t xml:space="preserve"> </w:t>
      </w:r>
      <w:r>
        <w:rPr>
          <w:rFonts w:hint="eastAsia"/>
          <w:color w:val="000000" w:themeColor="text1"/>
          <w:sz w:val="28"/>
          <w:szCs w:val="28"/>
          <w:lang w:val="zh-CN"/>
          <w14:textFill>
            <w14:solidFill>
              <w14:schemeClr w14:val="tx1"/>
            </w14:solidFill>
          </w14:textFill>
        </w:rPr>
        <w:t>公用工程现状</w:t>
      </w:r>
      <w:bookmarkEnd w:id="163"/>
      <w:r>
        <w:rPr>
          <w:rFonts w:hint="eastAsia"/>
          <w:color w:val="000000" w:themeColor="text1"/>
          <w:sz w:val="28"/>
          <w:szCs w:val="28"/>
          <w:lang w:val="zh-CN"/>
          <w14:textFill>
            <w14:solidFill>
              <w14:schemeClr w14:val="tx1"/>
            </w14:solidFill>
          </w14:textFill>
        </w:rPr>
        <w:t>及可依托性</w:t>
      </w:r>
      <w:bookmarkEnd w:id="164"/>
      <w:bookmarkEnd w:id="165"/>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3.3.3.1</w:t>
      </w:r>
      <w:r>
        <w:rPr>
          <w:rFonts w:hint="default" w:ascii="Times New Roman" w:hAnsi="Times New Roman" w:eastAsia="宋体" w:cs="Times New Roman"/>
          <w:b/>
          <w:bCs w:val="0"/>
          <w:color w:val="000000" w:themeColor="text1"/>
          <w:sz w:val="24"/>
          <w:szCs w:val="24"/>
          <w:lang w:val="zh-CN"/>
          <w14:textFill>
            <w14:solidFill>
              <w14:schemeClr w14:val="tx1"/>
            </w14:solidFill>
          </w14:textFill>
        </w:rPr>
        <w:t>公用工程现状</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（1）供、排水现状</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 供水现状</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目前，克拉玛依地区供水设施的总供水能力为29.5×10</w:t>
      </w:r>
      <w:r>
        <w:rPr>
          <w:color w:val="000000" w:themeColor="text1"/>
          <w:sz w:val="24"/>
          <w:szCs w:val="24"/>
          <w:vertAlign w:val="superscript"/>
          <w14:textFill>
            <w14:solidFill>
              <w14:schemeClr w14:val="tx1"/>
            </w14:solidFill>
          </w14:textFill>
        </w:rPr>
        <w:t>4</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/d。其中三个地下水源</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百口泉地下水源</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黄羊泉地下水源和乌苏境内的包古图地下水源（已停用）</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主要供给红浅、九、六区和百口泉区用水，可以满足其规划供水要求。</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五</w:t>
      </w:r>
      <w:r>
        <w:rPr>
          <w:color w:val="000000" w:themeColor="text1"/>
          <w:sz w:val="24"/>
          <w:szCs w:val="24"/>
          <w14:textFill>
            <w14:solidFill>
              <w14:schemeClr w14:val="tx1"/>
            </w14:solidFill>
          </w14:textFill>
        </w:rPr>
        <w:t>个净化水厂共计产水</w:t>
      </w:r>
      <w:r>
        <w:rPr>
          <w:rFonts w:hint="eastAsia"/>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3×10</w:t>
      </w:r>
      <w:r>
        <w:rPr>
          <w:color w:val="000000" w:themeColor="text1"/>
          <w:sz w:val="24"/>
          <w:szCs w:val="24"/>
          <w:vertAlign w:val="superscript"/>
          <w14:textFill>
            <w14:solidFill>
              <w14:schemeClr w14:val="tx1"/>
            </w14:solidFill>
          </w14:textFill>
        </w:rPr>
        <w:t>4</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/d，供给中心城区、工业园区、金龙镇地区、白碱滩地区用水。与201</w:t>
      </w:r>
      <w:r>
        <w:rPr>
          <w:rFonts w:hint="eastAsia"/>
          <w:color w:val="000000" w:themeColor="text1"/>
          <w:sz w:val="24"/>
          <w:szCs w:val="24"/>
          <w14:textFill>
            <w14:solidFill>
              <w14:schemeClr w14:val="tx1"/>
            </w14:solidFill>
          </w14:textFill>
        </w:rPr>
        <w:t>0</w:t>
      </w:r>
      <w:r>
        <w:rPr>
          <w:color w:val="000000" w:themeColor="text1"/>
          <w:sz w:val="24"/>
          <w:szCs w:val="24"/>
          <w14:textFill>
            <w14:solidFill>
              <w14:schemeClr w14:val="tx1"/>
            </w14:solidFill>
          </w14:textFill>
        </w:rPr>
        <w:t>年最高日用水量平衡后共</w:t>
      </w:r>
      <w:r>
        <w:rPr>
          <w:rFonts w:hint="eastAsia"/>
          <w:color w:val="000000" w:themeColor="text1"/>
          <w:sz w:val="24"/>
          <w:szCs w:val="24"/>
          <w14:textFill>
            <w14:solidFill>
              <w14:schemeClr w14:val="tx1"/>
            </w14:solidFill>
          </w14:textFill>
        </w:rPr>
        <w:t>余</w:t>
      </w:r>
      <w:r>
        <w:rPr>
          <w:color w:val="000000" w:themeColor="text1"/>
          <w:sz w:val="24"/>
          <w:szCs w:val="24"/>
          <w14:textFill>
            <w14:solidFill>
              <w14:schemeClr w14:val="tx1"/>
            </w14:solidFill>
          </w14:textFill>
        </w:rPr>
        <w:t>水</w:t>
      </w:r>
      <w:r>
        <w:rPr>
          <w:rFonts w:hint="eastAsia"/>
          <w:color w:val="000000" w:themeColor="text1"/>
          <w:sz w:val="24"/>
          <w:szCs w:val="24"/>
          <w14:textFill>
            <w14:solidFill>
              <w14:schemeClr w14:val="tx1"/>
            </w14:solidFill>
          </w14:textFill>
        </w:rPr>
        <w:t>6.4</w:t>
      </w:r>
      <w:r>
        <w:rPr>
          <w:color w:val="000000" w:themeColor="text1"/>
          <w:sz w:val="24"/>
          <w:szCs w:val="24"/>
          <w14:textFill>
            <w14:solidFill>
              <w14:schemeClr w14:val="tx1"/>
            </w14:solidFill>
          </w14:textFill>
        </w:rPr>
        <w:t>×10</w:t>
      </w:r>
      <w:r>
        <w:rPr>
          <w:color w:val="000000" w:themeColor="text1"/>
          <w:sz w:val="24"/>
          <w:szCs w:val="24"/>
          <w:vertAlign w:val="superscript"/>
          <w14:textFill>
            <w14:solidFill>
              <w14:schemeClr w14:val="tx1"/>
            </w14:solidFill>
          </w14:textFill>
        </w:rPr>
        <w:t>4</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/d。可以满足其规划供水要求</w:t>
      </w:r>
      <w:r>
        <w:rPr>
          <w:rFonts w:hint="eastAsia"/>
          <w:color w:val="000000" w:themeColor="text1"/>
          <w:sz w:val="24"/>
          <w:szCs w:val="24"/>
          <w14:textFill>
            <w14:solidFill>
              <w14:schemeClr w14:val="tx1"/>
            </w14:solidFill>
          </w14:textFill>
        </w:rPr>
        <w:t>。</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园区已建供水主要管线有3条：</w:t>
      </w:r>
      <w:r>
        <w:rPr>
          <w:rFonts w:hint="eastAsia"/>
          <w:color w:val="000000" w:themeColor="text1"/>
          <w:sz w:val="24"/>
          <w:szCs w:val="24"/>
          <w14:textFill>
            <w14:solidFill>
              <w14:schemeClr w14:val="tx1"/>
            </w14:solidFill>
          </w14:textFill>
        </w:rPr>
        <w:t>沿217国道南侧来自白碱滩输水首站管线2条（1条</w:t>
      </w:r>
      <w:r>
        <w:rPr>
          <w:color w:val="000000" w:themeColor="text1"/>
          <w:sz w:val="24"/>
          <w:szCs w:val="24"/>
          <w14:textFill>
            <w14:solidFill>
              <w14:schemeClr w14:val="tx1"/>
            </w14:solidFill>
          </w14:textFill>
        </w:rPr>
        <w:t>DN500</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供水给克石化公司、试油公司等单位</w:t>
      </w:r>
      <w:r>
        <w:rPr>
          <w:rFonts w:hint="eastAsia"/>
          <w:color w:val="000000" w:themeColor="text1"/>
          <w:sz w:val="24"/>
          <w:szCs w:val="24"/>
          <w14:textFill>
            <w14:solidFill>
              <w14:schemeClr w14:val="tx1"/>
            </w14:solidFill>
          </w14:textFill>
        </w:rPr>
        <w:t>；另1条</w:t>
      </w:r>
      <w:r>
        <w:rPr>
          <w:color w:val="000000" w:themeColor="text1"/>
          <w:sz w:val="24"/>
          <w:szCs w:val="24"/>
          <w14:textFill>
            <w14:solidFill>
              <w14:schemeClr w14:val="tx1"/>
            </w14:solidFill>
          </w14:textFill>
        </w:rPr>
        <w:t>DN600</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供水给克石化公司及园区输送生产、生活用水</w:t>
      </w:r>
      <w:r>
        <w:rPr>
          <w:rFonts w:hint="eastAsia"/>
          <w:color w:val="000000" w:themeColor="text1"/>
          <w:sz w:val="24"/>
          <w:szCs w:val="24"/>
          <w14:textFill>
            <w14:solidFill>
              <w14:schemeClr w14:val="tx1"/>
            </w14:solidFill>
          </w14:textFill>
        </w:rPr>
        <w:t>），从末段泵站设管线1条</w:t>
      </w:r>
      <w:r>
        <w:rPr>
          <w:color w:val="000000" w:themeColor="text1"/>
          <w:sz w:val="24"/>
          <w:szCs w:val="24"/>
          <w14:textFill>
            <w14:solidFill>
              <w14:schemeClr w14:val="tx1"/>
            </w14:solidFill>
          </w14:textFill>
        </w:rPr>
        <w:t>DN600</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供水给热电厂专用水管线</w:t>
      </w:r>
      <w:r>
        <w:rPr>
          <w:rFonts w:hint="eastAsia"/>
          <w:color w:val="000000" w:themeColor="text1"/>
          <w:sz w:val="24"/>
          <w:szCs w:val="24"/>
          <w14:textFill>
            <w14:solidFill>
              <w14:schemeClr w14:val="tx1"/>
            </w14:solidFill>
          </w14:textFill>
        </w:rPr>
        <w:t>。该3条供水管线均为城市生活用水管线。其中，输水首站</w:t>
      </w:r>
      <w:r>
        <w:rPr>
          <w:color w:val="000000" w:themeColor="text1"/>
          <w:sz w:val="24"/>
          <w:szCs w:val="24"/>
          <w14:textFill>
            <w14:solidFill>
              <w14:schemeClr w14:val="tx1"/>
            </w14:solidFill>
          </w14:textFill>
        </w:rPr>
        <w:t>DN500</w:t>
      </w:r>
      <w:r>
        <w:rPr>
          <w:rFonts w:hint="eastAsia"/>
          <w:color w:val="000000" w:themeColor="text1"/>
          <w:sz w:val="24"/>
          <w:szCs w:val="24"/>
          <w14:textFill>
            <w14:solidFill>
              <w14:schemeClr w14:val="tx1"/>
            </w14:solidFill>
          </w14:textFill>
        </w:rPr>
        <w:t>管线最大输水量为2.0×10</w:t>
      </w:r>
      <w:r>
        <w:rPr>
          <w:rFonts w:hint="eastAsia"/>
          <w:color w:val="000000" w:themeColor="text1"/>
          <w:sz w:val="24"/>
          <w:szCs w:val="24"/>
          <w:vertAlign w:val="superscript"/>
          <w14:textFill>
            <w14:solidFill>
              <w14:schemeClr w14:val="tx1"/>
            </w14:solidFill>
          </w14:textFill>
        </w:rPr>
        <w:t>4</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w:t>
      </w:r>
      <w:r>
        <w:rPr>
          <w:color w:val="000000" w:themeColor="text1"/>
          <w:sz w:val="24"/>
          <w:szCs w:val="24"/>
          <w14:textFill>
            <w14:solidFill>
              <w14:schemeClr w14:val="tx1"/>
            </w14:solidFill>
          </w14:textFill>
        </w:rPr>
        <w:t>DN600</w:t>
      </w:r>
      <w:r>
        <w:rPr>
          <w:rFonts w:hint="eastAsia"/>
          <w:color w:val="000000" w:themeColor="text1"/>
          <w:sz w:val="24"/>
          <w:szCs w:val="24"/>
          <w14:textFill>
            <w14:solidFill>
              <w14:schemeClr w14:val="tx1"/>
            </w14:solidFill>
          </w14:textFill>
        </w:rPr>
        <w:t>管线最大输水量2.5×10</w:t>
      </w:r>
      <w:r>
        <w:rPr>
          <w:rFonts w:hint="eastAsia"/>
          <w:color w:val="000000" w:themeColor="text1"/>
          <w:sz w:val="24"/>
          <w:szCs w:val="24"/>
          <w:vertAlign w:val="superscript"/>
          <w14:textFill>
            <w14:solidFill>
              <w14:schemeClr w14:val="tx1"/>
            </w14:solidFill>
          </w14:textFill>
        </w:rPr>
        <w:t>4</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/d；末段泵站</w:t>
      </w:r>
      <w:r>
        <w:rPr>
          <w:color w:val="000000" w:themeColor="text1"/>
          <w:sz w:val="24"/>
          <w:szCs w:val="24"/>
          <w14:textFill>
            <w14:solidFill>
              <w14:schemeClr w14:val="tx1"/>
            </w14:solidFill>
          </w14:textFill>
        </w:rPr>
        <w:t>DN600</w:t>
      </w:r>
      <w:r>
        <w:rPr>
          <w:rFonts w:hint="eastAsia"/>
          <w:color w:val="000000" w:themeColor="text1"/>
          <w:sz w:val="24"/>
          <w:szCs w:val="24"/>
          <w14:textFill>
            <w14:solidFill>
              <w14:schemeClr w14:val="tx1"/>
            </w14:solidFill>
          </w14:textFill>
        </w:rPr>
        <w:t>管线最大输水量3.0×10</w:t>
      </w:r>
      <w:r>
        <w:rPr>
          <w:rFonts w:hint="eastAsia"/>
          <w:color w:val="000000" w:themeColor="text1"/>
          <w:sz w:val="24"/>
          <w:szCs w:val="24"/>
          <w:vertAlign w:val="superscript"/>
          <w14:textFill>
            <w14:solidFill>
              <w14:schemeClr w14:val="tx1"/>
            </w14:solidFill>
          </w14:textFill>
        </w:rPr>
        <w:t>4</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输水首站2条管线最大输水量仅能满足克石化公司远期用水，导致供水量受该2条供水管线制约，同时DN500管线年代较久，存在腐蚀现象，供水安全性存在问题；按城市供水原则，末段泵站先确保克拉玛依市区的城市生活用水，随市区生活用水不断增加，该站将无法向热电厂提供充足的生产用水。</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由于存在前述问题，园区进行供水管线建设，建设内容：西五街建1条DN600供水管线、北六路建1条DN300供水管线、中央大道两侧各建DN300和DN200供水管线、西三街建DN600供水管线、站前街建DN200供水管线、东三街建DN400供水管线。各条道路供水管线均按120m的间距设置市政消火栓，各条管线均与输水首站的2条管线连通。</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园区已建及在建供水管线已经基本连成3个大的环状管网，可满足目前西五街、西三街一带企业的生产用水及消防用水要求。</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 排水现状</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园区已建排水管线有40条，主要分压力流管线和重力流管线</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排水管线</w:t>
      </w:r>
      <w:r>
        <w:rPr>
          <w:rFonts w:hint="eastAsia"/>
          <w:color w:val="000000" w:themeColor="text1"/>
          <w:sz w:val="24"/>
          <w:szCs w:val="24"/>
          <w14:textFill>
            <w14:solidFill>
              <w14:schemeClr w14:val="tx1"/>
            </w14:solidFill>
          </w14:textFill>
        </w:rPr>
        <w:t>总计</w:t>
      </w:r>
      <w:r>
        <w:rPr>
          <w:color w:val="000000" w:themeColor="text1"/>
          <w:sz w:val="24"/>
          <w:szCs w:val="24"/>
          <w14:textFill>
            <w14:solidFill>
              <w14:schemeClr w14:val="tx1"/>
            </w14:solidFill>
          </w14:textFill>
        </w:rPr>
        <w:t>约24km</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园区绿化管线有8条，现有绿化管线约31km，绿化面积约3km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。园区现有消防站2座（克拉玛依石化公司消防站和园区消防站），消防给水采用低压消防给水系统，与生产、生活用水管网共用。</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——排水管线现状</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排水管线分压力流管线和重力流管线。其中：</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压力流管线共4条，分别为白~克污水输水管线、石化公司污水外排管线、石化园区泵站外排管线和石化园区污水场外排管线。其中：</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白~克污水输水管线：沿北四路南敷设有白碱滩、三坪镇—克拉玛依污水处理厂DN700污水管线[玻璃钢夹砂管]，最大输水能力5—6.7×10</w:t>
      </w:r>
      <w:r>
        <w:rPr>
          <w:rFonts w:hint="eastAsia"/>
          <w:color w:val="000000" w:themeColor="text1"/>
          <w:sz w:val="24"/>
          <w:szCs w:val="24"/>
          <w:vertAlign w:val="superscript"/>
          <w14:textFill>
            <w14:solidFill>
              <w14:schemeClr w14:val="tx1"/>
            </w14:solidFill>
          </w14:textFill>
        </w:rPr>
        <w:t>4</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/d，目前输水量2.5×10</w:t>
      </w:r>
      <w:r>
        <w:rPr>
          <w:rFonts w:hint="eastAsia"/>
          <w:color w:val="000000" w:themeColor="text1"/>
          <w:sz w:val="24"/>
          <w:szCs w:val="24"/>
          <w:vertAlign w:val="superscript"/>
          <w14:textFill>
            <w14:solidFill>
              <w14:schemeClr w14:val="tx1"/>
            </w14:solidFill>
          </w14:textFill>
        </w:rPr>
        <w:t>4</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石化公司污水外排管线：沿西五街东建有石化公司污水场—污水库DN500外排管线，输水能力2.4×10</w:t>
      </w:r>
      <w:r>
        <w:rPr>
          <w:rFonts w:hint="eastAsia"/>
          <w:color w:val="000000" w:themeColor="text1"/>
          <w:sz w:val="24"/>
          <w:szCs w:val="24"/>
          <w:vertAlign w:val="superscript"/>
          <w14:textFill>
            <w14:solidFill>
              <w14:schemeClr w14:val="tx1"/>
            </w14:solidFill>
          </w14:textFill>
        </w:rPr>
        <w:t>4</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石化园区泵站外排管线：沿西三街西建有北四路—待建石化园区污水处理厂DN800—DN900污水管线[球墨铸铁管]，输水能力10—11×10</w:t>
      </w:r>
      <w:r>
        <w:rPr>
          <w:rFonts w:hint="eastAsia"/>
          <w:color w:val="000000" w:themeColor="text1"/>
          <w:sz w:val="24"/>
          <w:szCs w:val="24"/>
          <w:vertAlign w:val="superscript"/>
          <w14:textFill>
            <w14:solidFill>
              <w14:schemeClr w14:val="tx1"/>
            </w14:solidFill>
          </w14:textFill>
        </w:rPr>
        <w:t>4</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/d。沿西七街[中央大道—规划北六路段]、沿规划北六路[西七街—待建石化园区污水处理厂]敷设有30万吨原油污水及甲醇一期污水DN200—700外排压力管线，输水能力0.4—6.7×10</w:t>
      </w:r>
      <w:r>
        <w:rPr>
          <w:rFonts w:hint="eastAsia"/>
          <w:color w:val="000000" w:themeColor="text1"/>
          <w:sz w:val="24"/>
          <w:szCs w:val="24"/>
          <w:vertAlign w:val="superscript"/>
          <w14:textFill>
            <w14:solidFill>
              <w14:schemeClr w14:val="tx1"/>
            </w14:solidFill>
          </w14:textFill>
        </w:rPr>
        <w:t>4</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石化园区污水场外排管线：石化园区污水处理厂—污水库DN900[球墨铸铁管]外排管线，输水能力10—11×10</w:t>
      </w:r>
      <w:r>
        <w:rPr>
          <w:rFonts w:hint="eastAsia"/>
          <w:color w:val="000000" w:themeColor="text1"/>
          <w:sz w:val="24"/>
          <w:szCs w:val="24"/>
          <w:vertAlign w:val="superscript"/>
          <w14:textFill>
            <w14:solidFill>
              <w14:schemeClr w14:val="tx1"/>
            </w14:solidFill>
          </w14:textFill>
        </w:rPr>
        <w:t>4</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w:t>
      </w:r>
    </w:p>
    <w:p>
      <w:pPr>
        <w:overflowPunct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重力流管线：北六路、北四路、西三街和规划北一路、北二路、北三路及西一街、西一支街、西二街、东二街、东三街、东五街上均建有</w:t>
      </w:r>
      <w:r>
        <w:rPr>
          <w:color w:val="000000" w:themeColor="text1"/>
          <w:sz w:val="24"/>
          <w:szCs w:val="24"/>
          <w14:textFill>
            <w14:solidFill>
              <w14:schemeClr w14:val="tx1"/>
            </w14:solidFill>
          </w14:textFill>
        </w:rPr>
        <w:t>DN</w:t>
      </w:r>
      <w:r>
        <w:rPr>
          <w:rFonts w:hint="eastAsia"/>
          <w:color w:val="000000" w:themeColor="text1"/>
          <w:sz w:val="24"/>
          <w:szCs w:val="24"/>
          <w14:textFill>
            <w14:solidFill>
              <w14:schemeClr w14:val="tx1"/>
            </w14:solidFill>
          </w14:textFill>
        </w:rPr>
        <w:t>300~</w:t>
      </w:r>
      <w:r>
        <w:rPr>
          <w:color w:val="000000" w:themeColor="text1"/>
          <w:sz w:val="24"/>
          <w:szCs w:val="24"/>
          <w14:textFill>
            <w14:solidFill>
              <w14:schemeClr w14:val="tx1"/>
            </w14:solidFill>
          </w14:textFill>
        </w:rPr>
        <w:t>DN</w:t>
      </w:r>
      <w:r>
        <w:rPr>
          <w:rFonts w:hint="eastAsia"/>
          <w:color w:val="000000" w:themeColor="text1"/>
          <w:sz w:val="24"/>
          <w:szCs w:val="24"/>
          <w14:textFill>
            <w14:solidFill>
              <w14:schemeClr w14:val="tx1"/>
            </w14:solidFill>
          </w14:textFill>
        </w:rPr>
        <w:t>700排水管线，分别收集站前街以西、中央大道以北区域生活及生产污水和试油公司等单位生活污水。</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——污水提升泵站现状</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污水提升泵站有3座：三坪镇污水外输总站、三坪镇污水提升泵站和试油公司污水提升泵站。其中：</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三坪镇污水外输总站：采油三厂、技工学校及试油公司的生活污水均通过各自污水提升泵站将污水输送至该污水外输总站；本站设计转输水量5400m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/d，实际转输水量约3600m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三坪镇污水提升泵站：该站近期除接纳老党校、试油处生活污水外，同时接纳新建消防站生活污水及站前街至东五街段北六路两侧规划发展企业的生活污水。本站近期设计输水量500m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/d，远期根据企业发展可增建污水池，同时增加外输泵运行时间，提高污水输水量。目前站内有200m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集水池一座，20m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化粪池一座，综合办公室一栋，半地下式污水泵房一栋，泵房内设有2台离心泵（Q=50m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/h，H=90m，N=22kW，一用一备），通过离心泵将污水增压后输送至白碱滩—克拉玛依南郊污水厂DN700输水管线。</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试油公司污水提升泵站：该站内有化粪池两座，50m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及100m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集水池各一座，污水提升泵房一栋，泵房内设有污水泵三台（Q=40—110m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/h，H=48—42.5m，两用一备），本站设计输水量1500m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/d，实际输水量约700m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/d，泵站内污水经简易沉淀后加压输至三坪镇污水外输总站。</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——污水处理厂现状</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污水处理厂有2个：克石化公司污水处理场和石化园区污水处理厂。其中：</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克石化公司污水处理场：</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本厂建成投产于1998年，采用生物处理技术，设计规模600m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/h，目前实际处理能力450m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/h。处理后净化水加压外输至污水库。</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石化园区污水处理厂：</w:t>
      </w:r>
    </w:p>
    <w:p>
      <w:pPr>
        <w:overflowPunct w:val="0"/>
        <w:spacing w:line="360" w:lineRule="auto"/>
        <w:ind w:firstLine="480" w:firstLineChars="200"/>
        <w:rPr>
          <w:rFonts w:hint="eastAsia"/>
          <w:color w:val="000000" w:themeColor="text1"/>
          <w:sz w:val="24"/>
          <w:szCs w:val="24"/>
          <w:lang w:val="en-GB"/>
          <w14:textFill>
            <w14:solidFill>
              <w14:schemeClr w14:val="tx1"/>
            </w14:solidFill>
          </w14:textFill>
        </w:rPr>
      </w:pPr>
      <w:r>
        <w:rPr>
          <w:rFonts w:hint="eastAsia"/>
          <w:color w:val="000000" w:themeColor="text1"/>
          <w:sz w:val="24"/>
          <w:szCs w:val="24"/>
          <w:lang w:val="en-GB"/>
          <w14:textFill>
            <w14:solidFill>
              <w14:schemeClr w14:val="tx1"/>
            </w14:solidFill>
          </w14:textFill>
        </w:rPr>
        <w:t>现有</w:t>
      </w:r>
      <w:r>
        <w:rPr>
          <w:color w:val="000000" w:themeColor="text1"/>
          <w:sz w:val="24"/>
          <w:szCs w:val="24"/>
          <w:lang w:val="en-GB"/>
          <w14:textFill>
            <w14:solidFill>
              <w14:schemeClr w14:val="tx1"/>
            </w14:solidFill>
          </w14:textFill>
        </w:rPr>
        <w:t>污水处理厂处理规模10×10</w:t>
      </w:r>
      <w:r>
        <w:rPr>
          <w:color w:val="000000" w:themeColor="text1"/>
          <w:sz w:val="24"/>
          <w:szCs w:val="24"/>
          <w:vertAlign w:val="superscript"/>
          <w:lang w:val="en-GB"/>
          <w14:textFill>
            <w14:solidFill>
              <w14:schemeClr w14:val="tx1"/>
            </w14:solidFill>
          </w14:textFill>
        </w:rPr>
        <w:t>4</w:t>
      </w:r>
      <w:r>
        <w:rPr>
          <w:color w:val="000000" w:themeColor="text1"/>
          <w:sz w:val="24"/>
          <w:szCs w:val="24"/>
          <w:lang w:val="en-GB"/>
          <w14:textFill>
            <w14:solidFill>
              <w14:schemeClr w14:val="tx1"/>
            </w14:solidFill>
          </w14:textFill>
        </w:rPr>
        <w:t>m</w:t>
      </w:r>
      <w:r>
        <w:rPr>
          <w:color w:val="000000" w:themeColor="text1"/>
          <w:sz w:val="24"/>
          <w:szCs w:val="24"/>
          <w:vertAlign w:val="superscript"/>
          <w:lang w:val="en-GB"/>
          <w14:textFill>
            <w14:solidFill>
              <w14:schemeClr w14:val="tx1"/>
            </w14:solidFill>
          </w14:textFill>
        </w:rPr>
        <w:t>3</w:t>
      </w:r>
      <w:r>
        <w:rPr>
          <w:color w:val="000000" w:themeColor="text1"/>
          <w:sz w:val="24"/>
          <w:szCs w:val="24"/>
          <w:lang w:val="en-GB"/>
          <w14:textFill>
            <w14:solidFill>
              <w14:schemeClr w14:val="tx1"/>
            </w14:solidFill>
          </w14:textFill>
        </w:rPr>
        <w:t>/d，</w:t>
      </w:r>
      <w:r>
        <w:rPr>
          <w:color w:val="000000" w:themeColor="text1"/>
          <w:sz w:val="24"/>
          <w:szCs w:val="24"/>
          <w14:textFill>
            <w14:solidFill>
              <w14:schemeClr w14:val="tx1"/>
            </w14:solidFill>
          </w14:textFill>
        </w:rPr>
        <w:t>占地面积10ha，</w:t>
      </w:r>
      <w:r>
        <w:rPr>
          <w:color w:val="000000" w:themeColor="text1"/>
          <w:sz w:val="24"/>
          <w:szCs w:val="24"/>
          <w:lang w:val="en-GB"/>
          <w14:textFill>
            <w14:solidFill>
              <w14:schemeClr w14:val="tx1"/>
            </w14:solidFill>
          </w14:textFill>
        </w:rPr>
        <w:t>将白碱滩、三坪镇地区的污水一并纳入该规划污水处理厂处理。</w:t>
      </w:r>
      <w:r>
        <w:rPr>
          <w:color w:val="000000" w:themeColor="text1"/>
          <w:sz w:val="24"/>
          <w:szCs w:val="24"/>
          <w14:textFill>
            <w14:solidFill>
              <w14:schemeClr w14:val="tx1"/>
            </w14:solidFill>
          </w14:textFill>
        </w:rPr>
        <w:t>远期规模为20×10</w:t>
      </w:r>
      <w:r>
        <w:rPr>
          <w:color w:val="000000" w:themeColor="text1"/>
          <w:sz w:val="24"/>
          <w:szCs w:val="24"/>
          <w:vertAlign w:val="superscript"/>
          <w14:textFill>
            <w14:solidFill>
              <w14:schemeClr w14:val="tx1"/>
            </w14:solidFill>
          </w14:textFill>
        </w:rPr>
        <w:t>4</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/d，处理厂达标后的污水</w:t>
      </w:r>
      <w:r>
        <w:rPr>
          <w:rFonts w:hint="eastAsia"/>
          <w:color w:val="000000" w:themeColor="text1"/>
          <w:sz w:val="24"/>
          <w:szCs w:val="24"/>
          <w:lang w:val="en-GB"/>
          <w14:textFill>
            <w14:solidFill>
              <w14:schemeClr w14:val="tx1"/>
            </w14:solidFill>
          </w14:textFill>
        </w:rPr>
        <w:t>夏季用于绿化浇灌，冬季排入克拉玛依石化公司污水库。</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（2）供电现状</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克拉玛依电网已形成以克拉玛依电厂为中心，西南至车排子油田，东至腹部油田，东北至夏孜街油田的带状网络，其供电范围：克拉玛依区、白碱滩区、乌尔禾区、准噶尔盆地腹部油田、农七师137团场和农八师136团场等，供电面积2000多k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。克拉玛依电网主网架电压110kV，有4个电压等级：110kV、35kV、6（10）kV、0.38kV。电网现有三个电源点：克拉玛依电厂、克石化自备热电厂、新疆主电网的克拉玛依220kV区域变电所。</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 克拉玛依电厂</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该电厂装机容量为233MW，其电力由5条110kV输电线路和7条35kV输电线路送至网内变电所。本电厂是克拉玛依电网的主力电厂，历经七期建设，共安装12套汽轮发电机组、3套燃气—蒸汽联合循环发电机组，主线接为双母线分段带旁母。本厂在2008年建成总装机容量为350.7MW。</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 克石化自备热电厂</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厂是克石化公司的自备电厂，装机容量为24MW，2台12MW抽汽式汽轮发电机组，配套4台130t/h锅炉（3开1备），向克石化公司供电、向金龙镇供热，以热定电，燃料以煤为主，天然气为辅。已形成由克石化热电厂、110kV炼Ⅰ变电所和炼Ⅱ变电所组成的较独立的电网，其电力由2条110kV（热炼一线和二线，LGJ-240）输电线路送至炼Ⅰ变电所，与克拉玛依电网并网运行。本厂为克石化公司的自备电厂，其容量无法满足克石化用电，仅能保证部分用电，克石化公司准备扩容热电厂。</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③ 克拉玛依220kV区域变电所</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克拉玛依220kV变电所主变容量为1×120MVA，最大供电能力108MW。电源主要来自玛纳斯电厂，由179.5km的玛—克线送电。该变电所通过2条110kV联络线将新疆主电网电量送入克拉玛依110kV枢纽变电所。新疆主电网通过玛（玛纳斯电厂）—克（克拉玛依220kV变电所）220kV线路与克拉玛依电网联接。</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④ 金龙镇供电现状</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该镇居民用电主要由炼Ⅰ变和W101变供电。目前有6kV开闭所1座，6kV公用配电室2座。6kV开闭所电源分别由炼Ⅰ变和W101变电所引来的2路6kV架空线路引接（其中由炼Ⅰ变引来的为备用），由开闭所以树干式配电方式向2座公用配电室配电，再由这2座公用配电室以放射式配电方式向镇区各负荷点配电。该镇区配电线路均为电缆埋地敷设方式，镇区6kV配电线路18条，总长12.49km；6/0.4kV变压器18台，均为用户资产，总容量6.75MVA。</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（3）供热现状</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 供热热源</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——金龙镇</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该镇的供热热源由克石化公司及油气储运公司两部分组成，区域现有供热面积为46.70×10</w:t>
      </w:r>
      <w:r>
        <w:rPr>
          <w:rFonts w:hint="eastAsia"/>
          <w:color w:val="000000" w:themeColor="text1"/>
          <w:sz w:val="24"/>
          <w:szCs w:val="24"/>
          <w:vertAlign w:val="superscript"/>
          <w14:textFill>
            <w14:solidFill>
              <w14:schemeClr w14:val="tx1"/>
            </w14:solidFill>
          </w14:textFill>
        </w:rPr>
        <w:t>4</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，供热负荷为46.70MW。</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——克石化公司</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该公司供热总面积35×10</w:t>
      </w:r>
      <w:r>
        <w:rPr>
          <w:rFonts w:hint="eastAsia"/>
          <w:color w:val="000000" w:themeColor="text1"/>
          <w:sz w:val="24"/>
          <w:szCs w:val="24"/>
          <w:vertAlign w:val="superscript"/>
          <w14:textFill>
            <w14:solidFill>
              <w14:schemeClr w14:val="tx1"/>
            </w14:solidFill>
          </w14:textFill>
        </w:rPr>
        <w:t>4</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供热负荷为35MW。供热形式主要为热电联产供热（热电厂汽轮机抽汽换热）。该公司有自备热电厂，其目的是向克石化公司供热和供汽，使该公司生产用电由克拉玛依电网和热电厂同时供给，形成双重电源，保证本公司设备安全平稳可靠运行。热电厂现装有130t/h中温中压煤粉炉4台，12MW抽凝式汽轮机2台。</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——油气储运公司</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本公司供热区域采用锅炉房集中供热。供热方式以直接供热为主，锅炉房提供的70-95℃热水通过供热管网输送至各热用户用于冬季供暖。</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规划园区内供热系统主要包括217国道南侧的石油管理局油建二处、党校、试油处等，区域内采用集中锅炉房供热，各自相对独立。共有3座锅炉房，现有装机容量为54.60MW（78t/h），总供热面积35.19×10</w:t>
      </w:r>
      <w:r>
        <w:rPr>
          <w:rFonts w:hint="eastAsia"/>
          <w:color w:val="000000" w:themeColor="text1"/>
          <w:sz w:val="24"/>
          <w:szCs w:val="24"/>
          <w:vertAlign w:val="superscript"/>
          <w14:textFill>
            <w14:solidFill>
              <w14:schemeClr w14:val="tx1"/>
            </w14:solidFill>
          </w14:textFill>
        </w:rPr>
        <w:t>4</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 xml:space="preserve">，隶属于局供热公司二分公司。供热方式以直接供热为主。目前，党校搬回市区，与电视大学合并，原党校地块划属为技工学校。该区域人口已迁入中心城区域内，现有供热系统已停用。油建二处相继搬迁至市区，人口已逐年减少，供热面积逐渐减小。 </w:t>
      </w:r>
    </w:p>
    <w:p>
      <w:pPr>
        <w:pStyle w:val="6"/>
        <w:keepNext/>
        <w:keepLines/>
        <w:pageBreakBefore w:val="0"/>
        <w:widowControl w:val="0"/>
        <w:shd w:val="clear" w:color="auto" w:fill="auto"/>
        <w:kinsoku/>
        <w:wordWrap/>
        <w:overflowPunct/>
        <w:topLinePunct w:val="0"/>
        <w:autoSpaceDE/>
        <w:autoSpaceDN/>
        <w:bidi w:val="0"/>
        <w:adjustRightInd/>
        <w:snapToGrid/>
        <w:spacing w:before="0" w:after="0" w:line="360" w:lineRule="auto"/>
        <w:textAlignment w:val="auto"/>
        <w:outlineLvl w:val="3"/>
        <w:rPr>
          <w:rFonts w:hint="default" w:ascii="Times New Roman" w:hAnsi="Times New Roman" w:eastAsia="宋体" w:cs="Times New Roman"/>
          <w:color w:val="000000" w:themeColor="text1"/>
          <w:sz w:val="24"/>
          <w:szCs w:val="24"/>
          <w:lang w:val="zh-CN"/>
          <w14:textFill>
            <w14:solidFill>
              <w14:schemeClr w14:val="tx1"/>
            </w14:solidFill>
          </w14:textFill>
        </w:rPr>
      </w:pPr>
      <w:r>
        <w:rPr>
          <w:rFonts w:hint="default" w:ascii="Times New Roman" w:hAnsi="Times New Roman" w:eastAsia="宋体" w:cs="Times New Roman"/>
          <w:color w:val="000000" w:themeColor="text1"/>
          <w:sz w:val="24"/>
          <w:szCs w:val="24"/>
          <w:lang w:val="zh-CN"/>
          <w14:textFill>
            <w14:solidFill>
              <w14:schemeClr w14:val="tx1"/>
            </w14:solidFill>
          </w14:textFill>
        </w:rPr>
        <w:t>3.3.3.2可依托性分析</w:t>
      </w:r>
    </w:p>
    <w:p>
      <w:pPr>
        <w:pStyle w:val="78"/>
        <w:numPr>
          <w:ilvl w:val="0"/>
          <w:numId w:val="5"/>
        </w:numPr>
        <w:overflowPunct w:val="0"/>
        <w:spacing w:line="360" w:lineRule="auto"/>
        <w:ind w:firstLine="480"/>
        <w:rPr>
          <w:rFonts w:hint="eastAsia" w:ascii="Times New Roman" w:hAnsi="Times New Roman"/>
          <w:snapToGrid w:val="0"/>
          <w:color w:val="000000" w:themeColor="text1"/>
          <w:kern w:val="18"/>
          <w:sz w:val="24"/>
          <w14:textFill>
            <w14:solidFill>
              <w14:schemeClr w14:val="tx1"/>
            </w14:solidFill>
          </w14:textFill>
        </w:rPr>
      </w:pPr>
      <w:r>
        <w:rPr>
          <w:rFonts w:hint="eastAsia" w:ascii="Times New Roman" w:hAnsi="Times New Roman"/>
          <w:snapToGrid w:val="0"/>
          <w:color w:val="000000" w:themeColor="text1"/>
          <w:kern w:val="18"/>
          <w:sz w:val="24"/>
          <w14:textFill>
            <w14:solidFill>
              <w14:schemeClr w14:val="tx1"/>
            </w14:solidFill>
          </w14:textFill>
        </w:rPr>
        <w:t>给水依托行分析</w:t>
      </w:r>
    </w:p>
    <w:p>
      <w:pPr>
        <w:pStyle w:val="78"/>
        <w:overflowPunct w:val="0"/>
        <w:spacing w:line="360" w:lineRule="auto"/>
        <w:ind w:firstLine="480"/>
        <w:rPr>
          <w:rFonts w:ascii="Times New Roman" w:hAnsi="Times New Roman"/>
          <w:snapToGrid w:val="0"/>
          <w:color w:val="000000" w:themeColor="text1"/>
          <w:kern w:val="18"/>
          <w:sz w:val="24"/>
          <w14:textFill>
            <w14:solidFill>
              <w14:schemeClr w14:val="tx1"/>
            </w14:solidFill>
          </w14:textFill>
        </w:rPr>
      </w:pPr>
      <w:r>
        <w:rPr>
          <w:rFonts w:ascii="Times New Roman" w:hAnsi="Times New Roman"/>
          <w:snapToGrid w:val="0"/>
          <w:color w:val="000000" w:themeColor="text1"/>
          <w:kern w:val="18"/>
          <w:sz w:val="24"/>
          <w14:textFill>
            <w14:solidFill>
              <w14:schemeClr w14:val="tx1"/>
            </w14:solidFill>
          </w14:textFill>
        </w:rPr>
        <w:t>本项目用水主要为生活用水和工艺系统冷凝水。</w:t>
      </w:r>
    </w:p>
    <w:p>
      <w:pPr>
        <w:pStyle w:val="78"/>
        <w:overflowPunct w:val="0"/>
        <w:spacing w:line="360" w:lineRule="auto"/>
        <w:ind w:firstLine="480"/>
        <w:rPr>
          <w:rFonts w:ascii="Times New Roman" w:hAnsi="Times New Roman"/>
          <w:snapToGrid w:val="0"/>
          <w:color w:val="000000" w:themeColor="text1"/>
          <w:kern w:val="18"/>
          <w:sz w:val="24"/>
          <w14:textFill>
            <w14:solidFill>
              <w14:schemeClr w14:val="tx1"/>
            </w14:solidFill>
          </w14:textFill>
        </w:rPr>
      </w:pPr>
      <w:r>
        <w:rPr>
          <w:rFonts w:ascii="宋体" w:hAnsi="Times New Roman"/>
          <w:snapToGrid w:val="0"/>
          <w:color w:val="000000" w:themeColor="text1"/>
          <w:kern w:val="18"/>
          <w:sz w:val="24"/>
          <w14:textFill>
            <w14:solidFill>
              <w14:schemeClr w14:val="tx1"/>
            </w14:solidFill>
          </w14:textFill>
        </w:rPr>
        <w:t>①</w:t>
      </w:r>
      <w:r>
        <w:rPr>
          <w:rFonts w:ascii="Times New Roman" w:hAnsi="Times New Roman"/>
          <w:snapToGrid w:val="0"/>
          <w:color w:val="000000" w:themeColor="text1"/>
          <w:kern w:val="18"/>
          <w:sz w:val="24"/>
          <w14:textFill>
            <w14:solidFill>
              <w14:schemeClr w14:val="tx1"/>
            </w14:solidFill>
          </w14:textFill>
        </w:rPr>
        <w:t>生活用水：项目员工为</w:t>
      </w:r>
      <w:r>
        <w:rPr>
          <w:rFonts w:hint="eastAsia" w:ascii="Times New Roman" w:hAnsi="Times New Roman" w:eastAsia="宋体"/>
          <w:snapToGrid w:val="0"/>
          <w:color w:val="000000" w:themeColor="text1"/>
          <w:kern w:val="18"/>
          <w:sz w:val="24"/>
          <w:lang w:val="en-US" w:eastAsia="zh-CN"/>
          <w14:textFill>
            <w14:solidFill>
              <w14:schemeClr w14:val="tx1"/>
            </w14:solidFill>
          </w14:textFill>
        </w:rPr>
        <w:t>300</w:t>
      </w:r>
      <w:r>
        <w:rPr>
          <w:rFonts w:ascii="Times New Roman" w:hAnsi="Times New Roman"/>
          <w:snapToGrid w:val="0"/>
          <w:color w:val="000000" w:themeColor="text1"/>
          <w:kern w:val="18"/>
          <w:sz w:val="24"/>
          <w14:textFill>
            <w14:solidFill>
              <w14:schemeClr w14:val="tx1"/>
            </w14:solidFill>
          </w14:textFill>
        </w:rPr>
        <w:t>人，每人每天用水量按30L计，则每天生活用水量约0.45m³</w:t>
      </w:r>
      <w:r>
        <w:rPr>
          <w:rFonts w:hint="eastAsia" w:ascii="Times New Roman" w:hAnsi="Times New Roman"/>
          <w:snapToGrid w:val="0"/>
          <w:color w:val="000000" w:themeColor="text1"/>
          <w:kern w:val="18"/>
          <w:sz w:val="24"/>
          <w14:textFill>
            <w14:solidFill>
              <w14:schemeClr w14:val="tx1"/>
            </w14:solidFill>
          </w14:textFill>
        </w:rPr>
        <w:t>/d。</w:t>
      </w:r>
    </w:p>
    <w:p>
      <w:pPr>
        <w:overflowPunct w:val="0"/>
        <w:spacing w:line="360" w:lineRule="auto"/>
        <w:ind w:firstLine="480" w:firstLineChars="200"/>
        <w:rPr>
          <w:snapToGrid w:val="0"/>
          <w:color w:val="000000" w:themeColor="text1"/>
          <w:kern w:val="18"/>
          <w:sz w:val="24"/>
          <w14:textFill>
            <w14:solidFill>
              <w14:schemeClr w14:val="tx1"/>
            </w14:solidFill>
          </w14:textFill>
        </w:rPr>
      </w:pPr>
      <w:r>
        <w:rPr>
          <w:rFonts w:ascii="宋体"/>
          <w:snapToGrid w:val="0"/>
          <w:color w:val="000000" w:themeColor="text1"/>
          <w:kern w:val="18"/>
          <w:sz w:val="24"/>
          <w14:textFill>
            <w14:solidFill>
              <w14:schemeClr w14:val="tx1"/>
            </w14:solidFill>
          </w14:textFill>
        </w:rPr>
        <w:t>②</w:t>
      </w:r>
      <w:r>
        <w:rPr>
          <w:snapToGrid w:val="0"/>
          <w:color w:val="000000" w:themeColor="text1"/>
          <w:kern w:val="18"/>
          <w:sz w:val="24"/>
          <w14:textFill>
            <w14:solidFill>
              <w14:schemeClr w14:val="tx1"/>
            </w14:solidFill>
          </w14:textFill>
        </w:rPr>
        <w:t>喷淋塔用水：项目拟设置2套喷淋设备。喷淋用水量为10m</w:t>
      </w:r>
      <w:r>
        <w:rPr>
          <w:snapToGrid w:val="0"/>
          <w:color w:val="000000" w:themeColor="text1"/>
          <w:kern w:val="18"/>
          <w:sz w:val="24"/>
          <w:vertAlign w:val="superscript"/>
          <w14:textFill>
            <w14:solidFill>
              <w14:schemeClr w14:val="tx1"/>
            </w14:solidFill>
          </w14:textFill>
        </w:rPr>
        <w:t>3</w:t>
      </w:r>
      <w:r>
        <w:rPr>
          <w:snapToGrid w:val="0"/>
          <w:color w:val="000000" w:themeColor="text1"/>
          <w:kern w:val="18"/>
          <w:sz w:val="24"/>
          <w14:textFill>
            <w14:solidFill>
              <w14:schemeClr w14:val="tx1"/>
            </w14:solidFill>
          </w14:textFill>
        </w:rPr>
        <w:t>/h，每天运行8小时，日用水量为80m³</w:t>
      </w:r>
      <w:r>
        <w:rPr>
          <w:rFonts w:hint="eastAsia"/>
          <w:snapToGrid w:val="0"/>
          <w:color w:val="000000" w:themeColor="text1"/>
          <w:kern w:val="18"/>
          <w:sz w:val="24"/>
          <w14:textFill>
            <w14:solidFill>
              <w14:schemeClr w14:val="tx1"/>
            </w14:solidFill>
          </w14:textFill>
        </w:rPr>
        <w:t>/d</w:t>
      </w:r>
      <w:r>
        <w:rPr>
          <w:snapToGrid w:val="0"/>
          <w:color w:val="000000" w:themeColor="text1"/>
          <w:kern w:val="18"/>
          <w:sz w:val="24"/>
          <w14:textFill>
            <w14:solidFill>
              <w14:schemeClr w14:val="tx1"/>
            </w14:solidFill>
          </w14:textFill>
        </w:rPr>
        <w:t>。</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DN600</w:t>
      </w:r>
      <w:r>
        <w:rPr>
          <w:rFonts w:hint="eastAsia"/>
          <w:color w:val="000000" w:themeColor="text1"/>
          <w:sz w:val="24"/>
          <w:szCs w:val="24"/>
          <w14:textFill>
            <w14:solidFill>
              <w14:schemeClr w14:val="tx1"/>
            </w14:solidFill>
          </w14:textFill>
        </w:rPr>
        <w:t>管线</w:t>
      </w:r>
      <w:r>
        <w:rPr>
          <w:color w:val="000000" w:themeColor="text1"/>
          <w:sz w:val="24"/>
          <w:szCs w:val="24"/>
          <w14:textFill>
            <w14:solidFill>
              <w14:schemeClr w14:val="tx1"/>
            </w14:solidFill>
          </w14:textFill>
        </w:rPr>
        <w:t>供水给克石化公司及园区输送生产、生活用水</w:t>
      </w:r>
      <w:r>
        <w:rPr>
          <w:rFonts w:hint="eastAsia"/>
          <w:color w:val="000000" w:themeColor="text1"/>
          <w:sz w:val="24"/>
          <w:szCs w:val="24"/>
          <w14:textFill>
            <w14:solidFill>
              <w14:schemeClr w14:val="tx1"/>
            </w14:solidFill>
          </w14:textFill>
        </w:rPr>
        <w:t>，最大输水量2.5×10</w:t>
      </w:r>
      <w:r>
        <w:rPr>
          <w:rFonts w:hint="eastAsia"/>
          <w:color w:val="000000" w:themeColor="text1"/>
          <w:sz w:val="24"/>
          <w:szCs w:val="24"/>
          <w:vertAlign w:val="superscript"/>
          <w14:textFill>
            <w14:solidFill>
              <w14:schemeClr w14:val="tx1"/>
            </w14:solidFill>
          </w14:textFill>
        </w:rPr>
        <w:t>4</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/d，当前剩余输水量课满足本项目给水要求。</w:t>
      </w:r>
    </w:p>
    <w:p>
      <w:pPr>
        <w:numPr>
          <w:ilvl w:val="0"/>
          <w:numId w:val="5"/>
        </w:numPr>
        <w:overflowPunct w:val="0"/>
        <w:spacing w:line="360" w:lineRule="auto"/>
        <w:ind w:firstLine="480" w:firstLineChars="200"/>
        <w:rPr>
          <w:rFonts w:hint="eastAsia"/>
          <w:color w:val="000000" w:themeColor="text1"/>
          <w:kern w:val="18"/>
          <w:sz w:val="24"/>
          <w:szCs w:val="24"/>
          <w14:textFill>
            <w14:solidFill>
              <w14:schemeClr w14:val="tx1"/>
            </w14:solidFill>
          </w14:textFill>
        </w:rPr>
      </w:pPr>
      <w:r>
        <w:rPr>
          <w:rFonts w:hint="eastAsia"/>
          <w:color w:val="000000" w:themeColor="text1"/>
          <w:kern w:val="18"/>
          <w:sz w:val="24"/>
          <w:szCs w:val="24"/>
          <w14:textFill>
            <w14:solidFill>
              <w14:schemeClr w14:val="tx1"/>
            </w14:solidFill>
          </w14:textFill>
        </w:rPr>
        <w:t>电气依托性分析</w:t>
      </w:r>
    </w:p>
    <w:p>
      <w:pPr>
        <w:overflowPunct w:val="0"/>
        <w:spacing w:line="360" w:lineRule="auto"/>
        <w:ind w:firstLine="480" w:firstLineChars="200"/>
        <w:rPr>
          <w:rFonts w:hint="eastAsia"/>
          <w:color w:val="000000" w:themeColor="text1"/>
          <w:kern w:val="18"/>
          <w:sz w:val="24"/>
          <w:szCs w:val="24"/>
          <w14:textFill>
            <w14:solidFill>
              <w14:schemeClr w14:val="tx1"/>
            </w14:solidFill>
          </w14:textFill>
        </w:rPr>
      </w:pPr>
      <w:r>
        <w:rPr>
          <w:color w:val="000000" w:themeColor="text1"/>
          <w:kern w:val="18"/>
          <w:sz w:val="24"/>
          <w:szCs w:val="24"/>
          <w14:textFill>
            <w14:solidFill>
              <w14:schemeClr w14:val="tx1"/>
            </w14:solidFill>
          </w14:textFill>
        </w:rPr>
        <w:t>污泥热解车间的负荷等级为二级负荷，设计采用380V电源供电，取自箱式变压器。本次工作内容的用电负荷均为低压AC380V/200V用电设备，污泥干馏系统用电设备工作容量约150kW，照明、检修等用电设备的工作容量约10kW</w:t>
      </w:r>
      <w:r>
        <w:rPr>
          <w:rFonts w:hint="eastAsia"/>
          <w:color w:val="000000" w:themeColor="text1"/>
          <w:kern w:val="18"/>
          <w:sz w:val="24"/>
          <w:szCs w:val="24"/>
          <w14:textFill>
            <w14:solidFill>
              <w14:schemeClr w14:val="tx1"/>
            </w14:solidFill>
          </w14:textFill>
        </w:rPr>
        <w:t>园区内用电负荷可供本项目依托。</w:t>
      </w:r>
    </w:p>
    <w:p>
      <w:pPr>
        <w:overflowPunct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（3）排水依托性分析</w:t>
      </w:r>
    </w:p>
    <w:p>
      <w:pPr>
        <w:pStyle w:val="2"/>
        <w:overflowPunct w:val="0"/>
        <w:spacing w:line="360" w:lineRule="auto"/>
        <w:ind w:firstLine="480" w:firstLineChars="200"/>
        <w:jc w:val="both"/>
        <w:rPr>
          <w:rFonts w:hint="eastAsia"/>
          <w:color w:val="000000" w:themeColor="text1"/>
          <w:sz w:val="24"/>
          <w14:textFill>
            <w14:solidFill>
              <w14:schemeClr w14:val="tx1"/>
            </w14:solidFill>
          </w14:textFill>
        </w:rPr>
      </w:pPr>
      <w:r>
        <w:rPr>
          <w:color w:val="000000" w:themeColor="text1"/>
          <w:kern w:val="18"/>
          <w:sz w:val="24"/>
          <w14:textFill>
            <w14:solidFill>
              <w14:schemeClr w14:val="tx1"/>
            </w14:solidFill>
          </w14:textFill>
        </w:rPr>
        <w:t>员工生活用水量为</w:t>
      </w:r>
      <w:r>
        <w:rPr>
          <w:rFonts w:hint="eastAsia"/>
          <w:color w:val="000000" w:themeColor="text1"/>
          <w:kern w:val="18"/>
          <w:sz w:val="24"/>
          <w14:textFill>
            <w14:solidFill>
              <w14:schemeClr w14:val="tx1"/>
            </w14:solidFill>
          </w14:textFill>
        </w:rPr>
        <w:t>0.45</w:t>
      </w:r>
      <w:r>
        <w:rPr>
          <w:color w:val="000000" w:themeColor="text1"/>
          <w:kern w:val="18"/>
          <w:sz w:val="24"/>
          <w14:textFill>
            <w14:solidFill>
              <w14:schemeClr w14:val="tx1"/>
            </w14:solidFill>
          </w14:textFill>
        </w:rPr>
        <w:t>m</w:t>
      </w:r>
      <w:r>
        <w:rPr>
          <w:color w:val="000000" w:themeColor="text1"/>
          <w:kern w:val="18"/>
          <w:sz w:val="24"/>
          <w:vertAlign w:val="superscript"/>
          <w14:textFill>
            <w14:solidFill>
              <w14:schemeClr w14:val="tx1"/>
            </w14:solidFill>
          </w14:textFill>
        </w:rPr>
        <w:t>3</w:t>
      </w:r>
      <w:r>
        <w:rPr>
          <w:color w:val="000000" w:themeColor="text1"/>
          <w:kern w:val="18"/>
          <w:sz w:val="24"/>
          <w14:textFill>
            <w14:solidFill>
              <w14:schemeClr w14:val="tx1"/>
            </w14:solidFill>
          </w14:textFill>
        </w:rPr>
        <w:t>/</w:t>
      </w:r>
      <w:r>
        <w:rPr>
          <w:rFonts w:hint="eastAsia"/>
          <w:color w:val="000000" w:themeColor="text1"/>
          <w:kern w:val="18"/>
          <w:sz w:val="24"/>
          <w14:textFill>
            <w14:solidFill>
              <w14:schemeClr w14:val="tx1"/>
            </w14:solidFill>
          </w14:textFill>
        </w:rPr>
        <w:t>d，</w:t>
      </w:r>
      <w:r>
        <w:rPr>
          <w:color w:val="000000" w:themeColor="text1"/>
          <w:kern w:val="18"/>
          <w:sz w:val="24"/>
          <w14:textFill>
            <w14:solidFill>
              <w14:schemeClr w14:val="tx1"/>
            </w14:solidFill>
          </w14:textFill>
        </w:rPr>
        <w:t>排污系数取0.8，生活污水排放量为</w:t>
      </w:r>
      <w:r>
        <w:rPr>
          <w:rFonts w:hint="eastAsia"/>
          <w:color w:val="000000" w:themeColor="text1"/>
          <w:kern w:val="18"/>
          <w:sz w:val="24"/>
          <w14:textFill>
            <w14:solidFill>
              <w14:schemeClr w14:val="tx1"/>
            </w14:solidFill>
          </w14:textFill>
        </w:rPr>
        <w:t>0.36</w:t>
      </w:r>
      <w:r>
        <w:rPr>
          <w:color w:val="000000" w:themeColor="text1"/>
          <w:kern w:val="18"/>
          <w:sz w:val="24"/>
          <w14:textFill>
            <w14:solidFill>
              <w14:schemeClr w14:val="tx1"/>
            </w14:solidFill>
          </w14:textFill>
        </w:rPr>
        <w:t>m</w:t>
      </w:r>
      <w:r>
        <w:rPr>
          <w:color w:val="000000" w:themeColor="text1"/>
          <w:kern w:val="18"/>
          <w:sz w:val="24"/>
          <w:vertAlign w:val="superscript"/>
          <w14:textFill>
            <w14:solidFill>
              <w14:schemeClr w14:val="tx1"/>
            </w14:solidFill>
          </w14:textFill>
        </w:rPr>
        <w:t>3</w:t>
      </w:r>
      <w:r>
        <w:rPr>
          <w:color w:val="000000" w:themeColor="text1"/>
          <w:kern w:val="18"/>
          <w:sz w:val="24"/>
          <w14:textFill>
            <w14:solidFill>
              <w14:schemeClr w14:val="tx1"/>
            </w14:solidFill>
          </w14:textFill>
        </w:rPr>
        <w:t>/</w:t>
      </w:r>
      <w:r>
        <w:rPr>
          <w:rFonts w:hint="eastAsia"/>
          <w:color w:val="000000" w:themeColor="text1"/>
          <w:kern w:val="18"/>
          <w:sz w:val="24"/>
          <w14:textFill>
            <w14:solidFill>
              <w14:schemeClr w14:val="tx1"/>
            </w14:solidFill>
          </w14:textFill>
        </w:rPr>
        <w:t>d</w:t>
      </w:r>
      <w:r>
        <w:rPr>
          <w:color w:val="000000" w:themeColor="text1"/>
          <w:kern w:val="18"/>
          <w:sz w:val="24"/>
          <w14:textFill>
            <w14:solidFill>
              <w14:schemeClr w14:val="tx1"/>
            </w14:solidFill>
          </w14:textFill>
        </w:rPr>
        <w:t>，</w:t>
      </w:r>
      <w:r>
        <w:rPr>
          <w:rFonts w:hint="eastAsia"/>
          <w:color w:val="000000" w:themeColor="text1"/>
          <w:kern w:val="18"/>
          <w:sz w:val="24"/>
          <w14:textFill>
            <w14:solidFill>
              <w14:schemeClr w14:val="tx1"/>
            </w14:solidFill>
          </w14:textFill>
        </w:rPr>
        <w:t>生产废水排水量为</w:t>
      </w:r>
      <w:r>
        <w:rPr>
          <w:color w:val="000000" w:themeColor="text1"/>
          <w:kern w:val="18"/>
          <w:sz w:val="24"/>
          <w14:textFill>
            <w14:solidFill>
              <w14:schemeClr w14:val="tx1"/>
            </w14:solidFill>
          </w14:textFill>
        </w:rPr>
        <w:t>37m</w:t>
      </w:r>
      <w:r>
        <w:rPr>
          <w:color w:val="000000" w:themeColor="text1"/>
          <w:kern w:val="18"/>
          <w:sz w:val="24"/>
          <w:vertAlign w:val="superscript"/>
          <w14:textFill>
            <w14:solidFill>
              <w14:schemeClr w14:val="tx1"/>
            </w14:solidFill>
          </w14:textFill>
        </w:rPr>
        <w:t>3</w:t>
      </w:r>
      <w:r>
        <w:rPr>
          <w:color w:val="000000" w:themeColor="text1"/>
          <w:kern w:val="18"/>
          <w:sz w:val="24"/>
          <w14:textFill>
            <w14:solidFill>
              <w14:schemeClr w14:val="tx1"/>
            </w14:solidFill>
          </w14:textFill>
        </w:rPr>
        <w:t>/d</w:t>
      </w:r>
      <w:r>
        <w:rPr>
          <w:rFonts w:hint="eastAsia"/>
          <w:color w:val="000000" w:themeColor="text1"/>
          <w:kern w:val="18"/>
          <w:sz w:val="24"/>
          <w14:textFill>
            <w14:solidFill>
              <w14:schemeClr w14:val="tx1"/>
            </w14:solidFill>
          </w14:textFill>
        </w:rPr>
        <w:t>，</w:t>
      </w:r>
      <w:r>
        <w:rPr>
          <w:rFonts w:hint="eastAsia"/>
          <w:color w:val="000000" w:themeColor="text1"/>
          <w:sz w:val="24"/>
          <w14:textFill>
            <w14:solidFill>
              <w14:schemeClr w14:val="tx1"/>
            </w14:solidFill>
          </w14:textFill>
        </w:rPr>
        <w:t>二者都排入</w:t>
      </w:r>
      <w:r>
        <w:rPr>
          <w:color w:val="000000" w:themeColor="text1"/>
          <w:sz w:val="24"/>
          <w14:textFill>
            <w14:solidFill>
              <w14:schemeClr w14:val="tx1"/>
            </w14:solidFill>
          </w14:textFill>
        </w:rPr>
        <w:t>管网，</w:t>
      </w:r>
      <w:r>
        <w:rPr>
          <w:rFonts w:hint="eastAsia"/>
          <w:color w:val="000000" w:themeColor="text1"/>
          <w:sz w:val="24"/>
          <w14:textFill>
            <w14:solidFill>
              <w14:schemeClr w14:val="tx1"/>
            </w14:solidFill>
          </w14:textFill>
        </w:rPr>
        <w:t>最终进入园区污水处理厂统一处理。</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石化园区污水处理厂</w:t>
      </w:r>
      <w:r>
        <w:rPr>
          <w:rFonts w:hint="eastAsia"/>
          <w:color w:val="000000" w:themeColor="text1"/>
          <w:sz w:val="24"/>
          <w:szCs w:val="24"/>
          <w:lang w:val="en-GB"/>
          <w14:textFill>
            <w14:solidFill>
              <w14:schemeClr w14:val="tx1"/>
            </w14:solidFill>
          </w14:textFill>
        </w:rPr>
        <w:t>现有</w:t>
      </w:r>
      <w:r>
        <w:rPr>
          <w:color w:val="000000" w:themeColor="text1"/>
          <w:sz w:val="24"/>
          <w:szCs w:val="24"/>
          <w:lang w:val="en-GB"/>
          <w14:textFill>
            <w14:solidFill>
              <w14:schemeClr w14:val="tx1"/>
            </w14:solidFill>
          </w14:textFill>
        </w:rPr>
        <w:t>污水处理厂处理规模10×10</w:t>
      </w:r>
      <w:r>
        <w:rPr>
          <w:color w:val="000000" w:themeColor="text1"/>
          <w:sz w:val="24"/>
          <w:szCs w:val="24"/>
          <w:vertAlign w:val="superscript"/>
          <w:lang w:val="en-GB"/>
          <w14:textFill>
            <w14:solidFill>
              <w14:schemeClr w14:val="tx1"/>
            </w14:solidFill>
          </w14:textFill>
        </w:rPr>
        <w:t>4</w:t>
      </w:r>
      <w:r>
        <w:rPr>
          <w:color w:val="000000" w:themeColor="text1"/>
          <w:sz w:val="24"/>
          <w:szCs w:val="24"/>
          <w:lang w:val="en-GB"/>
          <w14:textFill>
            <w14:solidFill>
              <w14:schemeClr w14:val="tx1"/>
            </w14:solidFill>
          </w14:textFill>
        </w:rPr>
        <w:t>m</w:t>
      </w:r>
      <w:r>
        <w:rPr>
          <w:color w:val="000000" w:themeColor="text1"/>
          <w:sz w:val="24"/>
          <w:szCs w:val="24"/>
          <w:vertAlign w:val="superscript"/>
          <w:lang w:val="en-GB"/>
          <w14:textFill>
            <w14:solidFill>
              <w14:schemeClr w14:val="tx1"/>
            </w14:solidFill>
          </w14:textFill>
        </w:rPr>
        <w:t>3</w:t>
      </w:r>
      <w:r>
        <w:rPr>
          <w:color w:val="000000" w:themeColor="text1"/>
          <w:sz w:val="24"/>
          <w:szCs w:val="24"/>
          <w:lang w:val="en-GB"/>
          <w14:textFill>
            <w14:solidFill>
              <w14:schemeClr w14:val="tx1"/>
            </w14:solidFill>
          </w14:textFill>
        </w:rPr>
        <w:t>/d，</w:t>
      </w:r>
      <w:r>
        <w:rPr>
          <w:color w:val="000000" w:themeColor="text1"/>
          <w:sz w:val="24"/>
          <w:szCs w:val="24"/>
          <w14:textFill>
            <w14:solidFill>
              <w14:schemeClr w14:val="tx1"/>
            </w14:solidFill>
          </w14:textFill>
        </w:rPr>
        <w:t>远期规模为20×10</w:t>
      </w:r>
      <w:r>
        <w:rPr>
          <w:color w:val="000000" w:themeColor="text1"/>
          <w:sz w:val="24"/>
          <w:szCs w:val="24"/>
          <w:vertAlign w:val="superscript"/>
          <w14:textFill>
            <w14:solidFill>
              <w14:schemeClr w14:val="tx1"/>
            </w14:solidFill>
          </w14:textFill>
        </w:rPr>
        <w:t>4</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w:t>
      </w:r>
      <w:r>
        <w:rPr>
          <w:rFonts w:hint="eastAsia"/>
          <w:color w:val="000000" w:themeColor="text1"/>
          <w:sz w:val="24"/>
          <w:szCs w:val="24"/>
          <w14:textFill>
            <w14:solidFill>
              <w14:schemeClr w14:val="tx1"/>
            </w14:solidFill>
          </w14:textFill>
        </w:rPr>
        <w:t>当前处理量夏季为2.8</w:t>
      </w:r>
      <w:r>
        <w:rPr>
          <w:color w:val="000000" w:themeColor="text1"/>
          <w:sz w:val="24"/>
          <w:szCs w:val="24"/>
          <w:lang w:val="en-GB"/>
          <w14:textFill>
            <w14:solidFill>
              <w14:schemeClr w14:val="tx1"/>
            </w14:solidFill>
          </w14:textFill>
        </w:rPr>
        <w:t>×10</w:t>
      </w:r>
      <w:r>
        <w:rPr>
          <w:color w:val="000000" w:themeColor="text1"/>
          <w:sz w:val="24"/>
          <w:szCs w:val="24"/>
          <w:vertAlign w:val="superscript"/>
          <w:lang w:val="en-GB"/>
          <w14:textFill>
            <w14:solidFill>
              <w14:schemeClr w14:val="tx1"/>
            </w14:solidFill>
          </w14:textFill>
        </w:rPr>
        <w:t>4</w:t>
      </w:r>
      <w:r>
        <w:rPr>
          <w:color w:val="000000" w:themeColor="text1"/>
          <w:sz w:val="24"/>
          <w:szCs w:val="24"/>
          <w:lang w:val="en-GB"/>
          <w14:textFill>
            <w14:solidFill>
              <w14:schemeClr w14:val="tx1"/>
            </w14:solidFill>
          </w14:textFill>
        </w:rPr>
        <w:t>m</w:t>
      </w:r>
      <w:r>
        <w:rPr>
          <w:color w:val="000000" w:themeColor="text1"/>
          <w:sz w:val="24"/>
          <w:szCs w:val="24"/>
          <w:vertAlign w:val="superscript"/>
          <w:lang w:val="en-GB"/>
          <w14:textFill>
            <w14:solidFill>
              <w14:schemeClr w14:val="tx1"/>
            </w14:solidFill>
          </w14:textFill>
        </w:rPr>
        <w:t>3</w:t>
      </w:r>
      <w:r>
        <w:rPr>
          <w:color w:val="000000" w:themeColor="text1"/>
          <w:sz w:val="24"/>
          <w:szCs w:val="24"/>
          <w:lang w:val="en-GB"/>
          <w14:textFill>
            <w14:solidFill>
              <w14:schemeClr w14:val="tx1"/>
            </w14:solidFill>
          </w14:textFill>
        </w:rPr>
        <w:t>/d</w:t>
      </w:r>
      <w:r>
        <w:rPr>
          <w:rFonts w:hint="eastAsia"/>
          <w:color w:val="000000" w:themeColor="text1"/>
          <w:sz w:val="24"/>
          <w:szCs w:val="24"/>
          <w:lang w:val="en-GB"/>
          <w14:textFill>
            <w14:solidFill>
              <w14:schemeClr w14:val="tx1"/>
            </w14:solidFill>
          </w14:textFill>
        </w:rPr>
        <w:t>，冬季为</w:t>
      </w:r>
      <w:r>
        <w:rPr>
          <w:rFonts w:hint="eastAsia"/>
          <w:color w:val="000000" w:themeColor="text1"/>
          <w:sz w:val="24"/>
          <w:szCs w:val="24"/>
          <w14:textFill>
            <w14:solidFill>
              <w14:schemeClr w14:val="tx1"/>
            </w14:solidFill>
          </w14:textFill>
        </w:rPr>
        <w:t>1.8</w:t>
      </w:r>
      <w:r>
        <w:rPr>
          <w:color w:val="000000" w:themeColor="text1"/>
          <w:sz w:val="24"/>
          <w:szCs w:val="24"/>
          <w:lang w:val="en-GB"/>
          <w14:textFill>
            <w14:solidFill>
              <w14:schemeClr w14:val="tx1"/>
            </w14:solidFill>
          </w14:textFill>
        </w:rPr>
        <w:t>×10</w:t>
      </w:r>
      <w:r>
        <w:rPr>
          <w:color w:val="000000" w:themeColor="text1"/>
          <w:sz w:val="24"/>
          <w:szCs w:val="24"/>
          <w:vertAlign w:val="superscript"/>
          <w:lang w:val="en-GB"/>
          <w14:textFill>
            <w14:solidFill>
              <w14:schemeClr w14:val="tx1"/>
            </w14:solidFill>
          </w14:textFill>
        </w:rPr>
        <w:t>4</w:t>
      </w:r>
      <w:r>
        <w:rPr>
          <w:color w:val="000000" w:themeColor="text1"/>
          <w:sz w:val="24"/>
          <w:szCs w:val="24"/>
          <w:lang w:val="en-GB"/>
          <w14:textFill>
            <w14:solidFill>
              <w14:schemeClr w14:val="tx1"/>
            </w14:solidFill>
          </w14:textFill>
        </w:rPr>
        <w:t>m</w:t>
      </w:r>
      <w:r>
        <w:rPr>
          <w:color w:val="000000" w:themeColor="text1"/>
          <w:sz w:val="24"/>
          <w:szCs w:val="24"/>
          <w:vertAlign w:val="superscript"/>
          <w:lang w:val="en-GB"/>
          <w14:textFill>
            <w14:solidFill>
              <w14:schemeClr w14:val="tx1"/>
            </w14:solidFill>
          </w14:textFill>
        </w:rPr>
        <w:t>3</w:t>
      </w:r>
      <w:r>
        <w:rPr>
          <w:color w:val="000000" w:themeColor="text1"/>
          <w:sz w:val="24"/>
          <w:szCs w:val="24"/>
          <w:lang w:val="en-GB"/>
          <w14:textFill>
            <w14:solidFill>
              <w14:schemeClr w14:val="tx1"/>
            </w14:solidFill>
          </w14:textFill>
        </w:rPr>
        <w:t>/d</w:t>
      </w:r>
      <w:r>
        <w:rPr>
          <w:rFonts w:hint="eastAsia"/>
          <w:color w:val="000000" w:themeColor="text1"/>
          <w:sz w:val="24"/>
          <w:szCs w:val="24"/>
          <w:lang w:val="en-GB"/>
          <w14:textFill>
            <w14:solidFill>
              <w14:schemeClr w14:val="tx1"/>
            </w14:solidFill>
          </w14:textFill>
        </w:rPr>
        <w:t>，剩余处理量可满足本项目需求。</w:t>
      </w:r>
      <w:r>
        <w:rPr>
          <w:rFonts w:hint="eastAsia"/>
          <w:snapToGrid w:val="0"/>
          <w:color w:val="000000" w:themeColor="text1"/>
          <w:kern w:val="18"/>
          <w:sz w:val="24"/>
          <w:szCs w:val="24"/>
          <w14:textFill>
            <w14:solidFill>
              <w14:schemeClr w14:val="tx1"/>
            </w14:solidFill>
          </w14:textFill>
        </w:rPr>
        <w:t>克拉玛依高新技术产业开发区</w:t>
      </w:r>
      <w:r>
        <w:rPr>
          <w:snapToGrid w:val="0"/>
          <w:color w:val="000000" w:themeColor="text1"/>
          <w:kern w:val="18"/>
          <w:sz w:val="24"/>
          <w:szCs w:val="24"/>
          <w14:textFill>
            <w14:solidFill>
              <w14:schemeClr w14:val="tx1"/>
            </w14:solidFill>
          </w14:textFill>
        </w:rPr>
        <w:t>污水厂出水水质达到《城填污水处理厂污染物排放标准》(GB18918-2002)一级A标准</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处理厂达标后的污水</w:t>
      </w:r>
      <w:r>
        <w:rPr>
          <w:rFonts w:hint="eastAsia"/>
          <w:color w:val="000000" w:themeColor="text1"/>
          <w:sz w:val="24"/>
          <w:szCs w:val="24"/>
          <w:lang w:val="en-GB"/>
          <w14:textFill>
            <w14:solidFill>
              <w14:schemeClr w14:val="tx1"/>
            </w14:solidFill>
          </w14:textFill>
        </w:rPr>
        <w:t>夏季用于绿化浇灌，冬季排入克拉玛依石化公司污水库。</w:t>
      </w:r>
    </w:p>
    <w:p>
      <w:pPr>
        <w:pStyle w:val="4"/>
        <w:rPr>
          <w:color w:val="000000" w:themeColor="text1"/>
          <w:sz w:val="32"/>
          <w:szCs w:val="32"/>
          <w14:textFill>
            <w14:solidFill>
              <w14:schemeClr w14:val="tx1"/>
            </w14:solidFill>
          </w14:textFill>
        </w:rPr>
      </w:pPr>
      <w:bookmarkStart w:id="166" w:name="_Toc21056_WPSOffice_Level2"/>
      <w:bookmarkStart w:id="167" w:name="_Toc19150"/>
      <w:bookmarkStart w:id="168" w:name="_Toc28399"/>
      <w:bookmarkStart w:id="169" w:name="_Toc11048"/>
      <w:r>
        <w:rPr>
          <w:color w:val="000000" w:themeColor="text1"/>
          <w:sz w:val="32"/>
          <w:szCs w:val="32"/>
          <w14:textFill>
            <w14:solidFill>
              <w14:schemeClr w14:val="tx1"/>
            </w14:solidFill>
          </w14:textFill>
        </w:rPr>
        <w:t>3.4 环境质量现状与评价</w:t>
      </w:r>
      <w:bookmarkEnd w:id="166"/>
      <w:bookmarkEnd w:id="167"/>
      <w:bookmarkEnd w:id="168"/>
      <w:bookmarkEnd w:id="169"/>
    </w:p>
    <w:p>
      <w:pPr>
        <w:pStyle w:val="5"/>
        <w:keepNext/>
        <w:keepLines/>
        <w:pageBreakBefore w:val="0"/>
        <w:widowControl w:val="0"/>
        <w:kinsoku/>
        <w:wordWrap/>
        <w:overflowPunct/>
        <w:topLinePunct w:val="0"/>
        <w:autoSpaceDE/>
        <w:autoSpaceDN/>
        <w:bidi w:val="0"/>
        <w:adjustRightInd/>
        <w:snapToGrid/>
        <w:textAlignment w:val="auto"/>
        <w:rPr>
          <w:color w:val="000000" w:themeColor="text1"/>
          <w:sz w:val="28"/>
          <w:szCs w:val="28"/>
          <w14:textFill>
            <w14:solidFill>
              <w14:schemeClr w14:val="tx1"/>
            </w14:solidFill>
          </w14:textFill>
        </w:rPr>
      </w:pPr>
      <w:bookmarkStart w:id="170" w:name="_Toc21706"/>
      <w:bookmarkStart w:id="171" w:name="_Toc8485"/>
      <w:bookmarkStart w:id="172" w:name="_Toc10312"/>
      <w:bookmarkStart w:id="173" w:name="_Toc17330"/>
      <w:bookmarkStart w:id="174" w:name="_Toc2169"/>
      <w:bookmarkStart w:id="175" w:name="_Toc491857673"/>
      <w:bookmarkStart w:id="176" w:name="_Toc304912346"/>
      <w:bookmarkStart w:id="177" w:name="_Toc303938861"/>
      <w:r>
        <w:rPr>
          <w:color w:val="000000" w:themeColor="text1"/>
          <w:sz w:val="28"/>
          <w:szCs w:val="28"/>
          <w14:textFill>
            <w14:solidFill>
              <w14:schemeClr w14:val="tx1"/>
            </w14:solidFill>
          </w14:textFill>
        </w:rPr>
        <w:t>3.4.1 环境空气现状调查与评价</w:t>
      </w:r>
      <w:bookmarkEnd w:id="170"/>
      <w:bookmarkEnd w:id="171"/>
      <w:bookmarkEnd w:id="172"/>
      <w:bookmarkEnd w:id="173"/>
      <w:bookmarkEnd w:id="174"/>
      <w:bookmarkEnd w:id="175"/>
      <w:bookmarkEnd w:id="176"/>
      <w:bookmarkEnd w:id="177"/>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eastAsia="宋体"/>
          <w:color w:val="000000" w:themeColor="text1"/>
          <w:sz w:val="24"/>
          <w:szCs w:val="24"/>
          <w:lang w:val="en-US" w:eastAsia="zh-CN"/>
          <w14:textFill>
            <w14:solidFill>
              <w14:schemeClr w14:val="tx1"/>
            </w14:solidFill>
          </w14:textFill>
        </w:rPr>
      </w:pPr>
      <w:r>
        <w:rPr>
          <w:color w:val="000000" w:themeColor="text1"/>
          <w:sz w:val="24"/>
          <w:szCs w:val="24"/>
          <w:lang w:val="zh-CN"/>
          <w14:textFill>
            <w14:solidFill>
              <w14:schemeClr w14:val="tx1"/>
            </w14:solidFill>
          </w14:textFill>
        </w:rPr>
        <w:t>基本污染物：收集了克拉玛依市白碱滩区环境质量监测站（站点坐标：E85°7′42.82″，N45°41′19.33″）对SO</w:t>
      </w:r>
      <w:r>
        <w:rPr>
          <w:color w:val="000000" w:themeColor="text1"/>
          <w:sz w:val="24"/>
          <w:szCs w:val="24"/>
          <w:vertAlign w:val="subscript"/>
          <w:lang w:val="zh-CN"/>
          <w14:textFill>
            <w14:solidFill>
              <w14:schemeClr w14:val="tx1"/>
            </w14:solidFill>
          </w14:textFill>
        </w:rPr>
        <w:t>2</w:t>
      </w:r>
      <w:r>
        <w:rPr>
          <w:color w:val="000000" w:themeColor="text1"/>
          <w:sz w:val="24"/>
          <w:szCs w:val="24"/>
          <w:lang w:val="zh-CN"/>
          <w14:textFill>
            <w14:solidFill>
              <w14:schemeClr w14:val="tx1"/>
            </w14:solidFill>
          </w14:textFill>
        </w:rPr>
        <w:t>、NO</w:t>
      </w:r>
      <w:r>
        <w:rPr>
          <w:color w:val="000000" w:themeColor="text1"/>
          <w:sz w:val="24"/>
          <w:szCs w:val="24"/>
          <w:vertAlign w:val="subscript"/>
          <w:lang w:val="zh-CN"/>
          <w14:textFill>
            <w14:solidFill>
              <w14:schemeClr w14:val="tx1"/>
            </w14:solidFill>
          </w14:textFill>
        </w:rPr>
        <w:t>2</w:t>
      </w:r>
      <w:r>
        <w:rPr>
          <w:color w:val="000000" w:themeColor="text1"/>
          <w:sz w:val="24"/>
          <w:szCs w:val="24"/>
          <w:lang w:val="zh-CN"/>
          <w14:textFill>
            <w14:solidFill>
              <w14:schemeClr w14:val="tx1"/>
            </w14:solidFill>
          </w14:textFill>
        </w:rPr>
        <w:t>、PM</w:t>
      </w:r>
      <w:r>
        <w:rPr>
          <w:color w:val="000000" w:themeColor="text1"/>
          <w:sz w:val="24"/>
          <w:szCs w:val="24"/>
          <w:vertAlign w:val="subscript"/>
          <w:lang w:val="zh-CN"/>
          <w14:textFill>
            <w14:solidFill>
              <w14:schemeClr w14:val="tx1"/>
            </w14:solidFill>
          </w14:textFill>
        </w:rPr>
        <w:t>10</w:t>
      </w:r>
      <w:r>
        <w:rPr>
          <w:color w:val="000000" w:themeColor="text1"/>
          <w:sz w:val="24"/>
          <w:szCs w:val="24"/>
          <w:lang w:val="zh-CN"/>
          <w14:textFill>
            <w14:solidFill>
              <w14:schemeClr w14:val="tx1"/>
            </w14:solidFill>
          </w14:textFill>
        </w:rPr>
        <w:t>、PM</w:t>
      </w:r>
      <w:r>
        <w:rPr>
          <w:color w:val="000000" w:themeColor="text1"/>
          <w:sz w:val="24"/>
          <w:szCs w:val="24"/>
          <w:vertAlign w:val="subscript"/>
          <w:lang w:val="zh-CN"/>
          <w14:textFill>
            <w14:solidFill>
              <w14:schemeClr w14:val="tx1"/>
            </w14:solidFill>
          </w14:textFill>
        </w:rPr>
        <w:t>2.5</w:t>
      </w:r>
      <w:r>
        <w:rPr>
          <w:color w:val="000000" w:themeColor="text1"/>
          <w:sz w:val="24"/>
          <w:szCs w:val="24"/>
          <w:lang w:val="zh-CN"/>
          <w14:textFill>
            <w14:solidFill>
              <w14:schemeClr w14:val="tx1"/>
            </w14:solidFill>
          </w14:textFill>
        </w:rPr>
        <w:t>、CO、O</w:t>
      </w:r>
      <w:r>
        <w:rPr>
          <w:color w:val="000000" w:themeColor="text1"/>
          <w:sz w:val="24"/>
          <w:szCs w:val="24"/>
          <w:vertAlign w:val="subscript"/>
          <w:lang w:val="zh-CN"/>
          <w14:textFill>
            <w14:solidFill>
              <w14:schemeClr w14:val="tx1"/>
            </w14:solidFill>
          </w14:textFill>
        </w:rPr>
        <w:t>3</w:t>
      </w:r>
      <w:r>
        <w:rPr>
          <w:color w:val="000000" w:themeColor="text1"/>
          <w:sz w:val="24"/>
          <w:szCs w:val="24"/>
          <w:lang w:val="zh-CN"/>
          <w14:textFill>
            <w14:solidFill>
              <w14:schemeClr w14:val="tx1"/>
            </w14:solidFill>
          </w14:textFill>
        </w:rPr>
        <w:t>六项基本污染物的2017年全年监测数据。</w:t>
      </w:r>
      <w:r>
        <w:rPr>
          <w:rFonts w:hint="eastAsia"/>
          <w:color w:val="000000" w:themeColor="text1"/>
          <w:sz w:val="24"/>
          <w:szCs w:val="24"/>
          <w:lang w:val="zh-CN"/>
          <w14:textFill>
            <w14:solidFill>
              <w14:schemeClr w14:val="tx1"/>
            </w14:solidFill>
          </w14:textFill>
        </w:rPr>
        <w:t>监测数据见表</w:t>
      </w:r>
      <w:r>
        <w:rPr>
          <w:rFonts w:hint="eastAsia" w:eastAsia="宋体"/>
          <w:color w:val="000000" w:themeColor="text1"/>
          <w:sz w:val="24"/>
          <w:szCs w:val="24"/>
          <w:lang w:val="en-US" w:eastAsia="zh-CN"/>
          <w14:textFill>
            <w14:solidFill>
              <w14:schemeClr w14:val="tx1"/>
            </w14:solidFill>
          </w14:textFill>
        </w:rPr>
        <w:t>3.4-1。</w:t>
      </w:r>
    </w:p>
    <w:p>
      <w:pPr>
        <w:pStyle w:val="44"/>
        <w:keepNext w:val="0"/>
        <w:keepLines w:val="0"/>
        <w:pageBreakBefore w:val="0"/>
        <w:widowControl w:val="0"/>
        <w:shd w:val="clear" w:color="auto" w:fill="auto"/>
        <w:tabs>
          <w:tab w:val="left" w:pos="3710"/>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表3.4-3   常规污染物大气质量及评价结果一览表</w:t>
      </w:r>
    </w:p>
    <w:tbl>
      <w:tblPr>
        <w:tblStyle w:val="21"/>
        <w:tblW w:w="8397"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1259"/>
        <w:gridCol w:w="1190"/>
        <w:gridCol w:w="1187"/>
        <w:gridCol w:w="1192"/>
        <w:gridCol w:w="1193"/>
        <w:gridCol w:w="1191"/>
        <w:gridCol w:w="118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181" w:hRule="atLeast"/>
          <w:jc w:val="center"/>
        </w:trPr>
        <w:tc>
          <w:tcPr>
            <w:tcW w:w="125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点位编号</w:t>
            </w:r>
          </w:p>
        </w:tc>
        <w:tc>
          <w:tcPr>
            <w:tcW w:w="1190"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监测因子</w:t>
            </w:r>
          </w:p>
        </w:tc>
        <w:tc>
          <w:tcPr>
            <w:tcW w:w="1187"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年评价指标</w:t>
            </w:r>
          </w:p>
        </w:tc>
        <w:tc>
          <w:tcPr>
            <w:tcW w:w="119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现状浓度</w:t>
            </w:r>
          </w:p>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（μg/m</w:t>
            </w:r>
            <w:r>
              <w:rPr>
                <w:color w:val="000000" w:themeColor="text1"/>
                <w:kern w:val="0"/>
                <w:sz w:val="21"/>
                <w:szCs w:val="21"/>
                <w:vertAlign w:val="superscript"/>
                <w14:textFill>
                  <w14:solidFill>
                    <w14:schemeClr w14:val="tx1"/>
                  </w14:solidFill>
                </w14:textFill>
              </w:rPr>
              <w:t>3</w:t>
            </w:r>
            <w:r>
              <w:rPr>
                <w:color w:val="000000" w:themeColor="text1"/>
                <w:kern w:val="0"/>
                <w:sz w:val="21"/>
                <w:szCs w:val="21"/>
                <w14:textFill>
                  <w14:solidFill>
                    <w14:schemeClr w14:val="tx1"/>
                  </w14:solidFill>
                </w14:textFill>
              </w:rPr>
              <w:t>）</w:t>
            </w:r>
          </w:p>
        </w:tc>
        <w:tc>
          <w:tcPr>
            <w:tcW w:w="1193"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标准值</w:t>
            </w:r>
          </w:p>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（μg/m</w:t>
            </w:r>
            <w:r>
              <w:rPr>
                <w:color w:val="000000" w:themeColor="text1"/>
                <w:kern w:val="0"/>
                <w:sz w:val="21"/>
                <w:szCs w:val="21"/>
                <w:vertAlign w:val="superscript"/>
                <w14:textFill>
                  <w14:solidFill>
                    <w14:schemeClr w14:val="tx1"/>
                  </w14:solidFill>
                </w14:textFill>
              </w:rPr>
              <w:t>3</w:t>
            </w:r>
            <w:r>
              <w:rPr>
                <w:color w:val="000000" w:themeColor="text1"/>
                <w:kern w:val="0"/>
                <w:sz w:val="21"/>
                <w:szCs w:val="21"/>
                <w14:textFill>
                  <w14:solidFill>
                    <w14:schemeClr w14:val="tx1"/>
                  </w14:solidFill>
                </w14:textFill>
              </w:rPr>
              <w:t>）</w:t>
            </w:r>
          </w:p>
        </w:tc>
        <w:tc>
          <w:tcPr>
            <w:tcW w:w="119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最大浓度占标率（%）</w:t>
            </w:r>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181" w:hRule="atLeast"/>
          <w:jc w:val="center"/>
        </w:trPr>
        <w:tc>
          <w:tcPr>
            <w:tcW w:w="1259" w:type="dxa"/>
            <w:vMerge w:val="restar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b/>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白碱滩区环境质量监测站</w:t>
            </w:r>
          </w:p>
        </w:tc>
        <w:tc>
          <w:tcPr>
            <w:tcW w:w="1190"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SO</w:t>
            </w:r>
            <w:r>
              <w:rPr>
                <w:color w:val="000000" w:themeColor="text1"/>
                <w:kern w:val="0"/>
                <w:sz w:val="21"/>
                <w:szCs w:val="21"/>
                <w:vertAlign w:val="subscript"/>
                <w14:textFill>
                  <w14:solidFill>
                    <w14:schemeClr w14:val="tx1"/>
                  </w14:solidFill>
                </w14:textFill>
              </w:rPr>
              <w:t>2</w:t>
            </w:r>
          </w:p>
        </w:tc>
        <w:tc>
          <w:tcPr>
            <w:tcW w:w="1187"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年平均值</w:t>
            </w:r>
          </w:p>
        </w:tc>
        <w:tc>
          <w:tcPr>
            <w:tcW w:w="119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5.6</w:t>
            </w:r>
          </w:p>
        </w:tc>
        <w:tc>
          <w:tcPr>
            <w:tcW w:w="1193"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60</w:t>
            </w:r>
          </w:p>
        </w:tc>
        <w:tc>
          <w:tcPr>
            <w:tcW w:w="119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9.3</w:t>
            </w:r>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181" w:hRule="atLeast"/>
          <w:jc w:val="center"/>
        </w:trPr>
        <w:tc>
          <w:tcPr>
            <w:tcW w:w="1259" w:type="dxa"/>
            <w:vMerge w:val="continue"/>
            <w:noWrap w:val="0"/>
            <w:tcMar>
              <w:left w:w="57" w:type="dxa"/>
              <w:right w:w="57" w:type="dxa"/>
            </w:tcMar>
            <w:vAlign w:val="center"/>
          </w:tcPr>
          <w:p>
            <w:pPr>
              <w:keepNext w:val="0"/>
              <w:keepLines w:val="0"/>
              <w:pageBreakBefore w:val="0"/>
              <w:widowControl w:val="0"/>
              <w:kinsoku/>
              <w:wordWrap/>
              <w:overflowPunct/>
              <w:topLinePunct w:val="0"/>
              <w:bidi w:val="0"/>
              <w:snapToGrid/>
              <w:jc w:val="center"/>
              <w:textAlignment w:val="auto"/>
              <w:rPr>
                <w:b/>
                <w:color w:val="000000" w:themeColor="text1"/>
                <w:sz w:val="21"/>
                <w:szCs w:val="21"/>
                <w14:textFill>
                  <w14:solidFill>
                    <w14:schemeClr w14:val="tx1"/>
                  </w14:solidFill>
                </w14:textFill>
              </w:rPr>
            </w:pPr>
          </w:p>
        </w:tc>
        <w:tc>
          <w:tcPr>
            <w:tcW w:w="1190"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NO</w:t>
            </w:r>
            <w:r>
              <w:rPr>
                <w:color w:val="000000" w:themeColor="text1"/>
                <w:kern w:val="0"/>
                <w:sz w:val="21"/>
                <w:szCs w:val="21"/>
                <w:vertAlign w:val="subscript"/>
                <w14:textFill>
                  <w14:solidFill>
                    <w14:schemeClr w14:val="tx1"/>
                  </w14:solidFill>
                </w14:textFill>
              </w:rPr>
              <w:t>2</w:t>
            </w:r>
          </w:p>
        </w:tc>
        <w:tc>
          <w:tcPr>
            <w:tcW w:w="1187"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年平均值</w:t>
            </w:r>
          </w:p>
        </w:tc>
        <w:tc>
          <w:tcPr>
            <w:tcW w:w="119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6.7</w:t>
            </w:r>
          </w:p>
        </w:tc>
        <w:tc>
          <w:tcPr>
            <w:tcW w:w="1193"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40</w:t>
            </w:r>
          </w:p>
        </w:tc>
        <w:tc>
          <w:tcPr>
            <w:tcW w:w="119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16.8</w:t>
            </w:r>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181" w:hRule="atLeast"/>
          <w:jc w:val="center"/>
        </w:trPr>
        <w:tc>
          <w:tcPr>
            <w:tcW w:w="1259" w:type="dxa"/>
            <w:vMerge w:val="continue"/>
            <w:noWrap w:val="0"/>
            <w:tcMar>
              <w:left w:w="57" w:type="dxa"/>
              <w:right w:w="57" w:type="dxa"/>
            </w:tcMar>
            <w:vAlign w:val="center"/>
          </w:tcPr>
          <w:p>
            <w:pPr>
              <w:keepNext w:val="0"/>
              <w:keepLines w:val="0"/>
              <w:pageBreakBefore w:val="0"/>
              <w:widowControl w:val="0"/>
              <w:kinsoku/>
              <w:wordWrap/>
              <w:overflowPunct/>
              <w:topLinePunct w:val="0"/>
              <w:bidi w:val="0"/>
              <w:snapToGrid/>
              <w:jc w:val="center"/>
              <w:textAlignment w:val="auto"/>
              <w:rPr>
                <w:b/>
                <w:color w:val="000000" w:themeColor="text1"/>
                <w:sz w:val="21"/>
                <w:szCs w:val="21"/>
                <w14:textFill>
                  <w14:solidFill>
                    <w14:schemeClr w14:val="tx1"/>
                  </w14:solidFill>
                </w14:textFill>
              </w:rPr>
            </w:pPr>
          </w:p>
        </w:tc>
        <w:tc>
          <w:tcPr>
            <w:tcW w:w="1190"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PM</w:t>
            </w:r>
            <w:r>
              <w:rPr>
                <w:color w:val="000000" w:themeColor="text1"/>
                <w:kern w:val="0"/>
                <w:sz w:val="21"/>
                <w:szCs w:val="21"/>
                <w:vertAlign w:val="subscript"/>
                <w14:textFill>
                  <w14:solidFill>
                    <w14:schemeClr w14:val="tx1"/>
                  </w14:solidFill>
                </w14:textFill>
              </w:rPr>
              <w:t>10</w:t>
            </w:r>
          </w:p>
        </w:tc>
        <w:tc>
          <w:tcPr>
            <w:tcW w:w="1187"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年平均值</w:t>
            </w:r>
          </w:p>
        </w:tc>
        <w:tc>
          <w:tcPr>
            <w:tcW w:w="1192"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67.7</w:t>
            </w:r>
          </w:p>
        </w:tc>
        <w:tc>
          <w:tcPr>
            <w:tcW w:w="1193"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70</w:t>
            </w:r>
          </w:p>
        </w:tc>
        <w:tc>
          <w:tcPr>
            <w:tcW w:w="119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96.7</w:t>
            </w:r>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181" w:hRule="atLeast"/>
          <w:jc w:val="center"/>
        </w:trPr>
        <w:tc>
          <w:tcPr>
            <w:tcW w:w="1259" w:type="dxa"/>
            <w:vMerge w:val="continue"/>
            <w:noWrap w:val="0"/>
            <w:tcMar>
              <w:left w:w="57" w:type="dxa"/>
              <w:right w:w="57" w:type="dxa"/>
            </w:tcMar>
            <w:vAlign w:val="center"/>
          </w:tcPr>
          <w:p>
            <w:pPr>
              <w:keepNext w:val="0"/>
              <w:keepLines w:val="0"/>
              <w:pageBreakBefore w:val="0"/>
              <w:widowControl w:val="0"/>
              <w:kinsoku/>
              <w:wordWrap/>
              <w:overflowPunct/>
              <w:topLinePunct w:val="0"/>
              <w:bidi w:val="0"/>
              <w:snapToGrid/>
              <w:jc w:val="center"/>
              <w:textAlignment w:val="auto"/>
              <w:rPr>
                <w:b/>
                <w:color w:val="000000" w:themeColor="text1"/>
                <w:sz w:val="21"/>
                <w:szCs w:val="21"/>
                <w14:textFill>
                  <w14:solidFill>
                    <w14:schemeClr w14:val="tx1"/>
                  </w14:solidFill>
                </w14:textFill>
              </w:rPr>
            </w:pPr>
          </w:p>
        </w:tc>
        <w:tc>
          <w:tcPr>
            <w:tcW w:w="1190" w:type="dxa"/>
            <w:noWrap w:val="0"/>
            <w:vAlign w:val="center"/>
          </w:tcPr>
          <w:p>
            <w:pPr>
              <w:keepNext w:val="0"/>
              <w:keepLines w:val="0"/>
              <w:pageBreakBefore w:val="0"/>
              <w:widowControl w:val="0"/>
              <w:kinsoku/>
              <w:wordWrap/>
              <w:overflowPunct/>
              <w:topLinePunct w:val="0"/>
              <w:bidi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PM</w:t>
            </w:r>
            <w:r>
              <w:rPr>
                <w:color w:val="000000" w:themeColor="text1"/>
                <w:kern w:val="0"/>
                <w:sz w:val="21"/>
                <w:szCs w:val="21"/>
                <w:vertAlign w:val="subscript"/>
                <w14:textFill>
                  <w14:solidFill>
                    <w14:schemeClr w14:val="tx1"/>
                  </w14:solidFill>
                </w14:textFill>
              </w:rPr>
              <w:t>2.5</w:t>
            </w:r>
          </w:p>
        </w:tc>
        <w:tc>
          <w:tcPr>
            <w:tcW w:w="1187" w:type="dxa"/>
            <w:noWrap w:val="0"/>
            <w:vAlign w:val="center"/>
          </w:tcPr>
          <w:p>
            <w:pPr>
              <w:keepNext w:val="0"/>
              <w:keepLines w:val="0"/>
              <w:pageBreakBefore w:val="0"/>
              <w:widowControl w:val="0"/>
              <w:kinsoku/>
              <w:wordWrap/>
              <w:overflowPunct/>
              <w:topLinePunct w:val="0"/>
              <w:bidi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年平均值</w:t>
            </w:r>
          </w:p>
        </w:tc>
        <w:tc>
          <w:tcPr>
            <w:tcW w:w="1192" w:type="dxa"/>
            <w:noWrap w:val="0"/>
            <w:vAlign w:val="center"/>
          </w:tcPr>
          <w:p>
            <w:pPr>
              <w:keepNext w:val="0"/>
              <w:keepLines w:val="0"/>
              <w:pageBreakBefore w:val="0"/>
              <w:widowControl w:val="0"/>
              <w:kinsoku/>
              <w:wordWrap/>
              <w:overflowPunct/>
              <w:topLinePunct w:val="0"/>
              <w:bidi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31.1</w:t>
            </w:r>
          </w:p>
        </w:tc>
        <w:tc>
          <w:tcPr>
            <w:tcW w:w="1193" w:type="dxa"/>
            <w:noWrap w:val="0"/>
            <w:vAlign w:val="center"/>
          </w:tcPr>
          <w:p>
            <w:pPr>
              <w:keepNext w:val="0"/>
              <w:keepLines w:val="0"/>
              <w:pageBreakBefore w:val="0"/>
              <w:widowControl w:val="0"/>
              <w:kinsoku/>
              <w:wordWrap/>
              <w:overflowPunct/>
              <w:topLinePunct w:val="0"/>
              <w:bidi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35</w:t>
            </w:r>
          </w:p>
        </w:tc>
        <w:tc>
          <w:tcPr>
            <w:tcW w:w="1191" w:type="dxa"/>
            <w:noWrap w:val="0"/>
            <w:vAlign w:val="center"/>
          </w:tcPr>
          <w:p>
            <w:pPr>
              <w:keepNext w:val="0"/>
              <w:keepLines w:val="0"/>
              <w:pageBreakBefore w:val="0"/>
              <w:widowControl w:val="0"/>
              <w:kinsoku/>
              <w:wordWrap/>
              <w:overflowPunct/>
              <w:topLinePunct w:val="0"/>
              <w:bidi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88.9</w:t>
            </w:r>
          </w:p>
        </w:tc>
        <w:tc>
          <w:tcPr>
            <w:tcW w:w="1185" w:type="dxa"/>
            <w:noWrap w:val="0"/>
            <w:vAlign w:val="center"/>
          </w:tcPr>
          <w:p>
            <w:pPr>
              <w:keepNext w:val="0"/>
              <w:keepLines w:val="0"/>
              <w:pageBreakBefore w:val="0"/>
              <w:widowControl w:val="0"/>
              <w:kinsoku/>
              <w:wordWrap/>
              <w:overflowPunct/>
              <w:topLinePunct w:val="0"/>
              <w:bidi w:val="0"/>
              <w:snapToGrid/>
              <w:jc w:val="center"/>
              <w:textAlignment w:val="auto"/>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181" w:hRule="atLeast"/>
          <w:jc w:val="center"/>
        </w:trPr>
        <w:tc>
          <w:tcPr>
            <w:tcW w:w="1259" w:type="dxa"/>
            <w:vMerge w:val="continue"/>
            <w:noWrap w:val="0"/>
            <w:tcMar>
              <w:left w:w="57" w:type="dxa"/>
              <w:right w:w="57" w:type="dxa"/>
            </w:tcMar>
            <w:vAlign w:val="center"/>
          </w:tcPr>
          <w:p>
            <w:pPr>
              <w:keepNext w:val="0"/>
              <w:keepLines w:val="0"/>
              <w:pageBreakBefore w:val="0"/>
              <w:widowControl w:val="0"/>
              <w:kinsoku/>
              <w:wordWrap/>
              <w:overflowPunct/>
              <w:topLinePunct w:val="0"/>
              <w:bidi w:val="0"/>
              <w:snapToGrid/>
              <w:jc w:val="center"/>
              <w:textAlignment w:val="auto"/>
              <w:rPr>
                <w:b/>
                <w:color w:val="000000" w:themeColor="text1"/>
                <w:sz w:val="21"/>
                <w:szCs w:val="21"/>
                <w14:textFill>
                  <w14:solidFill>
                    <w14:schemeClr w14:val="tx1"/>
                  </w14:solidFill>
                </w14:textFill>
              </w:rPr>
            </w:pPr>
          </w:p>
        </w:tc>
        <w:tc>
          <w:tcPr>
            <w:tcW w:w="1190" w:type="dxa"/>
            <w:noWrap w:val="0"/>
            <w:vAlign w:val="center"/>
          </w:tcPr>
          <w:p>
            <w:pPr>
              <w:keepNext w:val="0"/>
              <w:keepLines w:val="0"/>
              <w:pageBreakBefore w:val="0"/>
              <w:widowControl w:val="0"/>
              <w:kinsoku/>
              <w:wordWrap/>
              <w:overflowPunct/>
              <w:topLinePunct w:val="0"/>
              <w:bidi w:val="0"/>
              <w:snapToGrid/>
              <w:jc w:val="center"/>
              <w:textAlignment w:val="auto"/>
              <w:rPr>
                <w:b/>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CO</w:t>
            </w:r>
          </w:p>
        </w:tc>
        <w:tc>
          <w:tcPr>
            <w:tcW w:w="1187"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b/>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24小时平均第95百分位数</w:t>
            </w:r>
          </w:p>
        </w:tc>
        <w:tc>
          <w:tcPr>
            <w:tcW w:w="1192" w:type="dxa"/>
            <w:noWrap w:val="0"/>
            <w:vAlign w:val="center"/>
          </w:tcPr>
          <w:p>
            <w:pPr>
              <w:keepNext w:val="0"/>
              <w:keepLines w:val="0"/>
              <w:pageBreakBefore w:val="0"/>
              <w:widowControl w:val="0"/>
              <w:kinsoku/>
              <w:wordWrap/>
              <w:overflowPunct/>
              <w:topLinePunct w:val="0"/>
              <w:bidi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1.508</w:t>
            </w:r>
          </w:p>
        </w:tc>
        <w:tc>
          <w:tcPr>
            <w:tcW w:w="1193" w:type="dxa"/>
            <w:noWrap w:val="0"/>
            <w:vAlign w:val="center"/>
          </w:tcPr>
          <w:p>
            <w:pPr>
              <w:keepNext w:val="0"/>
              <w:keepLines w:val="0"/>
              <w:pageBreakBefore w:val="0"/>
              <w:widowControl w:val="0"/>
              <w:kinsoku/>
              <w:wordWrap/>
              <w:overflowPunct/>
              <w:topLinePunct w:val="0"/>
              <w:bidi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4（mg/m</w:t>
            </w:r>
            <w:r>
              <w:rPr>
                <w:color w:val="000000" w:themeColor="text1"/>
                <w:kern w:val="0"/>
                <w:sz w:val="21"/>
                <w:szCs w:val="21"/>
                <w:vertAlign w:val="superscript"/>
                <w14:textFill>
                  <w14:solidFill>
                    <w14:schemeClr w14:val="tx1"/>
                  </w14:solidFill>
                </w14:textFill>
              </w:rPr>
              <w:t>3</w:t>
            </w:r>
            <w:r>
              <w:rPr>
                <w:color w:val="000000" w:themeColor="text1"/>
                <w:kern w:val="0"/>
                <w:sz w:val="21"/>
                <w:szCs w:val="21"/>
                <w14:textFill>
                  <w14:solidFill>
                    <w14:schemeClr w14:val="tx1"/>
                  </w14:solidFill>
                </w14:textFill>
              </w:rPr>
              <w:t>）</w:t>
            </w:r>
          </w:p>
        </w:tc>
        <w:tc>
          <w:tcPr>
            <w:tcW w:w="1191" w:type="dxa"/>
            <w:noWrap w:val="0"/>
            <w:vAlign w:val="center"/>
          </w:tcPr>
          <w:p>
            <w:pPr>
              <w:keepNext w:val="0"/>
              <w:keepLines w:val="0"/>
              <w:pageBreakBefore w:val="0"/>
              <w:widowControl w:val="0"/>
              <w:kinsoku/>
              <w:wordWrap/>
              <w:overflowPunct/>
              <w:topLinePunct w:val="0"/>
              <w:bidi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37.0</w:t>
            </w:r>
          </w:p>
        </w:tc>
        <w:tc>
          <w:tcPr>
            <w:tcW w:w="1185" w:type="dxa"/>
            <w:noWrap w:val="0"/>
            <w:vAlign w:val="center"/>
          </w:tcPr>
          <w:p>
            <w:pPr>
              <w:keepNext w:val="0"/>
              <w:keepLines w:val="0"/>
              <w:pageBreakBefore w:val="0"/>
              <w:widowControl w:val="0"/>
              <w:kinsoku/>
              <w:wordWrap/>
              <w:overflowPunct/>
              <w:topLinePunct w:val="0"/>
              <w:bidi w:val="0"/>
              <w:snapToGrid/>
              <w:jc w:val="center"/>
              <w:textAlignment w:val="auto"/>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181" w:hRule="atLeast"/>
          <w:jc w:val="center"/>
        </w:trPr>
        <w:tc>
          <w:tcPr>
            <w:tcW w:w="1259" w:type="dxa"/>
            <w:vMerge w:val="continue"/>
            <w:noWrap w:val="0"/>
            <w:tcMar>
              <w:left w:w="57" w:type="dxa"/>
              <w:right w:w="57" w:type="dxa"/>
            </w:tcMar>
            <w:vAlign w:val="center"/>
          </w:tcPr>
          <w:p>
            <w:pPr>
              <w:keepNext w:val="0"/>
              <w:keepLines w:val="0"/>
              <w:pageBreakBefore w:val="0"/>
              <w:widowControl w:val="0"/>
              <w:kinsoku/>
              <w:wordWrap/>
              <w:overflowPunct/>
              <w:topLinePunct w:val="0"/>
              <w:bidi w:val="0"/>
              <w:snapToGrid/>
              <w:jc w:val="center"/>
              <w:textAlignment w:val="auto"/>
              <w:rPr>
                <w:b/>
                <w:color w:val="000000" w:themeColor="text1"/>
                <w:sz w:val="21"/>
                <w:szCs w:val="21"/>
                <w14:textFill>
                  <w14:solidFill>
                    <w14:schemeClr w14:val="tx1"/>
                  </w14:solidFill>
                </w14:textFill>
              </w:rPr>
            </w:pPr>
          </w:p>
        </w:tc>
        <w:tc>
          <w:tcPr>
            <w:tcW w:w="1190" w:type="dxa"/>
            <w:noWrap w:val="0"/>
            <w:vAlign w:val="center"/>
          </w:tcPr>
          <w:p>
            <w:pPr>
              <w:keepNext w:val="0"/>
              <w:keepLines w:val="0"/>
              <w:pageBreakBefore w:val="0"/>
              <w:widowControl w:val="0"/>
              <w:kinsoku/>
              <w:wordWrap/>
              <w:overflowPunct/>
              <w:topLinePunct w:val="0"/>
              <w:bidi w:val="0"/>
              <w:snapToGrid/>
              <w:jc w:val="center"/>
              <w:textAlignment w:val="auto"/>
              <w:rPr>
                <w:b/>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O</w:t>
            </w:r>
            <w:r>
              <w:rPr>
                <w:color w:val="000000" w:themeColor="text1"/>
                <w:kern w:val="0"/>
                <w:sz w:val="21"/>
                <w:szCs w:val="21"/>
                <w:vertAlign w:val="subscript"/>
                <w14:textFill>
                  <w14:solidFill>
                    <w14:schemeClr w14:val="tx1"/>
                  </w14:solidFill>
                </w14:textFill>
              </w:rPr>
              <w:t>3</w:t>
            </w:r>
          </w:p>
        </w:tc>
        <w:tc>
          <w:tcPr>
            <w:tcW w:w="1187"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b/>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最大8小时平均第90百分位数</w:t>
            </w:r>
          </w:p>
        </w:tc>
        <w:tc>
          <w:tcPr>
            <w:tcW w:w="1192" w:type="dxa"/>
            <w:noWrap w:val="0"/>
            <w:vAlign w:val="center"/>
          </w:tcPr>
          <w:p>
            <w:pPr>
              <w:keepNext w:val="0"/>
              <w:keepLines w:val="0"/>
              <w:pageBreakBefore w:val="0"/>
              <w:widowControl w:val="0"/>
              <w:kinsoku/>
              <w:wordWrap/>
              <w:overflowPunct/>
              <w:topLinePunct w:val="0"/>
              <w:bidi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123</w:t>
            </w:r>
          </w:p>
        </w:tc>
        <w:tc>
          <w:tcPr>
            <w:tcW w:w="1193" w:type="dxa"/>
            <w:noWrap w:val="0"/>
            <w:vAlign w:val="center"/>
          </w:tcPr>
          <w:p>
            <w:pPr>
              <w:keepNext w:val="0"/>
              <w:keepLines w:val="0"/>
              <w:pageBreakBefore w:val="0"/>
              <w:widowControl w:val="0"/>
              <w:kinsoku/>
              <w:wordWrap/>
              <w:overflowPunct/>
              <w:topLinePunct w:val="0"/>
              <w:bidi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160</w:t>
            </w:r>
          </w:p>
        </w:tc>
        <w:tc>
          <w:tcPr>
            <w:tcW w:w="1191" w:type="dxa"/>
            <w:noWrap w:val="0"/>
            <w:vAlign w:val="center"/>
          </w:tcPr>
          <w:p>
            <w:pPr>
              <w:keepNext w:val="0"/>
              <w:keepLines w:val="0"/>
              <w:pageBreakBefore w:val="0"/>
              <w:widowControl w:val="0"/>
              <w:kinsoku/>
              <w:wordWrap/>
              <w:overflowPunct/>
              <w:topLinePunct w:val="0"/>
              <w:bidi w:val="0"/>
              <w:snapToGrid/>
              <w:jc w:val="center"/>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76.9</w:t>
            </w:r>
          </w:p>
        </w:tc>
        <w:tc>
          <w:tcPr>
            <w:tcW w:w="1185" w:type="dxa"/>
            <w:noWrap w:val="0"/>
            <w:vAlign w:val="center"/>
          </w:tcPr>
          <w:p>
            <w:pPr>
              <w:keepNext w:val="0"/>
              <w:keepLines w:val="0"/>
              <w:pageBreakBefore w:val="0"/>
              <w:widowControl w:val="0"/>
              <w:kinsoku/>
              <w:wordWrap/>
              <w:overflowPunct/>
              <w:topLinePunct w:val="0"/>
              <w:bidi w:val="0"/>
              <w:snapToGrid/>
              <w:jc w:val="center"/>
              <w:textAlignment w:val="auto"/>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达标</w:t>
            </w:r>
          </w:p>
        </w:tc>
      </w:tr>
    </w:tbl>
    <w:p>
      <w:pPr>
        <w:keepNext w:val="0"/>
        <w:keepLines w:val="0"/>
        <w:pageBreakBefore w:val="0"/>
        <w:widowControl w:val="0"/>
        <w:shd w:val="clear" w:color="auto" w:fill="auto"/>
        <w:kinsoku/>
        <w:wordWrap/>
        <w:overflowPunct w:val="0"/>
        <w:topLinePunct w:val="0"/>
        <w:autoSpaceDE/>
        <w:autoSpaceDN/>
        <w:bidi w:val="0"/>
        <w:adjustRightInd/>
        <w:snapToGrid/>
        <w:spacing w:before="361" w:beforeLines="100"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color w:val="000000" w:themeColor="text1"/>
          <w:sz w:val="24"/>
          <w:szCs w:val="24"/>
          <w:lang w:val="en-US" w:eastAsia="en-US"/>
          <w14:textFill>
            <w14:solidFill>
              <w14:schemeClr w14:val="tx1"/>
            </w14:solidFill>
          </w14:textFill>
        </w:rPr>
        <w:t>本次评价环境空气</w:t>
      </w:r>
      <w:r>
        <w:rPr>
          <w:rFonts w:hint="eastAsia" w:eastAsia="宋体"/>
          <w:color w:val="000000" w:themeColor="text1"/>
          <w:sz w:val="24"/>
          <w:szCs w:val="24"/>
          <w:lang w:val="en-US" w:eastAsia="zh-CN"/>
          <w14:textFill>
            <w14:solidFill>
              <w14:schemeClr w14:val="tx1"/>
            </w14:solidFill>
          </w14:textFill>
        </w:rPr>
        <w:t>特征</w:t>
      </w:r>
      <w:r>
        <w:rPr>
          <w:rFonts w:hint="eastAsia"/>
          <w:color w:val="000000" w:themeColor="text1"/>
          <w:sz w:val="24"/>
          <w:szCs w:val="24"/>
          <w:lang w:val="en-US" w:eastAsia="en-US"/>
          <w14:textFill>
            <w14:solidFill>
              <w14:schemeClr w14:val="tx1"/>
            </w14:solidFill>
          </w14:textFill>
        </w:rPr>
        <w:t>因子选取</w:t>
      </w:r>
      <w:r>
        <w:rPr>
          <w:rFonts w:hint="eastAsia" w:eastAsia="宋体"/>
          <w:color w:val="000000" w:themeColor="text1"/>
          <w:sz w:val="24"/>
          <w:szCs w:val="24"/>
          <w:lang w:val="en-US" w:eastAsia="zh-CN"/>
          <w14:textFill>
            <w14:solidFill>
              <w14:schemeClr w14:val="tx1"/>
            </w14:solidFill>
          </w14:textFill>
        </w:rPr>
        <w:t>NH</w:t>
      </w:r>
      <w:r>
        <w:rPr>
          <w:rFonts w:hint="eastAsia" w:eastAsia="宋体"/>
          <w:color w:val="000000" w:themeColor="text1"/>
          <w:sz w:val="24"/>
          <w:szCs w:val="24"/>
          <w:vertAlign w:val="subscript"/>
          <w:lang w:val="en-US" w:eastAsia="zh-CN"/>
          <w14:textFill>
            <w14:solidFill>
              <w14:schemeClr w14:val="tx1"/>
            </w14:solidFill>
          </w14:textFill>
        </w:rPr>
        <w:t>3</w:t>
      </w:r>
      <w:r>
        <w:rPr>
          <w:rFonts w:hint="eastAsia"/>
          <w:color w:val="000000" w:themeColor="text1"/>
          <w:sz w:val="24"/>
          <w:szCs w:val="24"/>
          <w:lang w:val="en-US" w:eastAsia="en-US"/>
          <w14:textFill>
            <w14:solidFill>
              <w14:schemeClr w14:val="tx1"/>
            </w14:solidFill>
          </w14:textFill>
        </w:rPr>
        <w:t>、汞及其化合物；采样及分析方法按《环境监测技术规范》进行，见表3.</w:t>
      </w:r>
      <w:r>
        <w:rPr>
          <w:rFonts w:hint="eastAsia" w:eastAsia="宋体"/>
          <w:color w:val="000000" w:themeColor="text1"/>
          <w:sz w:val="24"/>
          <w:szCs w:val="24"/>
          <w:lang w:val="en-US" w:eastAsia="zh-CN"/>
          <w14:textFill>
            <w14:solidFill>
              <w14:schemeClr w14:val="tx1"/>
            </w14:solidFill>
          </w14:textFill>
        </w:rPr>
        <w:t>4</w:t>
      </w:r>
      <w:r>
        <w:rPr>
          <w:rFonts w:hint="eastAsia"/>
          <w:color w:val="000000" w:themeColor="text1"/>
          <w:sz w:val="24"/>
          <w:szCs w:val="24"/>
          <w:lang w:val="en-US" w:eastAsia="en-US"/>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2</w:t>
      </w:r>
      <w:r>
        <w:rPr>
          <w:rFonts w:hint="eastAsia"/>
          <w:color w:val="000000" w:themeColor="text1"/>
          <w:sz w:val="24"/>
          <w:szCs w:val="24"/>
          <w:lang w:val="en-US" w:eastAsia="en-US"/>
          <w14:textFill>
            <w14:solidFill>
              <w14:schemeClr w14:val="tx1"/>
            </w14:solidFill>
          </w14:textFill>
        </w:rPr>
        <w:t>。</w:t>
      </w:r>
    </w:p>
    <w:p>
      <w:pPr>
        <w:pStyle w:val="44"/>
        <w:keepNext w:val="0"/>
        <w:keepLines w:val="0"/>
        <w:pageBreakBefore w:val="0"/>
        <w:widowControl w:val="0"/>
        <w:shd w:val="clear" w:color="auto" w:fill="auto"/>
        <w:tabs>
          <w:tab w:val="left" w:pos="3710"/>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 xml:space="preserve">3.4-2    </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环境空气采样及分析方法</w:t>
      </w:r>
    </w:p>
    <w:tbl>
      <w:tblPr>
        <w:tblStyle w:val="21"/>
        <w:tblW w:w="8326" w:type="dxa"/>
        <w:jc w:val="center"/>
        <w:tblInd w:w="0" w:type="dxa"/>
        <w:tblLayout w:type="fixed"/>
        <w:tblCellMar>
          <w:top w:w="0" w:type="dxa"/>
          <w:left w:w="10" w:type="dxa"/>
          <w:bottom w:w="0" w:type="dxa"/>
          <w:right w:w="10" w:type="dxa"/>
        </w:tblCellMar>
      </w:tblPr>
      <w:tblGrid>
        <w:gridCol w:w="905"/>
        <w:gridCol w:w="1280"/>
        <w:gridCol w:w="1802"/>
        <w:gridCol w:w="2833"/>
        <w:gridCol w:w="1506"/>
      </w:tblGrid>
      <w:tr>
        <w:tblPrEx>
          <w:tblLayout w:type="fixed"/>
          <w:tblCellMar>
            <w:top w:w="0" w:type="dxa"/>
            <w:left w:w="10" w:type="dxa"/>
            <w:bottom w:w="0" w:type="dxa"/>
            <w:right w:w="10" w:type="dxa"/>
          </w:tblCellMar>
        </w:tblPrEx>
        <w:trPr>
          <w:trHeight w:val="322" w:hRule="exact"/>
          <w:jc w:val="center"/>
        </w:trPr>
        <w:tc>
          <w:tcPr>
            <w:tcW w:w="90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项目</w:t>
            </w:r>
          </w:p>
        </w:tc>
        <w:tc>
          <w:tcPr>
            <w:tcW w:w="128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采样方法</w:t>
            </w:r>
          </w:p>
        </w:tc>
        <w:tc>
          <w:tcPr>
            <w:tcW w:w="180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分析方法标准号</w:t>
            </w:r>
          </w:p>
        </w:tc>
        <w:tc>
          <w:tcPr>
            <w:tcW w:w="283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分析方法</w:t>
            </w:r>
          </w:p>
        </w:tc>
        <w:tc>
          <w:tcPr>
            <w:tcW w:w="1506"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检出限</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mg</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14:textFill>
                  <w14:solidFill>
                    <w14:schemeClr w14:val="tx1"/>
                  </w14:solidFill>
                </w14:textFill>
              </w:rPr>
              <w:t>3</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312" w:hRule="exact"/>
          <w:jc w:val="center"/>
        </w:trPr>
        <w:tc>
          <w:tcPr>
            <w:tcW w:w="90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HN</w:t>
            </w:r>
            <w:r>
              <w:rPr>
                <w:rStyle w:val="34"/>
                <w:rFonts w:hint="default" w:ascii="Times New Roman" w:hAnsi="Times New Roman" w:eastAsia="宋体" w:cs="Times New Roman"/>
                <w:b w:val="0"/>
                <w:bCs w:val="0"/>
                <w:i w:val="0"/>
                <w:iCs w:val="0"/>
                <w:smallCaps w:val="0"/>
                <w:strike w:val="0"/>
                <w:color w:val="000000" w:themeColor="text1"/>
                <w:sz w:val="21"/>
                <w:szCs w:val="21"/>
                <w:vertAlign w:val="subscript"/>
                <w14:textFill>
                  <w14:solidFill>
                    <w14:schemeClr w14:val="tx1"/>
                  </w14:solidFill>
                </w14:textFill>
              </w:rPr>
              <w:t>3</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-N</w:t>
            </w:r>
          </w:p>
        </w:tc>
        <w:tc>
          <w:tcPr>
            <w:tcW w:w="128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溶液吸收法</w:t>
            </w:r>
          </w:p>
        </w:tc>
        <w:tc>
          <w:tcPr>
            <w:tcW w:w="180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HJ</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533-2009</w:t>
            </w:r>
          </w:p>
        </w:tc>
        <w:tc>
          <w:tcPr>
            <w:tcW w:w="283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纳氏试剂分光光度法</w:t>
            </w:r>
          </w:p>
        </w:tc>
        <w:tc>
          <w:tcPr>
            <w:tcW w:w="1506"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0.01</w:t>
            </w:r>
          </w:p>
        </w:tc>
      </w:tr>
      <w:tr>
        <w:tblPrEx>
          <w:tblLayout w:type="fixed"/>
          <w:tblCellMar>
            <w:top w:w="0" w:type="dxa"/>
            <w:left w:w="10" w:type="dxa"/>
            <w:bottom w:w="0" w:type="dxa"/>
            <w:right w:w="10" w:type="dxa"/>
          </w:tblCellMar>
        </w:tblPrEx>
        <w:trPr>
          <w:trHeight w:val="389" w:hRule="exact"/>
          <w:jc w:val="center"/>
        </w:trPr>
        <w:tc>
          <w:tcPr>
            <w:tcW w:w="905"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汞</w:t>
            </w:r>
          </w:p>
        </w:tc>
        <w:tc>
          <w:tcPr>
            <w:tcW w:w="1280"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溶液吸收法</w:t>
            </w:r>
          </w:p>
        </w:tc>
        <w:tc>
          <w:tcPr>
            <w:tcW w:w="1802"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HJ</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542-2010</w:t>
            </w:r>
          </w:p>
        </w:tc>
        <w:tc>
          <w:tcPr>
            <w:tcW w:w="2833"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冷原子荧光分光光度法</w:t>
            </w:r>
          </w:p>
        </w:tc>
        <w:tc>
          <w:tcPr>
            <w:tcW w:w="150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0.1</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ng/</w:t>
            </w:r>
            <w:r>
              <w:rPr>
                <w:rStyle w:val="34"/>
                <w:rFonts w:hint="eastAsia"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10</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mL</w:t>
            </w:r>
          </w:p>
        </w:tc>
      </w:tr>
    </w:tbl>
    <w:p>
      <w:pPr>
        <w:keepNext w:val="0"/>
        <w:keepLines w:val="0"/>
        <w:pageBreakBefore w:val="0"/>
        <w:widowControl w:val="0"/>
        <w:shd w:val="clear" w:color="auto" w:fill="auto"/>
        <w:kinsoku/>
        <w:wordWrap/>
        <w:overflowPunct w:val="0"/>
        <w:topLinePunct w:val="0"/>
        <w:autoSpaceDE/>
        <w:autoSpaceDN/>
        <w:bidi w:val="0"/>
        <w:adjustRightInd/>
        <w:snapToGrid/>
        <w:spacing w:before="361" w:beforeLines="100"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color w:val="000000" w:themeColor="text1"/>
          <w:sz w:val="24"/>
          <w:szCs w:val="24"/>
          <w:lang w:val="en-US" w:eastAsia="en-US"/>
          <w14:textFill>
            <w14:solidFill>
              <w14:schemeClr w14:val="tx1"/>
            </w14:solidFill>
          </w14:textFill>
        </w:rPr>
        <w:t>监测结果详见表3.</w:t>
      </w:r>
      <w:r>
        <w:rPr>
          <w:rFonts w:hint="eastAsia" w:eastAsia="宋体"/>
          <w:color w:val="000000" w:themeColor="text1"/>
          <w:sz w:val="24"/>
          <w:szCs w:val="24"/>
          <w:lang w:val="en-US" w:eastAsia="zh-CN"/>
          <w14:textFill>
            <w14:solidFill>
              <w14:schemeClr w14:val="tx1"/>
            </w14:solidFill>
          </w14:textFill>
        </w:rPr>
        <w:t>4</w:t>
      </w:r>
      <w:r>
        <w:rPr>
          <w:rFonts w:hint="eastAsia"/>
          <w:color w:val="000000" w:themeColor="text1"/>
          <w:sz w:val="24"/>
          <w:szCs w:val="24"/>
          <w:lang w:val="en-US" w:eastAsia="en-US"/>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3</w:t>
      </w:r>
      <w:r>
        <w:rPr>
          <w:rFonts w:hint="eastAsia"/>
          <w:color w:val="000000" w:themeColor="text1"/>
          <w:sz w:val="24"/>
          <w:szCs w:val="24"/>
          <w:lang w:val="en-US" w:eastAsia="en-US"/>
          <w14:textFill>
            <w14:solidFill>
              <w14:schemeClr w14:val="tx1"/>
            </w14:solidFill>
          </w14:textFill>
        </w:rPr>
        <w:t>。</w:t>
      </w:r>
    </w:p>
    <w:p>
      <w:pPr>
        <w:pStyle w:val="44"/>
        <w:keepNext w:val="0"/>
        <w:keepLines w:val="0"/>
        <w:pageBreakBefore w:val="0"/>
        <w:widowControl w:val="0"/>
        <w:shd w:val="clear" w:color="auto" w:fill="auto"/>
        <w:tabs>
          <w:tab w:val="left" w:pos="3710"/>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default" w:ascii="Times New Roman" w:hAnsi="Times New Roman" w:eastAsia="黑体" w:cs="Times New Roman"/>
          <w:snapToGrid w:val="0"/>
          <w:color w:val="000000" w:themeColor="text1"/>
          <w:spacing w:val="0"/>
          <w:w w:val="100"/>
          <w:kern w:val="0"/>
          <w:position w:val="0"/>
          <w:sz w:val="21"/>
          <w:szCs w:val="21"/>
          <w:u w:val="none"/>
          <w:vertAlign w:val="superscript"/>
          <w:lang w:val="en-US" w:eastAsia="en-US" w:bidi="zh-CN"/>
          <w14:textFill>
            <w14:solidFill>
              <w14:schemeClr w14:val="tx1"/>
            </w14:solidFill>
          </w14:textFill>
        </w:rPr>
      </w:pPr>
      <w:r>
        <w:rPr>
          <w:rFonts w:hint="default"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表3.</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zh-CN" w:bidi="zh-CN"/>
          <w14:textFill>
            <w14:solidFill>
              <w14:schemeClr w14:val="tx1"/>
            </w14:solidFill>
          </w14:textFill>
        </w:rPr>
        <w:t>3</w:t>
      </w:r>
      <w:r>
        <w:rPr>
          <w:rFonts w:hint="default"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zh-CN" w:bidi="zh-CN"/>
          <w14:textFill>
            <w14:solidFill>
              <w14:schemeClr w14:val="tx1"/>
            </w14:solidFill>
          </w14:textFill>
        </w:rPr>
        <w:t>2</w:t>
      </w:r>
      <w:r>
        <w:rPr>
          <w:rFonts w:hint="default" w:ascii="Times New Roman" w:hAnsi="Times New Roman" w:eastAsia="黑体" w:cs="Times New Roman"/>
          <w:snapToGrid w:val="0"/>
          <w:color w:val="000000" w:themeColor="text1"/>
          <w:spacing w:val="0"/>
          <w:w w:val="100"/>
          <w:kern w:val="0"/>
          <w:position w:val="0"/>
          <w:sz w:val="21"/>
          <w:szCs w:val="21"/>
          <w:u w:val="none"/>
          <w:lang w:val="en-US" w:eastAsia="zh-CN" w:bidi="zh-CN"/>
          <w14:textFill>
            <w14:solidFill>
              <w14:schemeClr w14:val="tx1"/>
            </w14:solidFill>
          </w14:textFill>
        </w:rPr>
        <w:t xml:space="preserve">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en-US"/>
          <w14:textFill>
            <w14:solidFill>
              <w14:schemeClr w14:val="tx1"/>
            </w14:solidFill>
          </w14:textFill>
        </w:rPr>
        <w:t>、</w:t>
      </w:r>
      <w:r>
        <w:rPr>
          <w:rFonts w:hint="default" w:ascii="Times New Roman" w:hAnsi="Times New Roman" w:cs="Times New Roman"/>
          <w:color w:val="000000" w:themeColor="text1"/>
          <w:sz w:val="21"/>
          <w:szCs w:val="21"/>
          <w:lang w:val="en-US" w:eastAsia="en-US"/>
          <w14:textFill>
            <w14:solidFill>
              <w14:schemeClr w14:val="tx1"/>
            </w14:solidFill>
          </w14:textFill>
        </w:rPr>
        <w:t>汞</w:t>
      </w:r>
      <w:r>
        <w:rPr>
          <w:rFonts w:hint="default" w:ascii="Times New Roman" w:hAnsi="Times New Roman" w:eastAsia="黑体" w:cs="Times New Roman"/>
          <w:snapToGrid w:val="0"/>
          <w:color w:val="000000" w:themeColor="text1"/>
          <w:spacing w:val="0"/>
          <w:w w:val="100"/>
          <w:kern w:val="0"/>
          <w:position w:val="0"/>
          <w:sz w:val="21"/>
          <w:szCs w:val="21"/>
          <w:u w:val="none"/>
          <w:vertAlign w:val="baseline"/>
          <w:lang w:val="en-US" w:eastAsia="en-US" w:bidi="zh-CN"/>
          <w14:textFill>
            <w14:solidFill>
              <w14:schemeClr w14:val="tx1"/>
            </w14:solidFill>
          </w14:textFill>
        </w:rPr>
        <w:t>小时</w:t>
      </w:r>
      <w:r>
        <w:rPr>
          <w:rFonts w:hint="default"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日均值监测结果统计表</w:t>
      </w:r>
      <w:r>
        <w:rPr>
          <w:rFonts w:hint="default"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ab/>
      </w:r>
      <w:r>
        <w:rPr>
          <w:rFonts w:hint="default"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单位mg</w:t>
      </w:r>
      <w:r>
        <w:rPr>
          <w:rFonts w:hint="default"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w:t>
      </w:r>
      <w:r>
        <w:rPr>
          <w:rFonts w:hint="default"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m</w:t>
      </w:r>
      <w:r>
        <w:rPr>
          <w:rFonts w:hint="default" w:ascii="Times New Roman" w:hAnsi="Times New Roman" w:eastAsia="黑体" w:cs="Times New Roman"/>
          <w:snapToGrid w:val="0"/>
          <w:color w:val="000000" w:themeColor="text1"/>
          <w:spacing w:val="0"/>
          <w:w w:val="100"/>
          <w:kern w:val="0"/>
          <w:position w:val="0"/>
          <w:sz w:val="21"/>
          <w:szCs w:val="21"/>
          <w:u w:val="none"/>
          <w:vertAlign w:val="superscript"/>
          <w:lang w:val="en-US" w:eastAsia="en-US" w:bidi="zh-CN"/>
          <w14:textFill>
            <w14:solidFill>
              <w14:schemeClr w14:val="tx1"/>
            </w14:solidFill>
          </w14:textFill>
        </w:rPr>
        <w:t>3</w:t>
      </w:r>
    </w:p>
    <w:tbl>
      <w:tblPr>
        <w:tblStyle w:val="21"/>
        <w:tblW w:w="8326" w:type="dxa"/>
        <w:jc w:val="center"/>
        <w:tblInd w:w="0" w:type="dxa"/>
        <w:tblLayout w:type="fixed"/>
        <w:tblCellMar>
          <w:top w:w="0" w:type="dxa"/>
          <w:left w:w="10" w:type="dxa"/>
          <w:bottom w:w="0" w:type="dxa"/>
          <w:right w:w="10" w:type="dxa"/>
        </w:tblCellMar>
      </w:tblPr>
      <w:tblGrid>
        <w:gridCol w:w="1008"/>
        <w:gridCol w:w="907"/>
        <w:gridCol w:w="2498"/>
        <w:gridCol w:w="1633"/>
        <w:gridCol w:w="950"/>
        <w:gridCol w:w="1330"/>
      </w:tblGrid>
      <w:tr>
        <w:tblPrEx>
          <w:tblLayout w:type="fixed"/>
          <w:tblCellMar>
            <w:top w:w="0" w:type="dxa"/>
            <w:left w:w="10" w:type="dxa"/>
            <w:bottom w:w="0" w:type="dxa"/>
            <w:right w:w="10" w:type="dxa"/>
          </w:tblCellMar>
        </w:tblPrEx>
        <w:trPr>
          <w:trHeight w:val="552" w:hRule="exact"/>
          <w:jc w:val="center"/>
        </w:trPr>
        <w:tc>
          <w:tcPr>
            <w:tcW w:w="100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测点</w:t>
            </w:r>
          </w:p>
        </w:tc>
        <w:tc>
          <w:tcPr>
            <w:tcW w:w="90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污染物</w:t>
            </w:r>
          </w:p>
        </w:tc>
        <w:tc>
          <w:tcPr>
            <w:tcW w:w="249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小时均值</w:t>
            </w:r>
          </w:p>
        </w:tc>
        <w:tc>
          <w:tcPr>
            <w:tcW w:w="163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标准值</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mg</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14:textFill>
                  <w14:solidFill>
                    <w14:schemeClr w14:val="tx1"/>
                  </w14:solidFill>
                </w14:textFill>
              </w:rPr>
              <w:t>3</w:t>
            </w:r>
          </w:p>
        </w:tc>
        <w:tc>
          <w:tcPr>
            <w:tcW w:w="9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超标率</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zh-CN"/>
                <w14:textFill>
                  <w14:solidFill>
                    <w14:schemeClr w14:val="tx1"/>
                  </w14:solidFill>
                </w14:textFill>
              </w:rPr>
              <w:t>%</w:t>
            </w:r>
          </w:p>
        </w:tc>
        <w:tc>
          <w:tcPr>
            <w:tcW w:w="13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最大超标倍数</w:t>
            </w:r>
          </w:p>
        </w:tc>
      </w:tr>
      <w:tr>
        <w:tblPrEx>
          <w:tblLayout w:type="fixed"/>
          <w:tblCellMar>
            <w:top w:w="0" w:type="dxa"/>
            <w:left w:w="10" w:type="dxa"/>
            <w:bottom w:w="0" w:type="dxa"/>
            <w:right w:w="10" w:type="dxa"/>
          </w:tblCellMar>
        </w:tblPrEx>
        <w:trPr>
          <w:trHeight w:val="335" w:hRule="exact"/>
          <w:jc w:val="center"/>
        </w:trPr>
        <w:tc>
          <w:tcPr>
            <w:tcW w:w="1008"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拟建厂区</w:t>
            </w:r>
          </w:p>
        </w:tc>
        <w:tc>
          <w:tcPr>
            <w:tcW w:w="90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p>
        </w:tc>
        <w:tc>
          <w:tcPr>
            <w:tcW w:w="249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 xml:space="preserve">0. </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02〜</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 xml:space="preserve">0. </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03</w:t>
            </w:r>
          </w:p>
        </w:tc>
        <w:tc>
          <w:tcPr>
            <w:tcW w:w="163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w:t>
            </w:r>
          </w:p>
        </w:tc>
        <w:tc>
          <w:tcPr>
            <w:tcW w:w="9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3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Layout w:type="fixed"/>
          <w:tblCellMar>
            <w:top w:w="0" w:type="dxa"/>
            <w:left w:w="10" w:type="dxa"/>
            <w:bottom w:w="0" w:type="dxa"/>
            <w:right w:w="10" w:type="dxa"/>
          </w:tblCellMar>
        </w:tblPrEx>
        <w:trPr>
          <w:trHeight w:val="307" w:hRule="exact"/>
          <w:jc w:val="center"/>
        </w:trPr>
        <w:tc>
          <w:tcPr>
            <w:tcW w:w="1008"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0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汞</w:t>
            </w:r>
          </w:p>
        </w:tc>
        <w:tc>
          <w:tcPr>
            <w:tcW w:w="249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4.</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zh-CN"/>
                <w14:textFill>
                  <w14:solidFill>
                    <w14:schemeClr w14:val="tx1"/>
                  </w14:solidFill>
                </w14:textFill>
              </w:rPr>
              <w:t>-5</w:t>
            </w:r>
            <w:r>
              <w:rPr>
                <w:rStyle w:val="38"/>
                <w:rFonts w:hint="default"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13</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lang w:val="en-US" w:eastAsia="zh-CN"/>
                <w14:textFill>
                  <w14:solidFill>
                    <w14:schemeClr w14:val="tx1"/>
                  </w14:solidFill>
                </w14:textFill>
              </w:rPr>
              <w:t>-5</w:t>
            </w:r>
          </w:p>
        </w:tc>
        <w:tc>
          <w:tcPr>
            <w:tcW w:w="163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0.015</w:t>
            </w:r>
          </w:p>
        </w:tc>
        <w:tc>
          <w:tcPr>
            <w:tcW w:w="9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3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r>
    </w:tbl>
    <w:p>
      <w:pPr>
        <w:keepNext w:val="0"/>
        <w:keepLines w:val="0"/>
        <w:pageBreakBefore w:val="0"/>
        <w:widowControl w:val="0"/>
        <w:shd w:val="clear" w:color="auto" w:fill="auto"/>
        <w:kinsoku/>
        <w:wordWrap/>
        <w:overflowPunct w:val="0"/>
        <w:topLinePunct w:val="0"/>
        <w:autoSpaceDE/>
        <w:autoSpaceDN/>
        <w:bidi w:val="0"/>
        <w:adjustRightInd/>
        <w:snapToGrid/>
        <w:spacing w:before="361" w:beforeLines="100"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color w:val="000000" w:themeColor="text1"/>
          <w:sz w:val="24"/>
          <w:szCs w:val="24"/>
          <w:lang w:val="en-US" w:eastAsia="en-US"/>
          <w14:textFill>
            <w14:solidFill>
              <w14:schemeClr w14:val="tx1"/>
            </w14:solidFill>
          </w14:textFill>
        </w:rPr>
        <w:t>由表3.</w:t>
      </w:r>
      <w:r>
        <w:rPr>
          <w:rFonts w:hint="eastAsia" w:eastAsia="宋体"/>
          <w:color w:val="000000" w:themeColor="text1"/>
          <w:sz w:val="24"/>
          <w:szCs w:val="24"/>
          <w:lang w:val="en-US" w:eastAsia="zh-CN"/>
          <w14:textFill>
            <w14:solidFill>
              <w14:schemeClr w14:val="tx1"/>
            </w14:solidFill>
          </w14:textFill>
        </w:rPr>
        <w:t>4</w:t>
      </w:r>
      <w:r>
        <w:rPr>
          <w:rFonts w:hint="eastAsia"/>
          <w:color w:val="000000" w:themeColor="text1"/>
          <w:sz w:val="24"/>
          <w:szCs w:val="24"/>
          <w:lang w:val="en-US" w:eastAsia="en-US"/>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2</w:t>
      </w:r>
      <w:r>
        <w:rPr>
          <w:rFonts w:hint="eastAsia"/>
          <w:color w:val="000000" w:themeColor="text1"/>
          <w:sz w:val="24"/>
          <w:szCs w:val="24"/>
          <w:lang w:val="en-US" w:eastAsia="en-US"/>
          <w14:textFill>
            <w14:solidFill>
              <w14:schemeClr w14:val="tx1"/>
            </w14:solidFill>
          </w14:textFill>
        </w:rPr>
        <w:t>，厂址区域氨未超过</w:t>
      </w:r>
      <w:r>
        <w:rPr>
          <w:color w:val="000000" w:themeColor="text1"/>
          <w:kern w:val="18"/>
          <w:szCs w:val="21"/>
          <w14:textFill>
            <w14:solidFill>
              <w14:schemeClr w14:val="tx1"/>
            </w14:solidFill>
          </w14:textFill>
        </w:rPr>
        <w:t>《环境影响评价技术导则 大气环境》</w:t>
      </w:r>
      <w:r>
        <w:rPr>
          <w:color w:val="000000" w:themeColor="text1"/>
          <w:spacing w:val="-6"/>
          <w:szCs w:val="21"/>
          <w14:textFill>
            <w14:solidFill>
              <w14:schemeClr w14:val="tx1"/>
            </w14:solidFill>
          </w14:textFill>
        </w:rPr>
        <w:t>(HJ2.2-2018)附录D“其他污染物空</w:t>
      </w:r>
      <w:r>
        <w:rPr>
          <w:rFonts w:hint="default" w:ascii="Times New Roman" w:hAnsi="Times New Roman" w:cs="Times New Roman"/>
          <w:color w:val="000000" w:themeColor="text1"/>
          <w:spacing w:val="-6"/>
          <w:sz w:val="24"/>
          <w:szCs w:val="24"/>
          <w14:textFill>
            <w14:solidFill>
              <w14:schemeClr w14:val="tx1"/>
            </w14:solidFill>
          </w14:textFill>
        </w:rPr>
        <w:t>气质量浓度参考限值”</w:t>
      </w:r>
      <w:r>
        <w:rPr>
          <w:rFonts w:hint="default" w:ascii="Times New Roman" w:hAnsi="Times New Roman" w:eastAsia="宋体" w:cs="Times New Roman"/>
          <w:color w:val="000000" w:themeColor="text1"/>
          <w:spacing w:val="-6"/>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en-US"/>
          <w14:textFill>
            <w14:solidFill>
              <w14:schemeClr w14:val="tx1"/>
            </w14:solidFill>
          </w14:textFill>
        </w:rPr>
        <w:t>汞未超过</w:t>
      </w:r>
      <w:r>
        <w:rPr>
          <w:rFonts w:hint="default" w:ascii="Times New Roman" w:hAnsi="Times New Roman" w:cs="Times New Roman"/>
          <w:color w:val="000000" w:themeColor="text1"/>
          <w:sz w:val="24"/>
          <w:szCs w:val="24"/>
          <w:lang w:eastAsia="zh-CN"/>
          <w14:textFill>
            <w14:solidFill>
              <w14:schemeClr w14:val="tx1"/>
            </w14:solidFill>
          </w14:textFill>
        </w:rPr>
        <w:t>《大气污染物综合排放标准》（</w:t>
      </w:r>
      <w:r>
        <w:rPr>
          <w:rFonts w:hint="default" w:ascii="Times New Roman" w:hAnsi="Times New Roman" w:cs="Times New Roman"/>
          <w:color w:val="000000" w:themeColor="text1"/>
          <w:sz w:val="24"/>
          <w:szCs w:val="24"/>
          <w14:textFill>
            <w14:solidFill>
              <w14:schemeClr w14:val="tx1"/>
            </w14:solidFill>
          </w14:textFill>
        </w:rPr>
        <w:t>GB</w:t>
      </w:r>
      <w:r>
        <w:rPr>
          <w:rFonts w:hint="default" w:ascii="Times New Roman" w:hAnsi="Times New Roman" w:cs="Times New Roman"/>
          <w:color w:val="000000" w:themeColor="text1"/>
          <w:sz w:val="24"/>
          <w:szCs w:val="24"/>
          <w:lang w:val="en-US" w:eastAsia="zh-CN"/>
          <w14:textFill>
            <w14:solidFill>
              <w14:schemeClr w14:val="tx1"/>
            </w14:solidFill>
          </w14:textFill>
        </w:rPr>
        <w:t>16297-1996</w:t>
      </w:r>
      <w:r>
        <w:rPr>
          <w:rFonts w:hint="default" w:ascii="Times New Roman" w:hAnsi="Times New Roman" w:cs="Times New Roman"/>
          <w:color w:val="000000" w:themeColor="text1"/>
          <w:sz w:val="24"/>
          <w:szCs w:val="24"/>
          <w:lang w:eastAsia="zh-CN"/>
          <w14:textFill>
            <w14:solidFill>
              <w14:schemeClr w14:val="tx1"/>
            </w14:solidFill>
          </w14:textFill>
        </w:rPr>
        <w:t>）表</w:t>
      </w:r>
      <w:r>
        <w:rPr>
          <w:rFonts w:hint="default" w:ascii="Times New Roman" w:hAnsi="Times New Roman" w:cs="Times New Roman"/>
          <w:color w:val="000000" w:themeColor="text1"/>
          <w:sz w:val="24"/>
          <w:szCs w:val="24"/>
          <w:lang w:val="en-US" w:eastAsia="zh-CN"/>
          <w14:textFill>
            <w14:solidFill>
              <w14:schemeClr w14:val="tx1"/>
            </w14:solidFill>
          </w14:textFill>
        </w:rPr>
        <w:t>1标准</w:t>
      </w:r>
      <w:r>
        <w:rPr>
          <w:rFonts w:hint="default" w:ascii="Times New Roman" w:hAnsi="Times New Roman" w:cs="Times New Roman"/>
          <w:color w:val="000000" w:themeColor="text1"/>
          <w:sz w:val="24"/>
          <w:szCs w:val="24"/>
          <w:lang w:val="en-US" w:eastAsia="en-US"/>
          <w14:textFill>
            <w14:solidFill>
              <w14:schemeClr w14:val="tx1"/>
            </w14:solidFill>
          </w14:textFill>
        </w:rPr>
        <w:t>。</w:t>
      </w:r>
      <w:r>
        <w:rPr>
          <w:color w:val="000000" w:themeColor="text1"/>
          <w:sz w:val="24"/>
          <w:szCs w:val="24"/>
          <w14:textFill>
            <w14:solidFill>
              <w14:schemeClr w14:val="tx1"/>
            </w14:solidFill>
          </w14:textFill>
        </w:rPr>
        <w:t>项目区空气中各项常规监测因子选用克拉玛依白碱滩区环境空气监测站监测数据，SO</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、PM</w:t>
      </w:r>
      <w:r>
        <w:rPr>
          <w:color w:val="000000" w:themeColor="text1"/>
          <w:sz w:val="24"/>
          <w:szCs w:val="24"/>
          <w:vertAlign w:val="subscript"/>
          <w14:textFill>
            <w14:solidFill>
              <w14:schemeClr w14:val="tx1"/>
            </w14:solidFill>
          </w14:textFill>
        </w:rPr>
        <w:t>10</w:t>
      </w:r>
      <w:r>
        <w:rPr>
          <w:color w:val="000000" w:themeColor="text1"/>
          <w:sz w:val="24"/>
          <w:szCs w:val="24"/>
          <w14:textFill>
            <w14:solidFill>
              <w14:schemeClr w14:val="tx1"/>
            </w14:solidFill>
          </w14:textFill>
        </w:rPr>
        <w:t>、PM</w:t>
      </w:r>
      <w:r>
        <w:rPr>
          <w:color w:val="000000" w:themeColor="text1"/>
          <w:sz w:val="24"/>
          <w:szCs w:val="24"/>
          <w:vertAlign w:val="subscript"/>
          <w14:textFill>
            <w14:solidFill>
              <w14:schemeClr w14:val="tx1"/>
            </w14:solidFill>
          </w14:textFill>
        </w:rPr>
        <w:t>2.5</w:t>
      </w:r>
      <w:r>
        <w:rPr>
          <w:color w:val="000000" w:themeColor="text1"/>
          <w:sz w:val="24"/>
          <w:szCs w:val="24"/>
          <w14:textFill>
            <w14:solidFill>
              <w14:schemeClr w14:val="tx1"/>
            </w14:solidFill>
          </w14:textFill>
        </w:rPr>
        <w:t>、CO、O</w:t>
      </w:r>
      <w:r>
        <w:rPr>
          <w:color w:val="000000" w:themeColor="text1"/>
          <w:sz w:val="24"/>
          <w:szCs w:val="24"/>
          <w:vertAlign w:val="subscript"/>
          <w14:textFill>
            <w14:solidFill>
              <w14:schemeClr w14:val="tx1"/>
            </w14:solidFill>
          </w14:textFill>
        </w:rPr>
        <w:t>3</w:t>
      </w:r>
      <w:r>
        <w:rPr>
          <w:color w:val="000000" w:themeColor="text1"/>
          <w:sz w:val="24"/>
          <w:szCs w:val="24"/>
          <w14:textFill>
            <w14:solidFill>
              <w14:schemeClr w14:val="tx1"/>
            </w14:solidFill>
          </w14:textFill>
        </w:rPr>
        <w:t>最大占标率分别为9.3%、16.8%、96.7%、88.9%、37.0%、76.9%，均达标。</w:t>
      </w:r>
      <w:r>
        <w:rPr>
          <w:rFonts w:hint="eastAsia"/>
          <w:color w:val="000000" w:themeColor="text1"/>
          <w:sz w:val="24"/>
          <w:szCs w:val="24"/>
          <w:lang w:val="en-US" w:eastAsia="en-US"/>
          <w14:textFill>
            <w14:solidFill>
              <w14:schemeClr w14:val="tx1"/>
            </w14:solidFill>
          </w14:textFill>
        </w:rPr>
        <w:t>项目区域环境空气质量状况较好。</w:t>
      </w:r>
    </w:p>
    <w:p>
      <w:pPr>
        <w:pStyle w:val="5"/>
        <w:keepNext/>
        <w:keepLines/>
        <w:pageBreakBefore w:val="0"/>
        <w:widowControl w:val="0"/>
        <w:shd w:val="clear" w:color="auto" w:fill="auto"/>
        <w:kinsoku/>
        <w:wordWrap/>
        <w:overflowPunct/>
        <w:topLinePunct w:val="0"/>
        <w:autoSpaceDE/>
        <w:autoSpaceDN/>
        <w:bidi w:val="0"/>
        <w:adjustRightInd/>
        <w:snapToGrid/>
        <w:textAlignment w:val="auto"/>
        <w:rPr>
          <w:color w:val="000000" w:themeColor="text1"/>
          <w:sz w:val="28"/>
          <w:szCs w:val="28"/>
          <w14:textFill>
            <w14:solidFill>
              <w14:schemeClr w14:val="tx1"/>
            </w14:solidFill>
          </w14:textFill>
        </w:rPr>
      </w:pPr>
      <w:bookmarkStart w:id="178" w:name="_Toc304912347"/>
      <w:bookmarkStart w:id="179" w:name="_Toc8909"/>
      <w:bookmarkStart w:id="180" w:name="_Toc10215"/>
      <w:bookmarkStart w:id="181" w:name="_Toc196478997"/>
      <w:bookmarkStart w:id="182" w:name="_Toc491857674"/>
      <w:bookmarkStart w:id="183" w:name="_Toc26336"/>
      <w:bookmarkStart w:id="184" w:name="_Toc6246"/>
      <w:bookmarkStart w:id="185" w:name="_Toc30120"/>
      <w:bookmarkStart w:id="186" w:name="_Toc303938862"/>
      <w:r>
        <w:rPr>
          <w:color w:val="000000" w:themeColor="text1"/>
          <w:sz w:val="28"/>
          <w:szCs w:val="28"/>
          <w14:textFill>
            <w14:solidFill>
              <w14:schemeClr w14:val="tx1"/>
            </w14:solidFill>
          </w14:textFill>
        </w:rPr>
        <w:t>3.4.2 水环境现状调查与评价</w:t>
      </w:r>
      <w:bookmarkEnd w:id="178"/>
      <w:bookmarkEnd w:id="179"/>
      <w:bookmarkEnd w:id="180"/>
      <w:bookmarkEnd w:id="181"/>
      <w:bookmarkEnd w:id="182"/>
      <w:bookmarkEnd w:id="183"/>
      <w:bookmarkEnd w:id="184"/>
      <w:bookmarkEnd w:id="185"/>
      <w:bookmarkEnd w:id="186"/>
    </w:p>
    <w:p>
      <w:pPr>
        <w:pStyle w:val="6"/>
        <w:keepNext/>
        <w:keepLines/>
        <w:pageBreakBefore w:val="0"/>
        <w:widowControl w:val="0"/>
        <w:shd w:val="clear" w:color="auto" w:fill="auto"/>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val="0"/>
          <w:color w:val="000000" w:themeColor="text1"/>
          <w:sz w:val="24"/>
          <w:szCs w:val="24"/>
          <w14:textFill>
            <w14:solidFill>
              <w14:schemeClr w14:val="tx1"/>
            </w14:solidFill>
          </w14:textFill>
        </w:rPr>
      </w:pPr>
      <w:bookmarkStart w:id="187" w:name="_Toc303938863"/>
      <w:r>
        <w:rPr>
          <w:rFonts w:hint="default" w:ascii="Times New Roman" w:hAnsi="Times New Roman" w:eastAsia="宋体" w:cs="Times New Roman"/>
          <w:b/>
          <w:bCs w:val="0"/>
          <w:color w:val="000000" w:themeColor="text1"/>
          <w:sz w:val="24"/>
          <w:szCs w:val="24"/>
          <w14:textFill>
            <w14:solidFill>
              <w14:schemeClr w14:val="tx1"/>
            </w14:solidFill>
          </w14:textFill>
        </w:rPr>
        <w:t>3.4.2.1</w:t>
      </w:r>
      <w:bookmarkEnd w:id="187"/>
      <w:r>
        <w:rPr>
          <w:rFonts w:hint="default" w:ascii="Times New Roman" w:hAnsi="Times New Roman" w:eastAsia="宋体" w:cs="Times New Roman"/>
          <w:b/>
          <w:bCs w:val="0"/>
          <w:color w:val="000000" w:themeColor="text1"/>
          <w:sz w:val="24"/>
          <w:szCs w:val="24"/>
          <w14:textFill>
            <w14:solidFill>
              <w14:schemeClr w14:val="tx1"/>
            </w14:solidFill>
          </w14:textFill>
        </w:rPr>
        <w:t xml:space="preserve"> 水环境现状监测</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4"/>
          <w:szCs w:val="24"/>
          <w:lang w:val="en-US" w:eastAsia="zh-CN"/>
          <w14:textFill>
            <w14:solidFill>
              <w14:schemeClr w14:val="tx1"/>
            </w14:solidFill>
          </w14:textFill>
        </w:rPr>
        <w:t>本次地下水数据引用《</w:t>
      </w:r>
      <w:r>
        <w:rPr>
          <w:rFonts w:hint="eastAsia" w:ascii="Times New Roman" w:hAnsi="Times New Roman" w:eastAsia="Times New Roman" w:cs="Times New Roman"/>
          <w:color w:val="000000" w:themeColor="text1"/>
          <w:sz w:val="24"/>
          <w:szCs w:val="24"/>
          <w:lang w:val="en-US" w:eastAsia="en-US"/>
          <w14:textFill>
            <w14:solidFill>
              <w14:schemeClr w14:val="tx1"/>
            </w14:solidFill>
          </w14:textFill>
        </w:rPr>
        <w:t>克拉玛依市污泥碳化制生物炭工程</w:t>
      </w:r>
      <w:r>
        <w:rPr>
          <w:rFonts w:hint="eastAsia" w:ascii="Times New Roman" w:hAnsi="Times New Roman" w:eastAsia="Times New Roman" w:cs="Times New Roman"/>
          <w:color w:val="000000" w:themeColor="text1"/>
          <w:sz w:val="24"/>
          <w:szCs w:val="24"/>
          <w:lang w:val="en-US" w:eastAsia="zh-CN"/>
          <w14:textFill>
            <w14:solidFill>
              <w14:schemeClr w14:val="tx1"/>
            </w14:solidFill>
          </w14:textFill>
        </w:rPr>
        <w:t>》于2018年7月23日现状监测数据。</w:t>
      </w:r>
    </w:p>
    <w:p>
      <w:pPr>
        <w:numPr>
          <w:ilvl w:val="0"/>
          <w:numId w:val="0"/>
        </w:numPr>
        <w:overflowPunct w:val="0"/>
        <w:spacing w:line="360" w:lineRule="auto"/>
        <w:ind w:left="480" w:leftChars="0" w:right="0" w:rightChars="0"/>
        <w:rPr>
          <w:color w:val="000000" w:themeColor="text1"/>
          <w:sz w:val="24"/>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1</w:t>
      </w:r>
      <w:r>
        <w:rPr>
          <w:rFonts w:hint="eastAsia" w:eastAsia="宋体"/>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监测点位与监测因子</w:t>
      </w:r>
    </w:p>
    <w:p>
      <w:pPr>
        <w:pStyle w:val="52"/>
        <w:overflowPunct w:val="0"/>
        <w:spacing w:line="360" w:lineRule="auto"/>
        <w:ind w:firstLine="480"/>
        <w:rPr>
          <w:rFonts w:cs="Times New Roman"/>
          <w:color w:val="000000" w:themeColor="text1"/>
          <w:sz w:val="24"/>
          <w14:textFill>
            <w14:solidFill>
              <w14:schemeClr w14:val="tx1"/>
            </w14:solidFill>
          </w14:textFill>
        </w:rPr>
      </w:pPr>
      <w:r>
        <w:rPr>
          <w:rFonts w:cs="Times New Roman"/>
          <w:color w:val="000000" w:themeColor="text1"/>
          <w:sz w:val="24"/>
          <w:szCs w:val="24"/>
          <w14:textFill>
            <w14:solidFill>
              <w14:schemeClr w14:val="tx1"/>
            </w14:solidFill>
          </w14:textFill>
        </w:rPr>
        <w:t>按《环境影响评价技术导则 地下水环境》（HJ610-2016）规定，该项目地下水评价属于</w:t>
      </w:r>
      <w:r>
        <w:rPr>
          <w:rFonts w:cs="Times New Roman"/>
          <w:color w:val="000000" w:themeColor="text1"/>
          <w:sz w:val="24"/>
          <w:szCs w:val="24"/>
          <w14:textFill>
            <w14:solidFill>
              <w14:schemeClr w14:val="tx1"/>
            </w14:solidFill>
          </w14:textFill>
        </w:rPr>
        <w:fldChar w:fldCharType="begin"/>
      </w:r>
      <w:r>
        <w:rPr>
          <w:rFonts w:cs="Times New Roman"/>
          <w:color w:val="000000" w:themeColor="text1"/>
          <w:sz w:val="24"/>
          <w:szCs w:val="24"/>
          <w14:textFill>
            <w14:solidFill>
              <w14:schemeClr w14:val="tx1"/>
            </w14:solidFill>
          </w14:textFill>
        </w:rPr>
        <w:instrText xml:space="preserve"> = 2 \* ROMAN </w:instrText>
      </w:r>
      <w:r>
        <w:rPr>
          <w:rFonts w:cs="Times New Roman"/>
          <w:color w:val="000000" w:themeColor="text1"/>
          <w:sz w:val="24"/>
          <w:szCs w:val="24"/>
          <w14:textFill>
            <w14:solidFill>
              <w14:schemeClr w14:val="tx1"/>
            </w14:solidFill>
          </w14:textFill>
        </w:rPr>
        <w:fldChar w:fldCharType="separate"/>
      </w:r>
      <w:r>
        <w:rPr>
          <w:rFonts w:cs="Times New Roman"/>
          <w:color w:val="000000" w:themeColor="text1"/>
          <w:sz w:val="24"/>
          <w:szCs w:val="24"/>
          <w14:textFill>
            <w14:solidFill>
              <w14:schemeClr w14:val="tx1"/>
            </w14:solidFill>
          </w14:textFill>
        </w:rPr>
        <w:t>II</w:t>
      </w:r>
      <w:r>
        <w:rPr>
          <w:rFonts w:cs="Times New Roman"/>
          <w:color w:val="000000" w:themeColor="text1"/>
          <w:sz w:val="24"/>
          <w:szCs w:val="24"/>
          <w14:textFill>
            <w14:solidFill>
              <w14:schemeClr w14:val="tx1"/>
            </w14:solidFill>
          </w14:textFill>
        </w:rPr>
        <w:fldChar w:fldCharType="end"/>
      </w:r>
      <w:r>
        <w:rPr>
          <w:rFonts w:cs="Times New Roman"/>
          <w:color w:val="000000" w:themeColor="text1"/>
          <w:sz w:val="24"/>
          <w:szCs w:val="24"/>
          <w14:textFill>
            <w14:solidFill>
              <w14:schemeClr w14:val="tx1"/>
            </w14:solidFill>
          </w14:textFill>
        </w:rPr>
        <w:t>类项目。根据地下水赋存情况，监测布点3个，监测单位根据地下水流向寻找园区内地下监测井进行采样。</w:t>
      </w:r>
      <w:r>
        <w:rPr>
          <w:rFonts w:cs="Times New Roman"/>
          <w:color w:val="000000" w:themeColor="text1"/>
          <w:sz w:val="24"/>
          <w:szCs w:val="24"/>
          <w:lang w:val="en-US" w:eastAsia="zh-CN"/>
          <w14:textFill>
            <w14:solidFill>
              <w14:schemeClr w14:val="tx1"/>
            </w14:solidFill>
          </w14:textFill>
        </w:rPr>
        <w:t>监测项目为</w:t>
      </w:r>
      <w:r>
        <w:rPr>
          <w:rFonts w:cs="Times New Roman"/>
          <w:color w:val="000000" w:themeColor="text1"/>
          <w:sz w:val="24"/>
          <w:szCs w:val="24"/>
          <w14:textFill>
            <w14:solidFill>
              <w14:schemeClr w14:val="tx1"/>
            </w14:solidFill>
          </w14:textFill>
        </w:rPr>
        <w:t>pH、总硬度、溶解性总固体、氨氮、硝酸盐、亚硝酸盐、挥发性酚类、氰化物、氯化物</w:t>
      </w:r>
      <w:r>
        <w:rPr>
          <w:rFonts w:cs="Times New Roman"/>
          <w:color w:val="000000" w:themeColor="text1"/>
          <w:sz w:val="24"/>
          <w:szCs w:val="24"/>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As、Hg、Cr</w:t>
      </w:r>
      <w:r>
        <w:rPr>
          <w:rFonts w:cs="Times New Roman"/>
          <w:color w:val="000000" w:themeColor="text1"/>
          <w:sz w:val="24"/>
          <w:szCs w:val="24"/>
          <w:vertAlign w:val="superscript"/>
          <w14:textFill>
            <w14:solidFill>
              <w14:schemeClr w14:val="tx1"/>
            </w14:solidFill>
          </w14:textFill>
        </w:rPr>
        <w:t>6+</w:t>
      </w:r>
      <w:r>
        <w:rPr>
          <w:rFonts w:cs="Times New Roman"/>
          <w:color w:val="000000" w:themeColor="text1"/>
          <w:sz w:val="24"/>
          <w:szCs w:val="24"/>
          <w14:textFill>
            <w14:solidFill>
              <w14:schemeClr w14:val="tx1"/>
            </w14:solidFill>
          </w14:textFill>
        </w:rPr>
        <w:t>、硫酸盐、总大肠菌群、菌落总数</w:t>
      </w:r>
      <w:r>
        <w:rPr>
          <w:rFonts w:cs="Times New Roman"/>
          <w:color w:val="000000" w:themeColor="text1"/>
          <w:sz w:val="24"/>
          <w:szCs w:val="24"/>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共</w:t>
      </w:r>
      <w:r>
        <w:rPr>
          <w:rFonts w:cs="Times New Roman"/>
          <w:color w:val="000000" w:themeColor="text1"/>
          <w:sz w:val="24"/>
          <w:szCs w:val="24"/>
          <w:lang w:val="en-US" w:eastAsia="zh-CN"/>
          <w14:textFill>
            <w14:solidFill>
              <w14:schemeClr w14:val="tx1"/>
            </w14:solidFill>
          </w14:textFill>
        </w:rPr>
        <w:t>15</w:t>
      </w:r>
      <w:r>
        <w:rPr>
          <w:rFonts w:cs="Times New Roman"/>
          <w:color w:val="000000" w:themeColor="text1"/>
          <w:sz w:val="24"/>
          <w:szCs w:val="24"/>
          <w14:textFill>
            <w14:solidFill>
              <w14:schemeClr w14:val="tx1"/>
            </w14:solidFill>
          </w14:textFill>
        </w:rPr>
        <w:t>项。同时记录井深、水位埋深、水温。</w:t>
      </w:r>
      <w:r>
        <w:rPr>
          <w:rFonts w:cs="Times New Roman"/>
          <w:color w:val="000000" w:themeColor="text1"/>
          <w:sz w:val="24"/>
          <w14:textFill>
            <w14:solidFill>
              <w14:schemeClr w14:val="tx1"/>
            </w14:solidFill>
          </w14:textFill>
        </w:rPr>
        <w:t>监测点位</w:t>
      </w:r>
      <w:r>
        <w:rPr>
          <w:rFonts w:cs="Times New Roman"/>
          <w:color w:val="000000" w:themeColor="text1"/>
          <w:sz w:val="24"/>
          <w:lang w:eastAsia="zh-CN"/>
          <w14:textFill>
            <w14:solidFill>
              <w14:schemeClr w14:val="tx1"/>
            </w14:solidFill>
          </w14:textFill>
        </w:rPr>
        <w:t>，</w:t>
      </w:r>
      <w:r>
        <w:rPr>
          <w:rFonts w:cs="Times New Roman"/>
          <w:color w:val="000000" w:themeColor="text1"/>
          <w:sz w:val="24"/>
          <w14:textFill>
            <w14:solidFill>
              <w14:schemeClr w14:val="tx1"/>
            </w14:solidFill>
          </w14:textFill>
        </w:rPr>
        <w:t>见图</w:t>
      </w:r>
      <w:r>
        <w:rPr>
          <w:rFonts w:cs="Times New Roman"/>
          <w:color w:val="000000" w:themeColor="text1"/>
          <w:sz w:val="24"/>
          <w:lang w:val="en-US" w:eastAsia="zh-CN"/>
          <w14:textFill>
            <w14:solidFill>
              <w14:schemeClr w14:val="tx1"/>
            </w14:solidFill>
          </w14:textFill>
        </w:rPr>
        <w:t>3.4-1</w:t>
      </w:r>
      <w:r>
        <w:rPr>
          <w:rFonts w:cs="Times New Roman"/>
          <w:color w:val="000000" w:themeColor="text1"/>
          <w:sz w:val="24"/>
          <w14:textFill>
            <w14:solidFill>
              <w14:schemeClr w14:val="tx1"/>
            </w14:solidFill>
          </w14:textFill>
        </w:rPr>
        <w:t>和表</w:t>
      </w:r>
      <w:r>
        <w:rPr>
          <w:rFonts w:cs="Times New Roman"/>
          <w:color w:val="000000" w:themeColor="text1"/>
          <w:sz w:val="24"/>
          <w:lang w:val="en-US" w:eastAsia="zh-CN"/>
          <w14:textFill>
            <w14:solidFill>
              <w14:schemeClr w14:val="tx1"/>
            </w14:solidFill>
          </w14:textFill>
        </w:rPr>
        <w:t>3.4-5</w:t>
      </w:r>
      <w:r>
        <w:rPr>
          <w:rFonts w:cs="Times New Roman"/>
          <w:color w:val="000000" w:themeColor="text1"/>
          <w:sz w:val="24"/>
          <w14:textFill>
            <w14:solidFill>
              <w14:schemeClr w14:val="tx1"/>
            </w14:solidFill>
          </w14:textFill>
        </w:rPr>
        <w:t>。</w:t>
      </w:r>
    </w:p>
    <w:p>
      <w:pPr>
        <w:pStyle w:val="44"/>
        <w:keepNext w:val="0"/>
        <w:keepLines w:val="0"/>
        <w:pageBreakBefore w:val="0"/>
        <w:widowControl w:val="0"/>
        <w:shd w:val="clear" w:color="auto" w:fill="auto"/>
        <w:tabs>
          <w:tab w:val="left" w:pos="3710"/>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表3.4-5 地下水监测点与厂址相对位置</w:t>
      </w:r>
    </w:p>
    <w:tbl>
      <w:tblPr>
        <w:tblStyle w:val="21"/>
        <w:tblW w:w="8721"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8"/>
        <w:gridCol w:w="3223"/>
        <w:gridCol w:w="2180"/>
        <w:gridCol w:w="218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38" w:type="dxa"/>
            <w:noWrap w:val="0"/>
            <w:vAlign w:val="center"/>
          </w:tcPr>
          <w:p>
            <w:pPr>
              <w:overflowPunct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监测点</w:t>
            </w:r>
          </w:p>
        </w:tc>
        <w:tc>
          <w:tcPr>
            <w:tcW w:w="3223" w:type="dxa"/>
            <w:noWrap w:val="0"/>
            <w:vAlign w:val="center"/>
          </w:tcPr>
          <w:p>
            <w:pPr>
              <w:overflowPunct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名称</w:t>
            </w:r>
          </w:p>
        </w:tc>
        <w:tc>
          <w:tcPr>
            <w:tcW w:w="2180" w:type="dxa"/>
            <w:noWrap w:val="0"/>
            <w:vAlign w:val="center"/>
          </w:tcPr>
          <w:p>
            <w:pPr>
              <w:overflowPunct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方位</w:t>
            </w:r>
          </w:p>
        </w:tc>
        <w:tc>
          <w:tcPr>
            <w:tcW w:w="2180" w:type="dxa"/>
            <w:noWrap w:val="0"/>
            <w:vAlign w:val="center"/>
          </w:tcPr>
          <w:p>
            <w:pPr>
              <w:overflowPunct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距离（km）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38" w:type="dxa"/>
            <w:noWrap w:val="0"/>
            <w:vAlign w:val="center"/>
          </w:tcPr>
          <w:p>
            <w:pPr>
              <w:overflowPunct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color w:val="000000" w:themeColor="text1"/>
                <w:sz w:val="21"/>
                <w:szCs w:val="21"/>
                <w:vertAlign w:val="superscript"/>
                <w14:textFill>
                  <w14:solidFill>
                    <w14:schemeClr w14:val="tx1"/>
                  </w14:solidFill>
                </w14:textFill>
              </w:rPr>
              <w:t>#</w:t>
            </w:r>
          </w:p>
        </w:tc>
        <w:tc>
          <w:tcPr>
            <w:tcW w:w="3223" w:type="dxa"/>
            <w:noWrap w:val="0"/>
            <w:vAlign w:val="center"/>
          </w:tcPr>
          <w:p>
            <w:pPr>
              <w:overflowPunct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屠宰场</w:t>
            </w:r>
          </w:p>
        </w:tc>
        <w:tc>
          <w:tcPr>
            <w:tcW w:w="2180" w:type="dxa"/>
            <w:noWrap w:val="0"/>
            <w:vAlign w:val="center"/>
          </w:tcPr>
          <w:p>
            <w:pPr>
              <w:overflowPunct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w:t>
            </w:r>
          </w:p>
        </w:tc>
        <w:tc>
          <w:tcPr>
            <w:tcW w:w="2180" w:type="dxa"/>
            <w:noWrap w:val="0"/>
            <w:vAlign w:val="center"/>
          </w:tcPr>
          <w:p>
            <w:pPr>
              <w:overflowPunct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1864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38" w:type="dxa"/>
            <w:noWrap w:val="0"/>
            <w:vAlign w:val="center"/>
          </w:tcPr>
          <w:p>
            <w:pPr>
              <w:overflowPunct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color w:val="000000" w:themeColor="text1"/>
                <w:sz w:val="21"/>
                <w:szCs w:val="21"/>
                <w:vertAlign w:val="superscript"/>
                <w14:textFill>
                  <w14:solidFill>
                    <w14:schemeClr w14:val="tx1"/>
                  </w14:solidFill>
                </w14:textFill>
              </w:rPr>
              <w:t>#</w:t>
            </w:r>
          </w:p>
        </w:tc>
        <w:tc>
          <w:tcPr>
            <w:tcW w:w="3223" w:type="dxa"/>
            <w:noWrap w:val="0"/>
            <w:vAlign w:val="center"/>
          </w:tcPr>
          <w:p>
            <w:pPr>
              <w:overflowPunct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兴农湖</w:t>
            </w:r>
          </w:p>
        </w:tc>
        <w:tc>
          <w:tcPr>
            <w:tcW w:w="2180" w:type="dxa"/>
            <w:noWrap w:val="0"/>
            <w:vAlign w:val="center"/>
          </w:tcPr>
          <w:p>
            <w:pPr>
              <w:overflowPunct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WN</w:t>
            </w:r>
          </w:p>
        </w:tc>
        <w:tc>
          <w:tcPr>
            <w:tcW w:w="2180" w:type="dxa"/>
            <w:noWrap w:val="0"/>
            <w:vAlign w:val="center"/>
          </w:tcPr>
          <w:p>
            <w:pPr>
              <w:overflowPunct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1743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138" w:type="dxa"/>
            <w:noWrap w:val="0"/>
            <w:vAlign w:val="center"/>
          </w:tcPr>
          <w:p>
            <w:pPr>
              <w:overflowPunct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r>
              <w:rPr>
                <w:color w:val="000000" w:themeColor="text1"/>
                <w:sz w:val="21"/>
                <w:szCs w:val="21"/>
                <w:vertAlign w:val="superscript"/>
                <w14:textFill>
                  <w14:solidFill>
                    <w14:schemeClr w14:val="tx1"/>
                  </w14:solidFill>
                </w14:textFill>
              </w:rPr>
              <w:t>#</w:t>
            </w:r>
          </w:p>
        </w:tc>
        <w:tc>
          <w:tcPr>
            <w:tcW w:w="3223" w:type="dxa"/>
            <w:noWrap w:val="0"/>
            <w:vAlign w:val="center"/>
          </w:tcPr>
          <w:p>
            <w:pPr>
              <w:overflowPunct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污泥处理站</w:t>
            </w:r>
          </w:p>
        </w:tc>
        <w:tc>
          <w:tcPr>
            <w:tcW w:w="2180" w:type="dxa"/>
            <w:noWrap w:val="0"/>
            <w:vAlign w:val="center"/>
          </w:tcPr>
          <w:p>
            <w:pPr>
              <w:overflowPunct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180" w:type="dxa"/>
            <w:noWrap w:val="0"/>
            <w:vAlign w:val="center"/>
          </w:tcPr>
          <w:p>
            <w:pPr>
              <w:overflowPunct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bl>
    <w:p>
      <w:pPr>
        <w:pStyle w:val="6"/>
        <w:keepNext/>
        <w:keepLines/>
        <w:pageBreakBefore w:val="0"/>
        <w:widowControl w:val="0"/>
        <w:shd w:val="clear" w:color="auto" w:fill="auto"/>
        <w:kinsoku/>
        <w:wordWrap/>
        <w:overflowPunct/>
        <w:topLinePunct w:val="0"/>
        <w:autoSpaceDE/>
        <w:autoSpaceDN/>
        <w:bidi w:val="0"/>
        <w:adjustRightInd/>
        <w:snapToGrid/>
        <w:spacing w:before="361" w:beforeLines="100" w:after="0" w:line="360" w:lineRule="auto"/>
        <w:textAlignment w:val="auto"/>
        <w:rPr>
          <w:rFonts w:hint="default" w:ascii="Times New Roman" w:hAnsi="Times New Roman" w:eastAsia="宋体" w:cs="Times New Roman"/>
          <w:b/>
          <w:bCs w:val="0"/>
          <w:color w:val="000000" w:themeColor="text1"/>
          <w:sz w:val="24"/>
          <w:szCs w:val="24"/>
          <w14:textFill>
            <w14:solidFill>
              <w14:schemeClr w14:val="tx1"/>
            </w14:solidFill>
          </w14:textFill>
        </w:rPr>
      </w:pPr>
      <w:bookmarkStart w:id="188" w:name="_Toc303938864"/>
      <w:r>
        <w:rPr>
          <w:rFonts w:hint="default" w:ascii="Times New Roman" w:hAnsi="Times New Roman" w:eastAsia="宋体" w:cs="Times New Roman"/>
          <w:b/>
          <w:bCs w:val="0"/>
          <w:color w:val="000000" w:themeColor="text1"/>
          <w:sz w:val="24"/>
          <w:szCs w:val="24"/>
          <w14:textFill>
            <w14:solidFill>
              <w14:schemeClr w14:val="tx1"/>
            </w14:solidFill>
          </w14:textFill>
        </w:rPr>
        <w:t>3.4.2.2 监测方法</w:t>
      </w:r>
      <w:bookmarkEnd w:id="188"/>
    </w:p>
    <w:p>
      <w:pPr>
        <w:overflowPunct w:val="0"/>
        <w:spacing w:line="360" w:lineRule="auto"/>
        <w:ind w:firstLine="472" w:firstLineChars="200"/>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监测分析方法按《地下水环境监测技术规范》(HJ/T164-2004)、《地下水质量标准》(GB/T14848-2017)中的有关规定执行。</w:t>
      </w:r>
    </w:p>
    <w:p>
      <w:pPr>
        <w:pStyle w:val="6"/>
        <w:keepNext/>
        <w:keepLines/>
        <w:pageBreakBefore w:val="0"/>
        <w:widowControl w:val="0"/>
        <w:shd w:val="clear" w:color="auto" w:fill="auto"/>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val="0"/>
          <w:color w:val="000000" w:themeColor="text1"/>
          <w:sz w:val="24"/>
          <w:szCs w:val="24"/>
          <w14:textFill>
            <w14:solidFill>
              <w14:schemeClr w14:val="tx1"/>
            </w14:solidFill>
          </w14:textFill>
        </w:rPr>
      </w:pPr>
      <w:bookmarkStart w:id="189" w:name="_Toc303938865"/>
      <w:r>
        <w:rPr>
          <w:rFonts w:hint="default" w:ascii="Times New Roman" w:hAnsi="Times New Roman" w:eastAsia="宋体" w:cs="Times New Roman"/>
          <w:b/>
          <w:bCs w:val="0"/>
          <w:color w:val="000000" w:themeColor="text1"/>
          <w:sz w:val="24"/>
          <w:szCs w:val="24"/>
          <w14:textFill>
            <w14:solidFill>
              <w14:schemeClr w14:val="tx1"/>
            </w14:solidFill>
          </w14:textFill>
        </w:rPr>
        <w:t>3.4.2.3 监测</w:t>
      </w:r>
      <w:bookmarkEnd w:id="189"/>
      <w:r>
        <w:rPr>
          <w:rFonts w:hint="default" w:ascii="Times New Roman" w:hAnsi="Times New Roman" w:eastAsia="宋体" w:cs="Times New Roman"/>
          <w:b/>
          <w:bCs w:val="0"/>
          <w:color w:val="000000" w:themeColor="text1"/>
          <w:sz w:val="24"/>
          <w:szCs w:val="24"/>
          <w14:textFill>
            <w14:solidFill>
              <w14:schemeClr w14:val="tx1"/>
            </w14:solidFill>
          </w14:textFill>
        </w:rPr>
        <w:t>频率及周期</w:t>
      </w:r>
    </w:p>
    <w:p>
      <w:pPr>
        <w:overflowPunct w:val="0"/>
        <w:spacing w:line="360" w:lineRule="auto"/>
        <w:ind w:firstLine="472" w:firstLineChars="200"/>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监测2天，每天取样1次。按照国家地下水环境监测技术规范的要求进行监测和统计数据。</w:t>
      </w:r>
    </w:p>
    <w:p>
      <w:pPr>
        <w:pStyle w:val="6"/>
        <w:keepNext/>
        <w:keepLines/>
        <w:pageBreakBefore w:val="0"/>
        <w:widowControl w:val="0"/>
        <w:shd w:val="clear" w:color="auto" w:fill="auto"/>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3.4.2.4 监测结果</w:t>
      </w:r>
    </w:p>
    <w:p>
      <w:pPr>
        <w:overflowPunct w:val="0"/>
        <w:spacing w:line="360" w:lineRule="auto"/>
        <w:ind w:firstLine="472" w:firstLineChars="200"/>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地下水监测数据，见表3.4-6。</w:t>
      </w:r>
    </w:p>
    <w:p>
      <w:pPr>
        <w:pStyle w:val="44"/>
        <w:keepNext w:val="0"/>
        <w:keepLines w:val="0"/>
        <w:pageBreakBefore w:val="0"/>
        <w:widowControl w:val="0"/>
        <w:shd w:val="clear" w:color="auto" w:fill="auto"/>
        <w:tabs>
          <w:tab w:val="left" w:pos="3710"/>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p>
    <w:p>
      <w:pPr>
        <w:pStyle w:val="44"/>
        <w:keepNext w:val="0"/>
        <w:keepLines w:val="0"/>
        <w:pageBreakBefore w:val="0"/>
        <w:widowControl w:val="0"/>
        <w:shd w:val="clear" w:color="auto" w:fill="auto"/>
        <w:tabs>
          <w:tab w:val="left" w:pos="3710"/>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表3.4-6    地下水监测结果（mg/L）</w:t>
      </w:r>
    </w:p>
    <w:tbl>
      <w:tblPr>
        <w:tblStyle w:val="21"/>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090"/>
        <w:gridCol w:w="1090"/>
        <w:gridCol w:w="1090"/>
        <w:gridCol w:w="1090"/>
        <w:gridCol w:w="1089"/>
        <w:gridCol w:w="1091"/>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vMerge w:val="restart"/>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pacing w:val="-2"/>
                <w:sz w:val="21"/>
                <w:szCs w:val="21"/>
                <w14:textFill>
                  <w14:solidFill>
                    <w14:schemeClr w14:val="tx1"/>
                  </w14:solidFill>
                </w14:textFill>
              </w:rPr>
              <w:t>序号</w:t>
            </w:r>
          </w:p>
        </w:tc>
        <w:tc>
          <w:tcPr>
            <w:tcW w:w="1090" w:type="dxa"/>
            <w:vMerge w:val="restart"/>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pacing w:val="-2"/>
                <w:sz w:val="21"/>
                <w:szCs w:val="21"/>
                <w14:textFill>
                  <w14:solidFill>
                    <w14:schemeClr w14:val="tx1"/>
                  </w14:solidFill>
                </w14:textFill>
              </w:rPr>
              <w:t>监测项目</w:t>
            </w:r>
          </w:p>
        </w:tc>
        <w:tc>
          <w:tcPr>
            <w:tcW w:w="6541" w:type="dxa"/>
            <w:gridSpan w:val="6"/>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pacing w:val="-2"/>
                <w:sz w:val="21"/>
                <w:szCs w:val="21"/>
                <w14:textFill>
                  <w14:solidFill>
                    <w14:schemeClr w14:val="tx1"/>
                  </w14:solidFill>
                </w14:textFill>
              </w:rPr>
              <w:t>监测点位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vMerge w:val="continue"/>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p>
        </w:tc>
        <w:tc>
          <w:tcPr>
            <w:tcW w:w="1090" w:type="dxa"/>
            <w:vMerge w:val="continue"/>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p>
        </w:tc>
        <w:tc>
          <w:tcPr>
            <w:tcW w:w="2180" w:type="dxa"/>
            <w:gridSpan w:val="2"/>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pacing w:val="-2"/>
                <w:sz w:val="21"/>
                <w:szCs w:val="21"/>
                <w14:textFill>
                  <w14:solidFill>
                    <w14:schemeClr w14:val="tx1"/>
                  </w14:solidFill>
                </w14:textFill>
              </w:rPr>
              <w:t>1#</w:t>
            </w:r>
          </w:p>
        </w:tc>
        <w:tc>
          <w:tcPr>
            <w:tcW w:w="2179" w:type="dxa"/>
            <w:gridSpan w:val="2"/>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pacing w:val="-2"/>
                <w:sz w:val="21"/>
                <w:szCs w:val="21"/>
                <w14:textFill>
                  <w14:solidFill>
                    <w14:schemeClr w14:val="tx1"/>
                  </w14:solidFill>
                </w14:textFill>
              </w:rPr>
              <w:t>2#</w:t>
            </w:r>
          </w:p>
        </w:tc>
        <w:tc>
          <w:tcPr>
            <w:tcW w:w="2182" w:type="dxa"/>
            <w:gridSpan w:val="2"/>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pacing w:val="-2"/>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vMerge w:val="continue"/>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p>
        </w:tc>
        <w:tc>
          <w:tcPr>
            <w:tcW w:w="1090" w:type="dxa"/>
            <w:vMerge w:val="continue"/>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7月9日</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7月10日</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7月9日</w:t>
            </w:r>
          </w:p>
        </w:tc>
        <w:tc>
          <w:tcPr>
            <w:tcW w:w="1089"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7月10日</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7月9日</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pH</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8.45</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8.42</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8.47</w:t>
            </w:r>
          </w:p>
        </w:tc>
        <w:tc>
          <w:tcPr>
            <w:tcW w:w="1089"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8.41</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8.35</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溶解性总固体</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158</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156</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158</w:t>
            </w:r>
          </w:p>
        </w:tc>
        <w:tc>
          <w:tcPr>
            <w:tcW w:w="1089"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140</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总硬度</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104</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106</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106</w:t>
            </w:r>
          </w:p>
        </w:tc>
        <w:tc>
          <w:tcPr>
            <w:tcW w:w="1089"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105</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104</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硝酸盐</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&lt;0.02</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&lt;0.02</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0.02</w:t>
            </w:r>
          </w:p>
        </w:tc>
        <w:tc>
          <w:tcPr>
            <w:tcW w:w="1089"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0.02</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0.02</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亚硝酸盐</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&lt;0.001</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&lt;0.001</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&lt;0.001</w:t>
            </w:r>
          </w:p>
        </w:tc>
        <w:tc>
          <w:tcPr>
            <w:tcW w:w="1089"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&lt;0.001</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&lt;0.001</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氨氮</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0.047</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0.045</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0.034</w:t>
            </w:r>
          </w:p>
        </w:tc>
        <w:tc>
          <w:tcPr>
            <w:tcW w:w="1089"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0.026</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0.029</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硫酸盐</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22.8</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22.7</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35.3</w:t>
            </w:r>
          </w:p>
        </w:tc>
        <w:tc>
          <w:tcPr>
            <w:tcW w:w="1089"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35.7</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33.3</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氯化物</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17.0</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17.0</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17.8</w:t>
            </w:r>
          </w:p>
        </w:tc>
        <w:tc>
          <w:tcPr>
            <w:tcW w:w="1089"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17.3</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17.8</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挥发酚</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0.0008</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0.0005</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0.0010</w:t>
            </w:r>
          </w:p>
        </w:tc>
        <w:tc>
          <w:tcPr>
            <w:tcW w:w="1089"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0.0009</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0.0013</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六价铬</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0.004</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0.004</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0.005</w:t>
            </w:r>
          </w:p>
        </w:tc>
        <w:tc>
          <w:tcPr>
            <w:tcW w:w="1089"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0.004</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0.005</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氰化物</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&lt;0.004</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&lt;0.004</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&lt;0.004</w:t>
            </w:r>
          </w:p>
        </w:tc>
        <w:tc>
          <w:tcPr>
            <w:tcW w:w="1089"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&lt;0.004</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&lt;0.004</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砷</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&lt;0.007</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&lt;0.007</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&lt;0.007</w:t>
            </w:r>
          </w:p>
        </w:tc>
        <w:tc>
          <w:tcPr>
            <w:tcW w:w="1089"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&lt;0.007</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&lt;0.007</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汞(μg/L)</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&lt;0.01</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&lt;0.01</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&lt;0.01</w:t>
            </w:r>
          </w:p>
        </w:tc>
        <w:tc>
          <w:tcPr>
            <w:tcW w:w="1089"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&lt;0.01</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&lt;0.01</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14</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*菌落总数</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89"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*总大肠菌群</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90"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89"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91" w:type="dxa"/>
            <w:noWrap w:val="0"/>
            <w:vAlign w:val="center"/>
          </w:tcPr>
          <w:p>
            <w:pPr>
              <w:overflowPunct w:val="0"/>
              <w:spacing w:line="320" w:lineRule="exact"/>
              <w:jc w:val="center"/>
              <w:rPr>
                <w:rFonts w:hint="default" w:ascii="Times New Roman" w:hAnsi="Times New Roman" w:cs="Times New Roman"/>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r>
    </w:tbl>
    <w:p>
      <w:pPr>
        <w:overflowPunct w:val="0"/>
        <w:spacing w:line="320" w:lineRule="exact"/>
        <w:rPr>
          <w:color w:val="000000" w:themeColor="text1"/>
          <w:spacing w:val="-2"/>
          <w:sz w:val="18"/>
          <w:szCs w:val="18"/>
          <w14:textFill>
            <w14:solidFill>
              <w14:schemeClr w14:val="tx1"/>
            </w14:solidFill>
          </w14:textFill>
        </w:rPr>
      </w:pPr>
      <w:r>
        <w:rPr>
          <w:color w:val="000000" w:themeColor="text1"/>
          <w:spacing w:val="-2"/>
          <w:sz w:val="18"/>
          <w:szCs w:val="18"/>
          <w14:textFill>
            <w14:solidFill>
              <w14:schemeClr w14:val="tx1"/>
            </w14:solidFill>
          </w14:textFill>
        </w:rPr>
        <w:t>单位—pH无量纲、其他：mg/L。</w:t>
      </w:r>
    </w:p>
    <w:p>
      <w:pPr>
        <w:pStyle w:val="6"/>
        <w:keepNext/>
        <w:keepLines/>
        <w:pageBreakBefore w:val="0"/>
        <w:widowControl w:val="0"/>
        <w:shd w:val="clear" w:color="auto" w:fill="auto"/>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val="0"/>
          <w:color w:val="000000" w:themeColor="text1"/>
          <w:sz w:val="24"/>
          <w:szCs w:val="24"/>
          <w14:textFill>
            <w14:solidFill>
              <w14:schemeClr w14:val="tx1"/>
            </w14:solidFill>
          </w14:textFill>
        </w:rPr>
      </w:pPr>
      <w:bookmarkStart w:id="190" w:name="_Toc303938866"/>
      <w:r>
        <w:rPr>
          <w:rFonts w:hint="default" w:ascii="Times New Roman" w:hAnsi="Times New Roman" w:eastAsia="宋体" w:cs="Times New Roman"/>
          <w:b/>
          <w:bCs w:val="0"/>
          <w:color w:val="000000" w:themeColor="text1"/>
          <w:sz w:val="24"/>
          <w:szCs w:val="24"/>
          <w14:textFill>
            <w14:solidFill>
              <w14:schemeClr w14:val="tx1"/>
            </w14:solidFill>
          </w14:textFill>
        </w:rPr>
        <w:t>3.4.2.5 评价标准</w:t>
      </w:r>
      <w:bookmarkEnd w:id="190"/>
      <w:r>
        <w:rPr>
          <w:rFonts w:hint="default" w:ascii="Times New Roman" w:hAnsi="Times New Roman" w:eastAsia="宋体" w:cs="Times New Roman"/>
          <w:b/>
          <w:bCs w:val="0"/>
          <w:color w:val="000000" w:themeColor="text1"/>
          <w:sz w:val="24"/>
          <w:szCs w:val="24"/>
          <w14:textFill>
            <w14:solidFill>
              <w14:schemeClr w14:val="tx1"/>
            </w14:solidFill>
          </w14:textFill>
        </w:rPr>
        <w:t>及评价方法</w:t>
      </w:r>
    </w:p>
    <w:p>
      <w:pPr>
        <w:overflowPunct w:val="0"/>
        <w:spacing w:line="360" w:lineRule="auto"/>
        <w:ind w:firstLine="645"/>
        <w:rPr>
          <w:color w:val="000000" w:themeColor="text1"/>
          <w14:textFill>
            <w14:solidFill>
              <w14:schemeClr w14:val="tx1"/>
            </w14:solidFill>
          </w14:textFill>
        </w:rPr>
      </w:pPr>
      <w:r>
        <w:rPr>
          <w:color w:val="000000" w:themeColor="text1"/>
          <w:sz w:val="24"/>
          <w14:textFill>
            <w14:solidFill>
              <w14:schemeClr w14:val="tx1"/>
            </w14:solidFill>
          </w14:textFill>
        </w:rPr>
        <w:t>选用所有调查项目作为评价因子。评价标准执行</w:t>
      </w:r>
      <w:r>
        <w:rPr>
          <w:color w:val="000000" w:themeColor="text1"/>
          <w:kern w:val="18"/>
          <w:sz w:val="24"/>
          <w:szCs w:val="24"/>
          <w14:textFill>
            <w14:solidFill>
              <w14:schemeClr w14:val="tx1"/>
            </w14:solidFill>
          </w14:textFill>
        </w:rPr>
        <w:t>《地下水质量标准》(GB/T14848-2017)中的</w:t>
      </w:r>
      <w:r>
        <w:rPr>
          <w:rFonts w:ascii="宋体"/>
          <w:color w:val="000000" w:themeColor="text1"/>
          <w:kern w:val="18"/>
          <w:sz w:val="24"/>
          <w:szCs w:val="24"/>
          <w14:textFill>
            <w14:solidFill>
              <w14:schemeClr w14:val="tx1"/>
            </w14:solidFill>
          </w14:textFill>
        </w:rPr>
        <w:t>Ⅲ</w:t>
      </w:r>
      <w:r>
        <w:rPr>
          <w:color w:val="000000" w:themeColor="text1"/>
          <w:kern w:val="18"/>
          <w:sz w:val="24"/>
          <w:szCs w:val="24"/>
          <w14:textFill>
            <w14:solidFill>
              <w14:schemeClr w14:val="tx1"/>
            </w14:solidFill>
          </w14:textFill>
        </w:rPr>
        <w:t>类标准。</w:t>
      </w:r>
    </w:p>
    <w:p>
      <w:pPr>
        <w:pStyle w:val="11"/>
        <w:overflowPunct w:val="0"/>
        <w:adjustRightInd/>
        <w:spacing w:after="0" w:line="360" w:lineRule="auto"/>
        <w:ind w:firstLine="240" w:firstLineChars="100"/>
        <w:rPr>
          <w:color w:val="000000" w:themeColor="text1"/>
          <w:sz w:val="24"/>
          <w14:textFill>
            <w14:solidFill>
              <w14:schemeClr w14:val="tx1"/>
            </w14:solidFill>
          </w14:textFill>
        </w:rPr>
      </w:pPr>
      <w:r>
        <w:rPr>
          <w:color w:val="000000" w:themeColor="text1"/>
          <w:sz w:val="24"/>
          <w14:textFill>
            <w14:solidFill>
              <w14:schemeClr w14:val="tx1"/>
            </w14:solidFill>
          </w14:textFill>
        </w:rPr>
        <w:t>评价方法采用单项标准指数法评价，公式如下：</w:t>
      </w:r>
    </w:p>
    <w:p>
      <w:pPr>
        <w:overflowPunct w:val="0"/>
        <w:spacing w:line="360" w:lineRule="auto"/>
        <w:ind w:firstLine="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P</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oi</w:t>
      </w:r>
    </w:p>
    <w:p>
      <w:pPr>
        <w:overflowPunct w:val="0"/>
        <w:spacing w:line="360" w:lineRule="auto"/>
        <w:ind w:firstLine="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式中：P</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—某监测点i污染物污染指数;</w:t>
      </w:r>
    </w:p>
    <w:p>
      <w:pPr>
        <w:overflowPunct w:val="0"/>
        <w:spacing w:line="360" w:lineRule="auto"/>
        <w:ind w:firstLine="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C</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—第i种法染物测浓度值，单位mg/L；</w:t>
      </w:r>
    </w:p>
    <w:p>
      <w:pPr>
        <w:overflowPunct w:val="0"/>
        <w:spacing w:line="360" w:lineRule="auto"/>
        <w:ind w:firstLine="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C</w:t>
      </w:r>
      <w:r>
        <w:rPr>
          <w:color w:val="000000" w:themeColor="text1"/>
          <w:sz w:val="24"/>
          <w:vertAlign w:val="subscript"/>
          <w14:textFill>
            <w14:solidFill>
              <w14:schemeClr w14:val="tx1"/>
            </w14:solidFill>
          </w14:textFill>
        </w:rPr>
        <w:t>oi</w:t>
      </w:r>
      <w:r>
        <w:rPr>
          <w:color w:val="000000" w:themeColor="text1"/>
          <w:sz w:val="24"/>
          <w14:textFill>
            <w14:solidFill>
              <w14:schemeClr w14:val="tx1"/>
            </w14:solidFill>
          </w14:textFill>
        </w:rPr>
        <w:t>—第i种污染物评价标准，单位mg/L。</w:t>
      </w:r>
    </w:p>
    <w:p>
      <w:pPr>
        <w:overflowPunct w:val="0"/>
        <w:spacing w:line="360" w:lineRule="auto"/>
        <w:ind w:firstLine="600" w:firstLineChars="250"/>
        <w:rPr>
          <w:color w:val="000000" w:themeColor="text1"/>
          <w:sz w:val="24"/>
          <w14:textFill>
            <w14:solidFill>
              <w14:schemeClr w14:val="tx1"/>
            </w14:solidFill>
          </w14:textFill>
        </w:rPr>
      </w:pPr>
      <w:r>
        <w:rPr>
          <w:color w:val="000000" w:themeColor="text1"/>
          <w:sz w:val="24"/>
          <w14:textFill>
            <w14:solidFill>
              <w14:schemeClr w14:val="tx1"/>
            </w14:solidFill>
          </w14:textFill>
        </w:rPr>
        <w:t>pH的单项标准指数表达式为：</w:t>
      </w:r>
    </w:p>
    <w:p>
      <w:pPr>
        <w:overflowPunct w:val="0"/>
        <w:spacing w:line="360" w:lineRule="auto"/>
        <w:ind w:firstLine="2040" w:firstLineChars="850"/>
        <w:rPr>
          <w:color w:val="000000" w:themeColor="text1"/>
          <w:sz w:val="24"/>
          <w14:textFill>
            <w14:solidFill>
              <w14:schemeClr w14:val="tx1"/>
            </w14:solidFill>
          </w14:textFill>
        </w:rPr>
      </w:pPr>
      <w:r>
        <w:rPr>
          <w:color w:val="000000" w:themeColor="text1"/>
          <w:sz w:val="24"/>
          <w14:textFill>
            <w14:solidFill>
              <w14:schemeClr w14:val="tx1"/>
            </w14:solidFill>
          </w14:textFill>
        </w:rPr>
        <w:t>pH</w:t>
      </w:r>
      <w:r>
        <w:rPr>
          <w:color w:val="000000" w:themeColor="text1"/>
          <w:sz w:val="24"/>
          <w:vertAlign w:val="subscript"/>
          <w14:textFill>
            <w14:solidFill>
              <w14:schemeClr w14:val="tx1"/>
            </w14:solidFill>
          </w14:textFill>
        </w:rPr>
        <w:t>j</w:t>
      </w:r>
      <w:r>
        <w:rPr>
          <w:color w:val="000000" w:themeColor="text1"/>
          <w:sz w:val="24"/>
          <w14:textFill>
            <w14:solidFill>
              <w14:schemeClr w14:val="tx1"/>
            </w14:solidFill>
          </w14:textFill>
        </w:rPr>
        <w:t xml:space="preserve">≦7.0时；  </w:t>
      </w:r>
      <w:r>
        <w:rPr>
          <w:color w:val="000000" w:themeColor="text1"/>
          <w:sz w:val="24"/>
          <w14:textFill>
            <w14:solidFill>
              <w14:schemeClr w14:val="tx1"/>
            </w14:solidFill>
          </w14:textFill>
        </w:rPr>
        <w:drawing>
          <wp:inline distT="0" distB="0" distL="114300" distR="114300">
            <wp:extent cx="1216660" cy="461010"/>
            <wp:effectExtent l="0" t="0" r="0" b="158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0"/>
                    <a:stretch>
                      <a:fillRect/>
                    </a:stretch>
                  </pic:blipFill>
                  <pic:spPr>
                    <a:xfrm>
                      <a:off x="0" y="0"/>
                      <a:ext cx="1216660" cy="461010"/>
                    </a:xfrm>
                    <a:prstGeom prst="rect">
                      <a:avLst/>
                    </a:prstGeom>
                    <a:noFill/>
                    <a:ln>
                      <a:noFill/>
                    </a:ln>
                  </pic:spPr>
                </pic:pic>
              </a:graphicData>
            </a:graphic>
          </wp:inline>
        </w:drawing>
      </w:r>
    </w:p>
    <w:p>
      <w:pPr>
        <w:overflowPunct w:val="0"/>
        <w:spacing w:line="360" w:lineRule="auto"/>
        <w:ind w:firstLine="2040" w:firstLineChars="850"/>
        <w:rPr>
          <w:color w:val="000000" w:themeColor="text1"/>
          <w:sz w:val="24"/>
          <w14:textFill>
            <w14:solidFill>
              <w14:schemeClr w14:val="tx1"/>
            </w14:solidFill>
          </w14:textFill>
        </w:rPr>
      </w:pPr>
      <w:r>
        <w:rPr>
          <w:color w:val="000000" w:themeColor="text1"/>
          <w:sz w:val="24"/>
          <w14:textFill>
            <w14:solidFill>
              <w14:schemeClr w14:val="tx1"/>
            </w14:solidFill>
          </w14:textFill>
        </w:rPr>
        <w:t>pH</w:t>
      </w:r>
      <w:r>
        <w:rPr>
          <w:color w:val="000000" w:themeColor="text1"/>
          <w:sz w:val="24"/>
          <w:vertAlign w:val="subscript"/>
          <w14:textFill>
            <w14:solidFill>
              <w14:schemeClr w14:val="tx1"/>
            </w14:solidFill>
          </w14:textFill>
        </w:rPr>
        <w:t>j</w:t>
      </w:r>
      <w:r>
        <w:rPr>
          <w:color w:val="000000" w:themeColor="text1"/>
          <w:sz w:val="24"/>
          <w14:textFill>
            <w14:solidFill>
              <w14:schemeClr w14:val="tx1"/>
            </w14:solidFill>
          </w14:textFill>
        </w:rPr>
        <w:t xml:space="preserve">＞7.0时；  </w:t>
      </w:r>
      <w:r>
        <w:rPr>
          <w:color w:val="000000" w:themeColor="text1"/>
          <w:sz w:val="24"/>
          <w14:textFill>
            <w14:solidFill>
              <w14:schemeClr w14:val="tx1"/>
            </w14:solidFill>
          </w14:textFill>
        </w:rPr>
        <w:drawing>
          <wp:inline distT="0" distB="0" distL="114300" distR="114300">
            <wp:extent cx="1216660" cy="461010"/>
            <wp:effectExtent l="0" t="0" r="2540" b="158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1"/>
                    <a:stretch>
                      <a:fillRect/>
                    </a:stretch>
                  </pic:blipFill>
                  <pic:spPr>
                    <a:xfrm>
                      <a:off x="0" y="0"/>
                      <a:ext cx="1216660" cy="461010"/>
                    </a:xfrm>
                    <a:prstGeom prst="rect">
                      <a:avLst/>
                    </a:prstGeom>
                    <a:noFill/>
                    <a:ln>
                      <a:noFill/>
                    </a:ln>
                  </pic:spPr>
                </pic:pic>
              </a:graphicData>
            </a:graphic>
          </wp:inline>
        </w:drawing>
      </w:r>
    </w:p>
    <w:p>
      <w:pPr>
        <w:overflowPunct w:val="0"/>
        <w:spacing w:line="360" w:lineRule="auto"/>
        <w:ind w:firstLine="600" w:firstLineChars="250"/>
        <w:rPr>
          <w:color w:val="000000" w:themeColor="text1"/>
          <w:sz w:val="24"/>
          <w14:textFill>
            <w14:solidFill>
              <w14:schemeClr w14:val="tx1"/>
            </w14:solidFill>
          </w14:textFill>
        </w:rPr>
      </w:pPr>
      <w:r>
        <w:rPr>
          <w:color w:val="000000" w:themeColor="text1"/>
          <w:sz w:val="24"/>
          <w14:textFill>
            <w14:solidFill>
              <w14:schemeClr w14:val="tx1"/>
            </w14:solidFill>
          </w14:textFill>
        </w:rPr>
        <w:t>式中： S</w:t>
      </w:r>
      <w:r>
        <w:rPr>
          <w:color w:val="000000" w:themeColor="text1"/>
          <w:sz w:val="24"/>
          <w:vertAlign w:val="subscript"/>
          <w14:textFill>
            <w14:solidFill>
              <w14:schemeClr w14:val="tx1"/>
            </w14:solidFill>
          </w14:textFill>
        </w:rPr>
        <w:t>pH,j</w:t>
      </w:r>
      <w:r>
        <w:rPr>
          <w:color w:val="000000" w:themeColor="text1"/>
          <w:sz w:val="24"/>
          <w14:textFill>
            <w14:solidFill>
              <w14:schemeClr w14:val="tx1"/>
            </w14:solidFill>
          </w14:textFill>
        </w:rPr>
        <w:t>—pH标准指数；</w:t>
      </w:r>
    </w:p>
    <w:p>
      <w:pPr>
        <w:overflowPunct w:val="0"/>
        <w:spacing w:line="360" w:lineRule="auto"/>
        <w:ind w:firstLine="1440" w:firstLineChars="600"/>
        <w:rPr>
          <w:color w:val="000000" w:themeColor="text1"/>
          <w:sz w:val="24"/>
          <w14:textFill>
            <w14:solidFill>
              <w14:schemeClr w14:val="tx1"/>
            </w14:solidFill>
          </w14:textFill>
        </w:rPr>
      </w:pPr>
      <w:r>
        <w:rPr>
          <w:color w:val="000000" w:themeColor="text1"/>
          <w:sz w:val="24"/>
          <w14:textFill>
            <w14:solidFill>
              <w14:schemeClr w14:val="tx1"/>
            </w14:solidFill>
          </w14:textFill>
        </w:rPr>
        <w:t>pH</w:t>
      </w:r>
      <w:r>
        <w:rPr>
          <w:color w:val="000000" w:themeColor="text1"/>
          <w:sz w:val="24"/>
          <w:vertAlign w:val="subscript"/>
          <w14:textFill>
            <w14:solidFill>
              <w14:schemeClr w14:val="tx1"/>
            </w14:solidFill>
          </w14:textFill>
        </w:rPr>
        <w:t>j</w:t>
      </w:r>
      <w:r>
        <w:rPr>
          <w:color w:val="000000" w:themeColor="text1"/>
          <w:sz w:val="24"/>
          <w14:textFill>
            <w14:solidFill>
              <w14:schemeClr w14:val="tx1"/>
            </w14:solidFill>
          </w14:textFill>
        </w:rPr>
        <w:t>—j点实测pH值；</w:t>
      </w:r>
    </w:p>
    <w:p>
      <w:pPr>
        <w:overflowPunct w:val="0"/>
        <w:spacing w:line="360" w:lineRule="auto"/>
        <w:ind w:firstLine="1440" w:firstLineChars="600"/>
        <w:rPr>
          <w:color w:val="000000" w:themeColor="text1"/>
          <w:sz w:val="24"/>
          <w14:textFill>
            <w14:solidFill>
              <w14:schemeClr w14:val="tx1"/>
            </w14:solidFill>
          </w14:textFill>
        </w:rPr>
      </w:pPr>
      <w:r>
        <w:rPr>
          <w:color w:val="000000" w:themeColor="text1"/>
          <w:sz w:val="24"/>
          <w14:textFill>
            <w14:solidFill>
              <w14:schemeClr w14:val="tx1"/>
            </w14:solidFill>
          </w14:textFill>
        </w:rPr>
        <w:t>pH</w:t>
      </w:r>
      <w:r>
        <w:rPr>
          <w:color w:val="000000" w:themeColor="text1"/>
          <w:sz w:val="24"/>
          <w:vertAlign w:val="subscript"/>
          <w14:textFill>
            <w14:solidFill>
              <w14:schemeClr w14:val="tx1"/>
            </w14:solidFill>
          </w14:textFill>
        </w:rPr>
        <w:t>sd</w:t>
      </w:r>
      <w:r>
        <w:rPr>
          <w:color w:val="000000" w:themeColor="text1"/>
          <w:sz w:val="24"/>
          <w14:textFill>
            <w14:solidFill>
              <w14:schemeClr w14:val="tx1"/>
            </w14:solidFill>
          </w14:textFill>
        </w:rPr>
        <w:t>—标准中的pH值的下限值；</w:t>
      </w:r>
    </w:p>
    <w:p>
      <w:pPr>
        <w:overflowPunct w:val="0"/>
        <w:spacing w:line="360" w:lineRule="auto"/>
        <w:ind w:firstLine="1440" w:firstLineChars="600"/>
        <w:rPr>
          <w:color w:val="000000" w:themeColor="text1"/>
          <w:sz w:val="24"/>
          <w14:textFill>
            <w14:solidFill>
              <w14:schemeClr w14:val="tx1"/>
            </w14:solidFill>
          </w14:textFill>
        </w:rPr>
      </w:pPr>
      <w:r>
        <w:rPr>
          <w:color w:val="000000" w:themeColor="text1"/>
          <w:sz w:val="24"/>
          <w14:textFill>
            <w14:solidFill>
              <w14:schemeClr w14:val="tx1"/>
            </w14:solidFill>
          </w14:textFill>
        </w:rPr>
        <w:t>pH</w:t>
      </w:r>
      <w:r>
        <w:rPr>
          <w:color w:val="000000" w:themeColor="text1"/>
          <w:sz w:val="24"/>
          <w:vertAlign w:val="subscript"/>
          <w14:textFill>
            <w14:solidFill>
              <w14:schemeClr w14:val="tx1"/>
            </w14:solidFill>
          </w14:textFill>
        </w:rPr>
        <w:t>SU</w:t>
      </w:r>
      <w:r>
        <w:rPr>
          <w:color w:val="000000" w:themeColor="text1"/>
          <w:sz w:val="24"/>
          <w14:textFill>
            <w14:solidFill>
              <w14:schemeClr w14:val="tx1"/>
            </w14:solidFill>
          </w14:textFill>
        </w:rPr>
        <w:t>—标准中的pH值的上限值。</w:t>
      </w:r>
    </w:p>
    <w:p>
      <w:pPr>
        <w:overflowPunct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当标准指数&lt;1时，表示环境中污染物浓度不超标；当标准指数&gt;1时，表示该污染物浓度超过评价标准。</w:t>
      </w:r>
    </w:p>
    <w:p>
      <w:pPr>
        <w:pStyle w:val="6"/>
        <w:keepNext/>
        <w:keepLines/>
        <w:pageBreakBefore w:val="0"/>
        <w:widowControl w:val="0"/>
        <w:shd w:val="clear" w:color="auto" w:fill="auto"/>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val="0"/>
          <w:color w:val="000000" w:themeColor="text1"/>
          <w:sz w:val="24"/>
          <w:szCs w:val="24"/>
          <w14:textFill>
            <w14:solidFill>
              <w14:schemeClr w14:val="tx1"/>
            </w14:solidFill>
          </w14:textFill>
        </w:rPr>
      </w:pPr>
      <w:bookmarkStart w:id="191" w:name="_Toc303938868"/>
      <w:r>
        <w:rPr>
          <w:rFonts w:hint="default" w:ascii="Times New Roman" w:hAnsi="Times New Roman" w:eastAsia="宋体" w:cs="Times New Roman"/>
          <w:b/>
          <w:bCs w:val="0"/>
          <w:color w:val="000000" w:themeColor="text1"/>
          <w:sz w:val="24"/>
          <w:szCs w:val="24"/>
          <w14:textFill>
            <w14:solidFill>
              <w14:schemeClr w14:val="tx1"/>
            </w14:solidFill>
          </w14:textFill>
        </w:rPr>
        <w:t>3.4.2.6 评价结果</w:t>
      </w:r>
      <w:bookmarkEnd w:id="191"/>
    </w:p>
    <w:p>
      <w:pPr>
        <w:overflowPunct w:val="0"/>
        <w:spacing w:line="360" w:lineRule="auto"/>
        <w:ind w:firstLine="645"/>
        <w:rPr>
          <w:color w:val="000000" w:themeColor="text1"/>
          <w:sz w:val="24"/>
          <w14:textFill>
            <w14:solidFill>
              <w14:schemeClr w14:val="tx1"/>
            </w14:solidFill>
          </w14:textFill>
        </w:rPr>
      </w:pPr>
      <w:r>
        <w:rPr>
          <w:color w:val="000000" w:themeColor="text1"/>
          <w:sz w:val="24"/>
          <w14:textFill>
            <w14:solidFill>
              <w14:schemeClr w14:val="tx1"/>
            </w14:solidFill>
          </w14:textFill>
        </w:rPr>
        <w:t>地下水评价结果，见表3.4-7。</w:t>
      </w:r>
    </w:p>
    <w:p>
      <w:pPr>
        <w:pStyle w:val="44"/>
        <w:keepNext w:val="0"/>
        <w:keepLines w:val="0"/>
        <w:pageBreakBefore w:val="0"/>
        <w:widowControl w:val="0"/>
        <w:shd w:val="clear" w:color="auto" w:fill="auto"/>
        <w:tabs>
          <w:tab w:val="left" w:pos="3710"/>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表3.4-7 地下水评价结果</w:t>
      </w:r>
    </w:p>
    <w:tbl>
      <w:tblPr>
        <w:tblStyle w:val="21"/>
        <w:tblpPr w:leftFromText="180" w:rightFromText="180" w:vertAnchor="text" w:horzAnchor="page" w:tblpX="1825" w:tblpY="198"/>
        <w:tblOverlap w:val="never"/>
        <w:tblW w:w="8721"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
      <w:tblGrid>
        <w:gridCol w:w="308"/>
        <w:gridCol w:w="1168"/>
        <w:gridCol w:w="922"/>
        <w:gridCol w:w="1024"/>
        <w:gridCol w:w="1079"/>
        <w:gridCol w:w="1055"/>
        <w:gridCol w:w="1078"/>
        <w:gridCol w:w="1034"/>
        <w:gridCol w:w="105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vMerge w:val="restart"/>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1168" w:type="dxa"/>
            <w:vMerge w:val="restart"/>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w:t>
            </w:r>
          </w:p>
        </w:tc>
        <w:tc>
          <w:tcPr>
            <w:tcW w:w="922" w:type="dxa"/>
            <w:vMerge w:val="restart"/>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w:t>
            </w:r>
          </w:p>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限值</w:t>
            </w:r>
          </w:p>
        </w:tc>
        <w:tc>
          <w:tcPr>
            <w:tcW w:w="6323" w:type="dxa"/>
            <w:gridSpan w:val="6"/>
            <w:noWrap w:val="0"/>
            <w:vAlign w:val="top"/>
          </w:tcPr>
          <w:p>
            <w:pPr>
              <w:overflowPunct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各 点 占 标 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vMerge w:val="continue"/>
            <w:noWrap w:val="0"/>
            <w:vAlign w:val="center"/>
          </w:tcPr>
          <w:p>
            <w:pPr>
              <w:overflowPunct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1168" w:type="dxa"/>
            <w:vMerge w:val="continue"/>
            <w:noWrap w:val="0"/>
            <w:vAlign w:val="center"/>
          </w:tcPr>
          <w:p>
            <w:pPr>
              <w:overflowPunct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922" w:type="dxa"/>
            <w:vMerge w:val="continue"/>
            <w:noWrap w:val="0"/>
            <w:vAlign w:val="center"/>
          </w:tcPr>
          <w:p>
            <w:pPr>
              <w:overflowPunct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2103" w:type="dxa"/>
            <w:gridSpan w:val="2"/>
            <w:noWrap w:val="0"/>
            <w:vAlign w:val="center"/>
          </w:tcPr>
          <w:p>
            <w:pPr>
              <w:overflowPunct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sz w:val="21"/>
                <w:szCs w:val="21"/>
                <w:vertAlign w:val="superscript"/>
                <w14:textFill>
                  <w14:solidFill>
                    <w14:schemeClr w14:val="tx1"/>
                  </w14:solidFill>
                </w14:textFill>
              </w:rPr>
              <w:t>＃</w:t>
            </w:r>
          </w:p>
        </w:tc>
        <w:tc>
          <w:tcPr>
            <w:tcW w:w="2133" w:type="dxa"/>
            <w:gridSpan w:val="2"/>
            <w:noWrap w:val="0"/>
            <w:vAlign w:val="center"/>
          </w:tcPr>
          <w:p>
            <w:pPr>
              <w:overflowPunct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r>
              <w:rPr>
                <w:rFonts w:hint="default" w:ascii="Times New Roman" w:hAnsi="Times New Roman" w:cs="Times New Roman"/>
                <w:color w:val="000000" w:themeColor="text1"/>
                <w:sz w:val="21"/>
                <w:szCs w:val="21"/>
                <w:vertAlign w:val="superscript"/>
                <w14:textFill>
                  <w14:solidFill>
                    <w14:schemeClr w14:val="tx1"/>
                  </w14:solidFill>
                </w14:textFill>
              </w:rPr>
              <w:t>＃</w:t>
            </w:r>
          </w:p>
        </w:tc>
        <w:tc>
          <w:tcPr>
            <w:tcW w:w="2087" w:type="dxa"/>
            <w:gridSpan w:val="2"/>
            <w:noWrap w:val="0"/>
            <w:vAlign w:val="center"/>
          </w:tcPr>
          <w:p>
            <w:pPr>
              <w:overflowPunct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r>
              <w:rPr>
                <w:rFonts w:hint="default" w:ascii="Times New Roman" w:hAnsi="Times New Roman" w:cs="Times New Roman"/>
                <w:color w:val="000000" w:themeColor="text1"/>
                <w:sz w:val="21"/>
                <w:szCs w:val="21"/>
                <w:vertAlign w:val="superscript"/>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vMerge w:val="continue"/>
            <w:noWrap w:val="0"/>
            <w:vAlign w:val="center"/>
          </w:tcPr>
          <w:p>
            <w:pPr>
              <w:overflowPunct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1168" w:type="dxa"/>
            <w:vMerge w:val="continue"/>
            <w:noWrap w:val="0"/>
            <w:vAlign w:val="center"/>
          </w:tcPr>
          <w:p>
            <w:pPr>
              <w:overflowPunct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922" w:type="dxa"/>
            <w:vMerge w:val="continue"/>
            <w:noWrap w:val="0"/>
            <w:vAlign w:val="center"/>
          </w:tcPr>
          <w:p>
            <w:pPr>
              <w:overflowPunct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102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7月9日</w:t>
            </w:r>
          </w:p>
        </w:tc>
        <w:tc>
          <w:tcPr>
            <w:tcW w:w="1079"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7月10日</w:t>
            </w:r>
          </w:p>
        </w:tc>
        <w:tc>
          <w:tcPr>
            <w:tcW w:w="1055"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7月9日</w:t>
            </w:r>
          </w:p>
        </w:tc>
        <w:tc>
          <w:tcPr>
            <w:tcW w:w="1078" w:type="dxa"/>
            <w:noWrap w:val="0"/>
            <w:vAlign w:val="center"/>
          </w:tcPr>
          <w:p>
            <w:pPr>
              <w:overflowPunct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7月10日</w:t>
            </w:r>
          </w:p>
        </w:tc>
        <w:tc>
          <w:tcPr>
            <w:tcW w:w="1034" w:type="dxa"/>
            <w:noWrap w:val="0"/>
            <w:vAlign w:val="center"/>
          </w:tcPr>
          <w:p>
            <w:pPr>
              <w:overflowPunct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7月9日</w:t>
            </w:r>
          </w:p>
        </w:tc>
        <w:tc>
          <w:tcPr>
            <w:tcW w:w="1053" w:type="dxa"/>
            <w:noWrap w:val="0"/>
            <w:vAlign w:val="center"/>
          </w:tcPr>
          <w:p>
            <w:pPr>
              <w:overflowPunct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7月10日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noWrap w:val="0"/>
            <w:vAlign w:val="center"/>
          </w:tcPr>
          <w:p>
            <w:pPr>
              <w:overflowPunct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168" w:type="dxa"/>
            <w:noWrap w:val="0"/>
            <w:vAlign w:val="center"/>
          </w:tcPr>
          <w:p>
            <w:pPr>
              <w:overflowPunct w:val="0"/>
              <w:ind w:right="-98" w:rightChars="-41"/>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pH(无量纲)</w:t>
            </w:r>
          </w:p>
        </w:tc>
        <w:tc>
          <w:tcPr>
            <w:tcW w:w="922"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6.5~8.5</w:t>
            </w:r>
          </w:p>
        </w:tc>
        <w:tc>
          <w:tcPr>
            <w:tcW w:w="102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0.967</w:t>
            </w:r>
          </w:p>
        </w:tc>
        <w:tc>
          <w:tcPr>
            <w:tcW w:w="1079"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0.947</w:t>
            </w:r>
          </w:p>
        </w:tc>
        <w:tc>
          <w:tcPr>
            <w:tcW w:w="1055"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0.98</w:t>
            </w:r>
          </w:p>
        </w:tc>
        <w:tc>
          <w:tcPr>
            <w:tcW w:w="107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0.94</w:t>
            </w:r>
          </w:p>
        </w:tc>
        <w:tc>
          <w:tcPr>
            <w:tcW w:w="103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0.900</w:t>
            </w:r>
          </w:p>
        </w:tc>
        <w:tc>
          <w:tcPr>
            <w:tcW w:w="1053"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0.907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16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溶解性</w:t>
            </w:r>
          </w:p>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总固体</w:t>
            </w:r>
          </w:p>
        </w:tc>
        <w:tc>
          <w:tcPr>
            <w:tcW w:w="922"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≦1000</w:t>
            </w:r>
          </w:p>
        </w:tc>
        <w:tc>
          <w:tcPr>
            <w:tcW w:w="102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0.158</w:t>
            </w:r>
          </w:p>
        </w:tc>
        <w:tc>
          <w:tcPr>
            <w:tcW w:w="1079"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0.156</w:t>
            </w:r>
          </w:p>
        </w:tc>
        <w:tc>
          <w:tcPr>
            <w:tcW w:w="1055"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0.158</w:t>
            </w:r>
          </w:p>
        </w:tc>
        <w:tc>
          <w:tcPr>
            <w:tcW w:w="107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0.14</w:t>
            </w:r>
          </w:p>
        </w:tc>
        <w:tc>
          <w:tcPr>
            <w:tcW w:w="103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0.16</w:t>
            </w:r>
          </w:p>
        </w:tc>
        <w:tc>
          <w:tcPr>
            <w:tcW w:w="1053"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0.156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16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总硬度</w:t>
            </w:r>
          </w:p>
        </w:tc>
        <w:tc>
          <w:tcPr>
            <w:tcW w:w="922"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≦450</w:t>
            </w:r>
          </w:p>
        </w:tc>
        <w:tc>
          <w:tcPr>
            <w:tcW w:w="102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0.231</w:t>
            </w:r>
          </w:p>
        </w:tc>
        <w:tc>
          <w:tcPr>
            <w:tcW w:w="1079"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0.236</w:t>
            </w:r>
          </w:p>
        </w:tc>
        <w:tc>
          <w:tcPr>
            <w:tcW w:w="1055"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0.236</w:t>
            </w:r>
          </w:p>
        </w:tc>
        <w:tc>
          <w:tcPr>
            <w:tcW w:w="107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0.233</w:t>
            </w:r>
          </w:p>
        </w:tc>
        <w:tc>
          <w:tcPr>
            <w:tcW w:w="103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0.231</w:t>
            </w:r>
          </w:p>
        </w:tc>
        <w:tc>
          <w:tcPr>
            <w:tcW w:w="1053"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0.231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16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硝酸盐</w:t>
            </w:r>
          </w:p>
        </w:tc>
        <w:tc>
          <w:tcPr>
            <w:tcW w:w="922"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02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napToGrid w:val="0"/>
                <w:color w:val="000000" w:themeColor="text1"/>
                <w:kern w:val="18"/>
                <w:sz w:val="21"/>
                <w:szCs w:val="21"/>
                <w14:textFill>
                  <w14:solidFill>
                    <w14:schemeClr w14:val="tx1"/>
                  </w14:solidFill>
                </w14:textFill>
              </w:rPr>
              <w:t>≦0.02</w:t>
            </w:r>
          </w:p>
        </w:tc>
        <w:tc>
          <w:tcPr>
            <w:tcW w:w="1079"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napToGrid w:val="0"/>
                <w:color w:val="000000" w:themeColor="text1"/>
                <w:kern w:val="18"/>
                <w:sz w:val="21"/>
                <w:szCs w:val="21"/>
                <w14:textFill>
                  <w14:solidFill>
                    <w14:schemeClr w14:val="tx1"/>
                  </w14:solidFill>
                </w14:textFill>
              </w:rPr>
              <w:t>≦0.02</w:t>
            </w:r>
          </w:p>
        </w:tc>
        <w:tc>
          <w:tcPr>
            <w:tcW w:w="1055"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0.02</w:t>
            </w:r>
          </w:p>
        </w:tc>
        <w:tc>
          <w:tcPr>
            <w:tcW w:w="107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0.02</w:t>
            </w:r>
          </w:p>
        </w:tc>
        <w:tc>
          <w:tcPr>
            <w:tcW w:w="103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0.02</w:t>
            </w:r>
          </w:p>
        </w:tc>
        <w:tc>
          <w:tcPr>
            <w:tcW w:w="1053"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116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亚硝酸盐</w:t>
            </w:r>
          </w:p>
        </w:tc>
        <w:tc>
          <w:tcPr>
            <w:tcW w:w="922"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w:t>
            </w:r>
          </w:p>
        </w:tc>
        <w:tc>
          <w:tcPr>
            <w:tcW w:w="102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&lt;0.00005</w:t>
            </w:r>
          </w:p>
        </w:tc>
        <w:tc>
          <w:tcPr>
            <w:tcW w:w="1079"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&lt;0.00005</w:t>
            </w:r>
          </w:p>
        </w:tc>
        <w:tc>
          <w:tcPr>
            <w:tcW w:w="1055"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&lt;0.00005</w:t>
            </w:r>
          </w:p>
        </w:tc>
        <w:tc>
          <w:tcPr>
            <w:tcW w:w="107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&lt;0.00005</w:t>
            </w:r>
          </w:p>
        </w:tc>
        <w:tc>
          <w:tcPr>
            <w:tcW w:w="103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&lt;0.00005</w:t>
            </w:r>
          </w:p>
        </w:tc>
        <w:tc>
          <w:tcPr>
            <w:tcW w:w="1053"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&lt;0.00005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116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氨氮</w:t>
            </w:r>
          </w:p>
        </w:tc>
        <w:tc>
          <w:tcPr>
            <w:tcW w:w="922"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≦0.5</w:t>
            </w:r>
          </w:p>
        </w:tc>
        <w:tc>
          <w:tcPr>
            <w:tcW w:w="102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0.094</w:t>
            </w:r>
          </w:p>
        </w:tc>
        <w:tc>
          <w:tcPr>
            <w:tcW w:w="1079"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0.09</w:t>
            </w:r>
          </w:p>
        </w:tc>
        <w:tc>
          <w:tcPr>
            <w:tcW w:w="1055"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0.068</w:t>
            </w:r>
          </w:p>
        </w:tc>
        <w:tc>
          <w:tcPr>
            <w:tcW w:w="107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0.052</w:t>
            </w:r>
          </w:p>
        </w:tc>
        <w:tc>
          <w:tcPr>
            <w:tcW w:w="103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0.058</w:t>
            </w:r>
          </w:p>
        </w:tc>
        <w:tc>
          <w:tcPr>
            <w:tcW w:w="1053"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0.058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116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硫酸盐</w:t>
            </w:r>
          </w:p>
        </w:tc>
        <w:tc>
          <w:tcPr>
            <w:tcW w:w="922"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≦250</w:t>
            </w:r>
          </w:p>
        </w:tc>
        <w:tc>
          <w:tcPr>
            <w:tcW w:w="102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0.0912</w:t>
            </w:r>
          </w:p>
        </w:tc>
        <w:tc>
          <w:tcPr>
            <w:tcW w:w="1079"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0.0908</w:t>
            </w:r>
          </w:p>
        </w:tc>
        <w:tc>
          <w:tcPr>
            <w:tcW w:w="1055"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0.1412</w:t>
            </w:r>
          </w:p>
        </w:tc>
        <w:tc>
          <w:tcPr>
            <w:tcW w:w="107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0.1428</w:t>
            </w:r>
          </w:p>
        </w:tc>
        <w:tc>
          <w:tcPr>
            <w:tcW w:w="103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0.1332</w:t>
            </w:r>
          </w:p>
        </w:tc>
        <w:tc>
          <w:tcPr>
            <w:tcW w:w="1053"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0.1308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p>
        </w:tc>
        <w:tc>
          <w:tcPr>
            <w:tcW w:w="116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氯化物</w:t>
            </w:r>
          </w:p>
        </w:tc>
        <w:tc>
          <w:tcPr>
            <w:tcW w:w="922"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≦250</w:t>
            </w:r>
          </w:p>
        </w:tc>
        <w:tc>
          <w:tcPr>
            <w:tcW w:w="102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0.068</w:t>
            </w:r>
          </w:p>
        </w:tc>
        <w:tc>
          <w:tcPr>
            <w:tcW w:w="1079"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0.068</w:t>
            </w:r>
          </w:p>
        </w:tc>
        <w:tc>
          <w:tcPr>
            <w:tcW w:w="1055"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0.0712</w:t>
            </w:r>
          </w:p>
        </w:tc>
        <w:tc>
          <w:tcPr>
            <w:tcW w:w="107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0.0692</w:t>
            </w:r>
          </w:p>
        </w:tc>
        <w:tc>
          <w:tcPr>
            <w:tcW w:w="103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00712</w:t>
            </w:r>
          </w:p>
        </w:tc>
        <w:tc>
          <w:tcPr>
            <w:tcW w:w="1053"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0.0704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w:t>
            </w:r>
          </w:p>
        </w:tc>
        <w:tc>
          <w:tcPr>
            <w:tcW w:w="116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挥发酚</w:t>
            </w:r>
          </w:p>
        </w:tc>
        <w:tc>
          <w:tcPr>
            <w:tcW w:w="922"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≦0.002</w:t>
            </w:r>
          </w:p>
        </w:tc>
        <w:tc>
          <w:tcPr>
            <w:tcW w:w="102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0.4</w:t>
            </w:r>
          </w:p>
        </w:tc>
        <w:tc>
          <w:tcPr>
            <w:tcW w:w="1079"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0.25</w:t>
            </w:r>
          </w:p>
        </w:tc>
        <w:tc>
          <w:tcPr>
            <w:tcW w:w="1055"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0.5</w:t>
            </w:r>
          </w:p>
        </w:tc>
        <w:tc>
          <w:tcPr>
            <w:tcW w:w="107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0.45</w:t>
            </w:r>
          </w:p>
        </w:tc>
        <w:tc>
          <w:tcPr>
            <w:tcW w:w="103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0.65</w:t>
            </w:r>
          </w:p>
        </w:tc>
        <w:tc>
          <w:tcPr>
            <w:tcW w:w="1053"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116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六价铬</w:t>
            </w:r>
          </w:p>
        </w:tc>
        <w:tc>
          <w:tcPr>
            <w:tcW w:w="922"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≦0.05</w:t>
            </w:r>
          </w:p>
        </w:tc>
        <w:tc>
          <w:tcPr>
            <w:tcW w:w="102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0.08</w:t>
            </w:r>
          </w:p>
        </w:tc>
        <w:tc>
          <w:tcPr>
            <w:tcW w:w="1079"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0.08</w:t>
            </w:r>
          </w:p>
        </w:tc>
        <w:tc>
          <w:tcPr>
            <w:tcW w:w="1055"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w:t>
            </w:r>
          </w:p>
        </w:tc>
        <w:tc>
          <w:tcPr>
            <w:tcW w:w="107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0.08</w:t>
            </w:r>
          </w:p>
        </w:tc>
        <w:tc>
          <w:tcPr>
            <w:tcW w:w="103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w:t>
            </w:r>
          </w:p>
        </w:tc>
        <w:tc>
          <w:tcPr>
            <w:tcW w:w="1053"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w:t>
            </w:r>
          </w:p>
        </w:tc>
        <w:tc>
          <w:tcPr>
            <w:tcW w:w="116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氰化物</w:t>
            </w:r>
          </w:p>
        </w:tc>
        <w:tc>
          <w:tcPr>
            <w:tcW w:w="922"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≦0.05</w:t>
            </w:r>
          </w:p>
        </w:tc>
        <w:tc>
          <w:tcPr>
            <w:tcW w:w="1024"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&lt;0.08</w:t>
            </w:r>
          </w:p>
        </w:tc>
        <w:tc>
          <w:tcPr>
            <w:tcW w:w="1079"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&lt;0.08</w:t>
            </w:r>
          </w:p>
        </w:tc>
        <w:tc>
          <w:tcPr>
            <w:tcW w:w="1055"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&lt;0.08</w:t>
            </w:r>
          </w:p>
        </w:tc>
        <w:tc>
          <w:tcPr>
            <w:tcW w:w="1078"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&lt;0.08</w:t>
            </w:r>
          </w:p>
        </w:tc>
        <w:tc>
          <w:tcPr>
            <w:tcW w:w="1034"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&lt;0.08</w:t>
            </w:r>
          </w:p>
        </w:tc>
        <w:tc>
          <w:tcPr>
            <w:tcW w:w="1053"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noWrap w:val="0"/>
            <w:vAlign w:val="center"/>
          </w:tcPr>
          <w:p>
            <w:pPr>
              <w:overflowPunct w:val="0"/>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w:t>
            </w:r>
          </w:p>
        </w:tc>
        <w:tc>
          <w:tcPr>
            <w:tcW w:w="116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砷</w:t>
            </w:r>
          </w:p>
        </w:tc>
        <w:tc>
          <w:tcPr>
            <w:tcW w:w="922" w:type="dxa"/>
            <w:noWrap w:val="0"/>
            <w:vAlign w:val="top"/>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≦0.01</w:t>
            </w:r>
          </w:p>
        </w:tc>
        <w:tc>
          <w:tcPr>
            <w:tcW w:w="1024"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&lt;0.7</w:t>
            </w:r>
          </w:p>
        </w:tc>
        <w:tc>
          <w:tcPr>
            <w:tcW w:w="1079"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&lt;0.7</w:t>
            </w:r>
          </w:p>
        </w:tc>
        <w:tc>
          <w:tcPr>
            <w:tcW w:w="1055"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&lt;0.7</w:t>
            </w:r>
          </w:p>
        </w:tc>
        <w:tc>
          <w:tcPr>
            <w:tcW w:w="1078"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&lt;0.7</w:t>
            </w:r>
          </w:p>
        </w:tc>
        <w:tc>
          <w:tcPr>
            <w:tcW w:w="1034"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&lt;0.7</w:t>
            </w:r>
          </w:p>
        </w:tc>
        <w:tc>
          <w:tcPr>
            <w:tcW w:w="1053"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noWrap w:val="0"/>
            <w:vAlign w:val="center"/>
          </w:tcPr>
          <w:p>
            <w:pPr>
              <w:overflowPunct w:val="0"/>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w:t>
            </w:r>
          </w:p>
        </w:tc>
        <w:tc>
          <w:tcPr>
            <w:tcW w:w="116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汞</w:t>
            </w:r>
          </w:p>
        </w:tc>
        <w:tc>
          <w:tcPr>
            <w:tcW w:w="922"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≦0.001</w:t>
            </w:r>
          </w:p>
        </w:tc>
        <w:tc>
          <w:tcPr>
            <w:tcW w:w="1024"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&lt;0.01</w:t>
            </w:r>
          </w:p>
        </w:tc>
        <w:tc>
          <w:tcPr>
            <w:tcW w:w="1079"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&lt;0.01</w:t>
            </w:r>
          </w:p>
        </w:tc>
        <w:tc>
          <w:tcPr>
            <w:tcW w:w="1055"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&lt;0.01</w:t>
            </w:r>
          </w:p>
        </w:tc>
        <w:tc>
          <w:tcPr>
            <w:tcW w:w="1078"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&lt;0.01</w:t>
            </w:r>
          </w:p>
        </w:tc>
        <w:tc>
          <w:tcPr>
            <w:tcW w:w="1034"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&lt;0.01</w:t>
            </w:r>
          </w:p>
        </w:tc>
        <w:tc>
          <w:tcPr>
            <w:tcW w:w="1053"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&lt;0.01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noWrap w:val="0"/>
            <w:vAlign w:val="center"/>
          </w:tcPr>
          <w:p>
            <w:pPr>
              <w:overflowPunct w:val="0"/>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14</w:t>
            </w:r>
          </w:p>
        </w:tc>
        <w:tc>
          <w:tcPr>
            <w:tcW w:w="116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*菌落</w:t>
            </w:r>
          </w:p>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总数</w:t>
            </w:r>
          </w:p>
        </w:tc>
        <w:tc>
          <w:tcPr>
            <w:tcW w:w="922" w:type="dxa"/>
            <w:noWrap w:val="0"/>
            <w:vAlign w:val="center"/>
          </w:tcPr>
          <w:p>
            <w:pPr>
              <w:overflowPunct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w:t>
            </w:r>
          </w:p>
        </w:tc>
        <w:tc>
          <w:tcPr>
            <w:tcW w:w="102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79"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55"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7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3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53"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c>
          <w:tcPr>
            <w:tcW w:w="308" w:type="dxa"/>
            <w:noWrap w:val="0"/>
            <w:vAlign w:val="center"/>
          </w:tcPr>
          <w:p>
            <w:pPr>
              <w:overflowPunct w:val="0"/>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116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*总大</w:t>
            </w:r>
          </w:p>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肠菌群</w:t>
            </w:r>
          </w:p>
        </w:tc>
        <w:tc>
          <w:tcPr>
            <w:tcW w:w="922" w:type="dxa"/>
            <w:noWrap w:val="0"/>
            <w:vAlign w:val="center"/>
          </w:tcPr>
          <w:p>
            <w:pPr>
              <w:overflowPunct w:val="0"/>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napToGrid w:val="0"/>
                <w:color w:val="000000" w:themeColor="text1"/>
                <w:kern w:val="18"/>
                <w:sz w:val="21"/>
                <w:szCs w:val="21"/>
                <w14:textFill>
                  <w14:solidFill>
                    <w14:schemeClr w14:val="tx1"/>
                  </w14:solidFill>
                </w14:textFill>
              </w:rPr>
              <w:t>≦3.0</w:t>
            </w:r>
          </w:p>
        </w:tc>
        <w:tc>
          <w:tcPr>
            <w:tcW w:w="102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79"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55"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78"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34"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c>
          <w:tcPr>
            <w:tcW w:w="1053" w:type="dxa"/>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未检出</w:t>
            </w:r>
          </w:p>
        </w:tc>
      </w:tr>
    </w:tbl>
    <w:p>
      <w:pPr>
        <w:keepNext w:val="0"/>
        <w:keepLines w:val="0"/>
        <w:pageBreakBefore w:val="0"/>
        <w:widowControl w:val="0"/>
        <w:kinsoku/>
        <w:wordWrap/>
        <w:overflowPunct w:val="0"/>
        <w:topLinePunct w:val="0"/>
        <w:autoSpaceDE/>
        <w:autoSpaceDN/>
        <w:bidi w:val="0"/>
        <w:adjustRightInd/>
        <w:snapToGrid/>
        <w:spacing w:before="361" w:beforeLines="100" w:line="360" w:lineRule="auto"/>
        <w:ind w:firstLine="480" w:firstLineChars="200"/>
        <w:jc w:val="both"/>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由表3.4-7可知，本项目各项指标占标率均未超过1，说明各项指标均达标，项目区水质良好。</w:t>
      </w:r>
    </w:p>
    <w:p>
      <w:pPr>
        <w:pStyle w:val="5"/>
        <w:keepNext/>
        <w:keepLines/>
        <w:pageBreakBefore w:val="0"/>
        <w:widowControl w:val="0"/>
        <w:shd w:val="clear" w:color="auto" w:fill="auto"/>
        <w:kinsoku/>
        <w:wordWrap/>
        <w:overflowPunct/>
        <w:topLinePunct w:val="0"/>
        <w:autoSpaceDE/>
        <w:autoSpaceDN/>
        <w:bidi w:val="0"/>
        <w:adjustRightInd/>
        <w:snapToGrid/>
        <w:textAlignment w:val="auto"/>
        <w:rPr>
          <w:color w:val="000000" w:themeColor="text1"/>
          <w:sz w:val="28"/>
          <w:szCs w:val="28"/>
          <w14:textFill>
            <w14:solidFill>
              <w14:schemeClr w14:val="tx1"/>
            </w14:solidFill>
          </w14:textFill>
        </w:rPr>
      </w:pPr>
      <w:bookmarkStart w:id="192" w:name="_Toc304912348"/>
      <w:bookmarkStart w:id="193" w:name="_Toc196478998"/>
      <w:bookmarkStart w:id="194" w:name="_Toc26408"/>
      <w:bookmarkStart w:id="195" w:name="_Toc18851"/>
      <w:bookmarkStart w:id="196" w:name="_Toc491857675"/>
      <w:bookmarkStart w:id="197" w:name="_Toc16632"/>
      <w:bookmarkStart w:id="198" w:name="_Toc17784"/>
      <w:bookmarkStart w:id="199" w:name="_Toc785"/>
      <w:bookmarkStart w:id="200" w:name="_Toc303938869"/>
      <w:r>
        <w:rPr>
          <w:color w:val="000000" w:themeColor="text1"/>
          <w:sz w:val="28"/>
          <w:szCs w:val="28"/>
          <w14:textFill>
            <w14:solidFill>
              <w14:schemeClr w14:val="tx1"/>
            </w14:solidFill>
          </w14:textFill>
        </w:rPr>
        <w:t>3.4.3 声环境现状调查与评价</w:t>
      </w:r>
      <w:bookmarkEnd w:id="192"/>
      <w:bookmarkEnd w:id="193"/>
      <w:bookmarkEnd w:id="194"/>
      <w:bookmarkEnd w:id="195"/>
      <w:bookmarkEnd w:id="196"/>
      <w:bookmarkEnd w:id="197"/>
      <w:bookmarkEnd w:id="198"/>
      <w:bookmarkEnd w:id="199"/>
      <w:bookmarkEnd w:id="200"/>
    </w:p>
    <w:p>
      <w:pPr>
        <w:pStyle w:val="6"/>
        <w:keepNext/>
        <w:keepLines/>
        <w:pageBreakBefore w:val="0"/>
        <w:widowControl w:val="0"/>
        <w:shd w:val="clear" w:color="auto" w:fill="auto"/>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 xml:space="preserve">3.4.3.1 声环境现状监测 </w:t>
      </w:r>
    </w:p>
    <w:p>
      <w:pPr>
        <w:overflowPunct w:val="0"/>
        <w:spacing w:line="360" w:lineRule="auto"/>
        <w:ind w:firstLine="480" w:firstLineChars="200"/>
        <w:rPr>
          <w:color w:val="000000" w:themeColor="text1"/>
          <w:sz w:val="24"/>
          <w14:textFill>
            <w14:solidFill>
              <w14:schemeClr w14:val="tx1"/>
            </w14:solidFill>
          </w14:textFill>
        </w:rPr>
      </w:pPr>
      <w:r>
        <w:rPr>
          <w:rFonts w:hint="eastAsia" w:eastAsia="宋体"/>
          <w:color w:val="000000" w:themeColor="text1"/>
          <w:sz w:val="24"/>
          <w:lang w:eastAsia="zh-CN"/>
          <w14:textFill>
            <w14:solidFill>
              <w14:schemeClr w14:val="tx1"/>
            </w14:solidFill>
          </w14:textFill>
        </w:rPr>
        <w:t>（</w:t>
      </w:r>
      <w:r>
        <w:rPr>
          <w:rFonts w:hint="eastAsia" w:eastAsia="宋体"/>
          <w:color w:val="000000" w:themeColor="text1"/>
          <w:sz w:val="24"/>
          <w:lang w:val="en-US" w:eastAsia="zh-CN"/>
          <w14:textFill>
            <w14:solidFill>
              <w14:schemeClr w14:val="tx1"/>
            </w14:solidFill>
          </w14:textFill>
        </w:rPr>
        <w:t>1</w:t>
      </w:r>
      <w:r>
        <w:rPr>
          <w:rFonts w:hint="eastAsia" w:eastAsia="宋体"/>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布点与监测</w:t>
      </w:r>
    </w:p>
    <w:p>
      <w:pPr>
        <w:overflowPunct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根据本项目厂址及其周围噪声环境背景值情况，本项目环境噪声监测在厂址周围东、南、西、北分别设置4个噪声监测点。分昼夜两次进行监测。</w:t>
      </w:r>
    </w:p>
    <w:p>
      <w:pPr>
        <w:overflowPunct w:val="0"/>
        <w:spacing w:line="360" w:lineRule="auto"/>
        <w:ind w:firstLine="480"/>
        <w:rPr>
          <w:color w:val="000000" w:themeColor="text1"/>
          <w14:textFill>
            <w14:solidFill>
              <w14:schemeClr w14:val="tx1"/>
            </w14:solidFill>
          </w14:textFill>
        </w:rPr>
      </w:pPr>
      <w:r>
        <w:rPr>
          <w:color w:val="000000" w:themeColor="text1"/>
          <w:sz w:val="24"/>
          <w14:textFill>
            <w14:solidFill>
              <w14:schemeClr w14:val="tx1"/>
            </w14:solidFill>
          </w14:textFill>
        </w:rPr>
        <w:t>监测方法按</w:t>
      </w:r>
      <w:r>
        <w:rPr>
          <w:color w:val="000000" w:themeColor="text1"/>
          <w:sz w:val="24"/>
          <w:szCs w:val="24"/>
          <w14:textFill>
            <w14:solidFill>
              <w14:schemeClr w14:val="tx1"/>
            </w14:solidFill>
          </w14:textFill>
        </w:rPr>
        <w:t>《声环境质量标准》(GB3096-2008)</w:t>
      </w:r>
      <w:r>
        <w:rPr>
          <w:color w:val="000000" w:themeColor="text1"/>
          <w:sz w:val="24"/>
          <w14:textFill>
            <w14:solidFill>
              <w14:schemeClr w14:val="tx1"/>
            </w14:solidFill>
          </w14:textFill>
        </w:rPr>
        <w:t>中的规定进行。监测点位，见图3.4-1。</w:t>
      </w:r>
    </w:p>
    <w:p>
      <w:pPr>
        <w:pStyle w:val="6"/>
        <w:keepNext/>
        <w:keepLines/>
        <w:pageBreakBefore w:val="0"/>
        <w:widowControl w:val="0"/>
        <w:shd w:val="clear" w:color="auto" w:fill="auto"/>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3.4.3.2 声环境现状评价</w:t>
      </w:r>
    </w:p>
    <w:p>
      <w:pPr>
        <w:overflowPunct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 评价标准</w:t>
      </w:r>
    </w:p>
    <w:p>
      <w:pPr>
        <w:overflowPunct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根据声环境功能区划分，厂址所在区域属3类标准适用区，本项目区环境质量标准执行《声环境质量标准》(GB3096-2008)中3类标准。</w:t>
      </w:r>
    </w:p>
    <w:p>
      <w:pPr>
        <w:overflowPunct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声环境质量标准限值，见表3.4-8。</w:t>
      </w:r>
    </w:p>
    <w:p>
      <w:pPr>
        <w:pStyle w:val="44"/>
        <w:keepNext w:val="0"/>
        <w:keepLines w:val="0"/>
        <w:pageBreakBefore w:val="0"/>
        <w:widowControl w:val="0"/>
        <w:shd w:val="clear" w:color="auto" w:fill="auto"/>
        <w:tabs>
          <w:tab w:val="left" w:pos="3710"/>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表3.4-8      声环境质量标准      单位：dB(A)</w:t>
      </w:r>
    </w:p>
    <w:tbl>
      <w:tblPr>
        <w:tblStyle w:val="21"/>
        <w:tblW w:w="8505" w:type="dxa"/>
        <w:jc w:val="center"/>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561"/>
        <w:gridCol w:w="1379"/>
        <w:gridCol w:w="1379"/>
        <w:gridCol w:w="1379"/>
        <w:gridCol w:w="1379"/>
        <w:gridCol w:w="1428"/>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1561"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类别</w:t>
            </w:r>
          </w:p>
        </w:tc>
        <w:tc>
          <w:tcPr>
            <w:tcW w:w="1379"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1379"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379"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379"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428"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4a</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561"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昼间</w:t>
            </w:r>
          </w:p>
        </w:tc>
        <w:tc>
          <w:tcPr>
            <w:tcW w:w="1379"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c>
          <w:tcPr>
            <w:tcW w:w="1379"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w:t>
            </w:r>
          </w:p>
        </w:tc>
        <w:tc>
          <w:tcPr>
            <w:tcW w:w="1379"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c>
          <w:tcPr>
            <w:tcW w:w="1379"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65</w:t>
            </w:r>
          </w:p>
        </w:tc>
        <w:tc>
          <w:tcPr>
            <w:tcW w:w="1428"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561"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夜间</w:t>
            </w:r>
          </w:p>
        </w:tc>
        <w:tc>
          <w:tcPr>
            <w:tcW w:w="1379"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w:t>
            </w:r>
          </w:p>
        </w:tc>
        <w:tc>
          <w:tcPr>
            <w:tcW w:w="1379"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45</w:t>
            </w:r>
          </w:p>
        </w:tc>
        <w:tc>
          <w:tcPr>
            <w:tcW w:w="1379"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c>
          <w:tcPr>
            <w:tcW w:w="1379"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w:t>
            </w:r>
          </w:p>
        </w:tc>
        <w:tc>
          <w:tcPr>
            <w:tcW w:w="1428" w:type="dxa"/>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w:t>
            </w:r>
          </w:p>
        </w:tc>
      </w:tr>
    </w:tbl>
    <w:p>
      <w:pPr>
        <w:overflowPunct w:val="0"/>
        <w:spacing w:line="240" w:lineRule="exact"/>
        <w:rPr>
          <w:b/>
          <w:bCs/>
          <w:color w:val="000000" w:themeColor="text1"/>
          <w:sz w:val="24"/>
          <w14:textFill>
            <w14:solidFill>
              <w14:schemeClr w14:val="tx1"/>
            </w14:solidFill>
          </w14:textFill>
        </w:rPr>
      </w:pPr>
      <w:r>
        <w:rPr>
          <w:color w:val="000000" w:themeColor="text1"/>
          <w14:textFill>
            <w14:solidFill>
              <w14:schemeClr w14:val="tx1"/>
            </w14:solidFill>
          </w14:textFill>
        </w:rPr>
        <w:t xml:space="preserve">             </w:t>
      </w:r>
    </w:p>
    <w:p>
      <w:pPr>
        <w:overflowPunct w:val="0"/>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(2) 现状评价方法</w:t>
      </w:r>
    </w:p>
    <w:p>
      <w:pPr>
        <w:overflowPunct w:val="0"/>
        <w:spacing w:line="360" w:lineRule="auto"/>
        <w:ind w:firstLine="470" w:firstLineChars="196"/>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项目区厂址昼夜噪声监测结果，见表3.4-9。</w:t>
      </w:r>
    </w:p>
    <w:p>
      <w:pPr>
        <w:pStyle w:val="44"/>
        <w:keepNext w:val="0"/>
        <w:keepLines w:val="0"/>
        <w:pageBreakBefore w:val="0"/>
        <w:widowControl w:val="0"/>
        <w:shd w:val="clear" w:color="auto" w:fill="auto"/>
        <w:tabs>
          <w:tab w:val="left" w:pos="3710"/>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default" w:ascii="Times New Roman" w:hAnsi="Times New Roman" w:eastAsia="黑体" w:cs="Times New Roman"/>
          <w:snapToGrid w:val="0"/>
          <w:color w:val="000000" w:themeColor="text1"/>
          <w:spacing w:val="0"/>
          <w:w w:val="100"/>
          <w:kern w:val="0"/>
          <w:position w:val="0"/>
          <w:sz w:val="21"/>
          <w:szCs w:val="21"/>
          <w:u w:val="none"/>
          <w:lang w:val="en-US"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zh-CN" w:bidi="zh-CN"/>
          <w14:textFill>
            <w14:solidFill>
              <w14:schemeClr w14:val="tx1"/>
            </w14:solidFill>
          </w14:textFill>
        </w:rPr>
        <w:t xml:space="preserve">3.4-9噪声现状监测统计表   </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单位：dB(A)</w:t>
      </w:r>
    </w:p>
    <w:tbl>
      <w:tblPr>
        <w:tblStyle w:val="21"/>
        <w:tblW w:w="8525" w:type="dxa"/>
        <w:jc w:val="center"/>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
      <w:tblGrid>
        <w:gridCol w:w="1524"/>
        <w:gridCol w:w="3089"/>
        <w:gridCol w:w="965"/>
        <w:gridCol w:w="992"/>
        <w:gridCol w:w="977"/>
        <w:gridCol w:w="978"/>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Ex>
        <w:trPr>
          <w:trHeight w:val="269" w:hRule="exact"/>
          <w:jc w:val="center"/>
        </w:trPr>
        <w:tc>
          <w:tcPr>
            <w:tcW w:w="1524" w:type="dxa"/>
            <w:vMerge w:val="restart"/>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监测时间</w:t>
            </w:r>
          </w:p>
        </w:tc>
        <w:tc>
          <w:tcPr>
            <w:tcW w:w="3089" w:type="dxa"/>
            <w:vMerge w:val="restart"/>
            <w:tcBorders>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监测点位</w:t>
            </w:r>
          </w:p>
        </w:tc>
        <w:tc>
          <w:tcPr>
            <w:tcW w:w="1957" w:type="dxa"/>
            <w:gridSpan w:val="2"/>
            <w:tcBorders>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Leq</w:t>
            </w:r>
          </w:p>
        </w:tc>
        <w:tc>
          <w:tcPr>
            <w:tcW w:w="1955" w:type="dxa"/>
            <w:gridSpan w:val="2"/>
            <w:tcBorders>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Ex>
        <w:trPr>
          <w:trHeight w:val="274" w:hRule="exact"/>
          <w:jc w:val="center"/>
        </w:trPr>
        <w:tc>
          <w:tcPr>
            <w:tcW w:w="1524" w:type="dxa"/>
            <w:vMerge w:val="continue"/>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p>
        </w:tc>
        <w:tc>
          <w:tcPr>
            <w:tcW w:w="3089" w:type="dxa"/>
            <w:vMerge w:val="continue"/>
            <w:tcBorders>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p>
        </w:tc>
        <w:tc>
          <w:tcPr>
            <w:tcW w:w="9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昼</w:t>
            </w:r>
          </w:p>
        </w:tc>
        <w:tc>
          <w:tcPr>
            <w:tcW w:w="992"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夜</w:t>
            </w:r>
          </w:p>
        </w:tc>
        <w:tc>
          <w:tcPr>
            <w:tcW w:w="977"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昼</w:t>
            </w:r>
          </w:p>
        </w:tc>
        <w:tc>
          <w:tcPr>
            <w:tcW w:w="978"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Ex>
        <w:trPr>
          <w:trHeight w:val="269" w:hRule="exact"/>
          <w:jc w:val="center"/>
        </w:trPr>
        <w:tc>
          <w:tcPr>
            <w:tcW w:w="1524" w:type="dxa"/>
            <w:vMerge w:val="restart"/>
            <w:tcBorders>
              <w:top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2017. 7.27</w:t>
            </w:r>
          </w:p>
        </w:tc>
        <w:tc>
          <w:tcPr>
            <w:tcW w:w="3089"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东厂界</w:t>
            </w:r>
          </w:p>
        </w:tc>
        <w:tc>
          <w:tcPr>
            <w:tcW w:w="9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41.6</w:t>
            </w:r>
          </w:p>
        </w:tc>
        <w:tc>
          <w:tcPr>
            <w:tcW w:w="992"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35.3</w:t>
            </w:r>
          </w:p>
        </w:tc>
        <w:tc>
          <w:tcPr>
            <w:tcW w:w="977" w:type="dxa"/>
            <w:vMerge w:val="restart"/>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65</w:t>
            </w:r>
          </w:p>
        </w:tc>
        <w:tc>
          <w:tcPr>
            <w:tcW w:w="978" w:type="dxa"/>
            <w:vMerge w:val="restart"/>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Ex>
        <w:trPr>
          <w:trHeight w:val="269" w:hRule="exact"/>
          <w:jc w:val="center"/>
        </w:trPr>
        <w:tc>
          <w:tcPr>
            <w:tcW w:w="1524" w:type="dxa"/>
            <w:vMerge w:val="continue"/>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p>
        </w:tc>
        <w:tc>
          <w:tcPr>
            <w:tcW w:w="3089"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南厂界</w:t>
            </w:r>
          </w:p>
        </w:tc>
        <w:tc>
          <w:tcPr>
            <w:tcW w:w="9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48.0</w:t>
            </w:r>
          </w:p>
        </w:tc>
        <w:tc>
          <w:tcPr>
            <w:tcW w:w="992"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43.9</w:t>
            </w:r>
          </w:p>
        </w:tc>
        <w:tc>
          <w:tcPr>
            <w:tcW w:w="977" w:type="dxa"/>
            <w:vMerge w:val="continue"/>
            <w:tcBorders>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p>
        </w:tc>
        <w:tc>
          <w:tcPr>
            <w:tcW w:w="978" w:type="dxa"/>
            <w:vMerge w:val="continue"/>
            <w:tcBorders>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Ex>
        <w:trPr>
          <w:trHeight w:val="269" w:hRule="exact"/>
          <w:jc w:val="center"/>
        </w:trPr>
        <w:tc>
          <w:tcPr>
            <w:tcW w:w="1524" w:type="dxa"/>
            <w:vMerge w:val="continue"/>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p>
        </w:tc>
        <w:tc>
          <w:tcPr>
            <w:tcW w:w="3089"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西厂界</w:t>
            </w:r>
          </w:p>
        </w:tc>
        <w:tc>
          <w:tcPr>
            <w:tcW w:w="9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46.4</w:t>
            </w:r>
          </w:p>
        </w:tc>
        <w:tc>
          <w:tcPr>
            <w:tcW w:w="992"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37.9</w:t>
            </w:r>
          </w:p>
        </w:tc>
        <w:tc>
          <w:tcPr>
            <w:tcW w:w="977" w:type="dxa"/>
            <w:vMerge w:val="continue"/>
            <w:tcBorders>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p>
        </w:tc>
        <w:tc>
          <w:tcPr>
            <w:tcW w:w="978" w:type="dxa"/>
            <w:vMerge w:val="continue"/>
            <w:tcBorders>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Ex>
        <w:trPr>
          <w:trHeight w:val="283" w:hRule="exact"/>
          <w:jc w:val="center"/>
        </w:trPr>
        <w:tc>
          <w:tcPr>
            <w:tcW w:w="1524" w:type="dxa"/>
            <w:vMerge w:val="continue"/>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p>
        </w:tc>
        <w:tc>
          <w:tcPr>
            <w:tcW w:w="3089"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北厂界</w:t>
            </w:r>
          </w:p>
        </w:tc>
        <w:tc>
          <w:tcPr>
            <w:tcW w:w="965"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43.9</w:t>
            </w:r>
          </w:p>
        </w:tc>
        <w:tc>
          <w:tcPr>
            <w:tcW w:w="992" w:type="dxa"/>
            <w:tcBorders>
              <w:top w:val="single" w:color="auto" w:sz="4" w:space="0"/>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36.9</w:t>
            </w:r>
          </w:p>
        </w:tc>
        <w:tc>
          <w:tcPr>
            <w:tcW w:w="977" w:type="dxa"/>
            <w:vMerge w:val="continue"/>
            <w:tcBorders>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p>
        </w:tc>
        <w:tc>
          <w:tcPr>
            <w:tcW w:w="978" w:type="dxa"/>
            <w:vMerge w:val="continue"/>
            <w:tcBorders>
              <w:lef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val="0"/>
              <w:topLinePunct w:val="0"/>
              <w:autoSpaceDE/>
              <w:autoSpaceDN/>
              <w:bidi w:val="0"/>
              <w:adjustRightInd/>
              <w:snapToGrid/>
              <w:jc w:val="center"/>
              <w:textAlignment w:val="auto"/>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p>
        </w:tc>
      </w:tr>
    </w:tbl>
    <w:p>
      <w:pPr>
        <w:pStyle w:val="6"/>
        <w:keepNext/>
        <w:keepLines/>
        <w:pageBreakBefore w:val="0"/>
        <w:widowControl w:val="0"/>
        <w:shd w:val="clear" w:color="auto" w:fill="auto"/>
        <w:kinsoku/>
        <w:wordWrap/>
        <w:overflowPunct/>
        <w:topLinePunct w:val="0"/>
        <w:autoSpaceDE/>
        <w:autoSpaceDN/>
        <w:bidi w:val="0"/>
        <w:adjustRightInd/>
        <w:snapToGrid/>
        <w:spacing w:before="361" w:beforeLines="100" w:after="0" w:line="360" w:lineRule="auto"/>
        <w:textAlignment w:val="auto"/>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3.4.3.3 评价结果</w:t>
      </w:r>
    </w:p>
    <w:p>
      <w:pPr>
        <w:pStyle w:val="135"/>
        <w:widowControl w:val="0"/>
        <w:overflowPunct w:val="0"/>
        <w:spacing w:line="36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由表3.4-9可知，本项目厂址区域昼间、夜间各监测点位噪声监测值均符合《声环境质量标准》(GB3096-2008)中3类功能区标准限值要求。</w:t>
      </w:r>
    </w:p>
    <w:p>
      <w:pPr>
        <w:overflowPunct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项目区厂界噪声能够满足《声环境质量标准》(GB3096-2008)中的3类区标准的要求。</w:t>
      </w:r>
    </w:p>
    <w:p>
      <w:pPr>
        <w:pStyle w:val="5"/>
        <w:keepNext/>
        <w:keepLines/>
        <w:pageBreakBefore w:val="0"/>
        <w:widowControl w:val="0"/>
        <w:kinsoku/>
        <w:wordWrap/>
        <w:overflowPunct/>
        <w:topLinePunct w:val="0"/>
        <w:autoSpaceDE/>
        <w:autoSpaceDN/>
        <w:bidi w:val="0"/>
        <w:adjustRightInd/>
        <w:snapToGrid/>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3.4.</w:t>
      </w:r>
      <w:r>
        <w:rPr>
          <w:rFonts w:hint="eastAsia"/>
          <w:color w:val="000000" w:themeColor="text1"/>
          <w:sz w:val="28"/>
          <w:szCs w:val="28"/>
          <w14:textFill>
            <w14:solidFill>
              <w14:schemeClr w14:val="tx1"/>
            </w14:solidFill>
          </w14:textFill>
        </w:rPr>
        <w:t>4土壤</w:t>
      </w:r>
      <w:r>
        <w:rPr>
          <w:color w:val="000000" w:themeColor="text1"/>
          <w:sz w:val="28"/>
          <w:szCs w:val="28"/>
          <w14:textFill>
            <w14:solidFill>
              <w14:schemeClr w14:val="tx1"/>
            </w14:solidFill>
          </w14:textFill>
        </w:rPr>
        <w:t>环境现状调查与评价</w:t>
      </w:r>
    </w:p>
    <w:p>
      <w:pPr>
        <w:pStyle w:val="135"/>
        <w:widowControl w:val="0"/>
        <w:overflowPunct w:val="0"/>
        <w:spacing w:line="36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克拉玛依市全境大部分地区为弋壁荒漠</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从南到北</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土壤分布依次为棕钙土、荒漠灰钙土和灰棕色荒漠土</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土质低劣</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遍地砂砾</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不少地方土壤含盐量高</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因缺雨水冲刷,盐分板结在土壤表层上</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形成严重的土壤盐碱化</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境内</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白碱滩区</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就是因遍地白茫茫的盐碱而得名</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由于具有干旱、少雨、多风、温差大等特征</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植被一般比较稀少、矮小</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多属能耐干旱、抗风沙、抗盐碱的藜科类植被.常见的有梭梭、沙枣树、骆驼刺、苦豆子、红柳等约230余种。</w:t>
      </w:r>
    </w:p>
    <w:p>
      <w:pPr>
        <w:pStyle w:val="129"/>
        <w:ind w:firstLine="630"/>
        <w:rPr>
          <w:rFonts w:hint="eastAsia" w:ascii="Times New Roman" w:hAnsi="Times New Roman" w:eastAsia="宋体"/>
          <w:bCs w:val="0"/>
          <w:color w:val="000000" w:themeColor="text1"/>
          <w:spacing w:val="6"/>
          <w:kern w:val="2"/>
          <w:lang w:val="zh-CN"/>
          <w14:textFill>
            <w14:solidFill>
              <w14:schemeClr w14:val="tx1"/>
            </w14:solidFill>
          </w14:textFill>
        </w:rPr>
      </w:pPr>
      <w:r>
        <w:rPr>
          <w:rFonts w:hint="eastAsia" w:ascii="Times New Roman" w:hAnsi="Times New Roman" w:eastAsia="宋体"/>
          <w:bCs w:val="0"/>
          <w:color w:val="000000" w:themeColor="text1"/>
          <w:spacing w:val="6"/>
          <w:kern w:val="2"/>
          <w:lang w:val="zh-CN"/>
          <w14:textFill>
            <w14:solidFill>
              <w14:schemeClr w14:val="tx1"/>
            </w14:solidFill>
          </w14:textFill>
        </w:rPr>
        <w:t>为了解项目厂区的土壤现状特征，本次土壤现状调查在项目厂区空地设置了</w:t>
      </w:r>
      <w:r>
        <w:rPr>
          <w:rFonts w:hint="eastAsia" w:ascii="Times New Roman" w:hAnsi="Times New Roman" w:eastAsia="宋体"/>
          <w:bCs w:val="0"/>
          <w:color w:val="000000" w:themeColor="text1"/>
          <w:spacing w:val="6"/>
          <w:kern w:val="2"/>
          <w:lang w:val="en-US" w:eastAsia="zh-CN"/>
          <w14:textFill>
            <w14:solidFill>
              <w14:schemeClr w14:val="tx1"/>
            </w14:solidFill>
          </w14:textFill>
        </w:rPr>
        <w:t>3</w:t>
      </w:r>
      <w:r>
        <w:rPr>
          <w:rFonts w:hint="eastAsia" w:ascii="Times New Roman" w:hAnsi="Times New Roman" w:eastAsia="宋体"/>
          <w:bCs w:val="0"/>
          <w:color w:val="000000" w:themeColor="text1"/>
          <w:spacing w:val="6"/>
          <w:kern w:val="2"/>
          <w:lang w:val="zh-CN"/>
          <w14:textFill>
            <w14:solidFill>
              <w14:schemeClr w14:val="tx1"/>
            </w14:solidFill>
          </w14:textFill>
        </w:rPr>
        <w:t>个采样点，于2019年</w:t>
      </w:r>
      <w:r>
        <w:rPr>
          <w:rFonts w:hint="eastAsia" w:ascii="Times New Roman" w:hAnsi="Times New Roman" w:eastAsia="宋体"/>
          <w:bCs w:val="0"/>
          <w:color w:val="000000" w:themeColor="text1"/>
          <w:spacing w:val="6"/>
          <w:kern w:val="2"/>
          <w:lang w:val="en-US" w:eastAsia="zh-CN"/>
          <w14:textFill>
            <w14:solidFill>
              <w14:schemeClr w14:val="tx1"/>
            </w14:solidFill>
          </w14:textFill>
        </w:rPr>
        <w:t>6</w:t>
      </w:r>
      <w:r>
        <w:rPr>
          <w:rFonts w:hint="eastAsia" w:ascii="Times New Roman" w:hAnsi="Times New Roman" w:eastAsia="宋体"/>
          <w:bCs w:val="0"/>
          <w:color w:val="000000" w:themeColor="text1"/>
          <w:spacing w:val="6"/>
          <w:kern w:val="2"/>
          <w:lang w:val="zh-CN"/>
          <w14:textFill>
            <w14:solidFill>
              <w14:schemeClr w14:val="tx1"/>
            </w14:solidFill>
          </w14:textFill>
        </w:rPr>
        <w:t>月委托新疆出入境检验检疫局检验检疫技术中心对土样进行了分析，土壤理化性质主要分析《土壤环境质量建设用地土壤污染风险管控标准（试行）》(GB36600</w:t>
      </w:r>
      <w:r>
        <w:rPr>
          <w:rFonts w:hint="eastAsia" w:ascii="Times New Roman" w:hAnsi="Times New Roman" w:eastAsia="宋体"/>
          <w:bCs w:val="0"/>
          <w:color w:val="000000" w:themeColor="text1"/>
          <w:spacing w:val="6"/>
          <w:kern w:val="2"/>
          <w:lang w:val="en-US" w:eastAsia="zh-CN"/>
          <w14:textFill>
            <w14:solidFill>
              <w14:schemeClr w14:val="tx1"/>
            </w14:solidFill>
          </w14:textFill>
        </w:rPr>
        <w:t>-</w:t>
      </w:r>
      <w:r>
        <w:rPr>
          <w:rFonts w:hint="eastAsia" w:ascii="Times New Roman" w:hAnsi="Times New Roman" w:eastAsia="宋体"/>
          <w:bCs w:val="0"/>
          <w:color w:val="000000" w:themeColor="text1"/>
          <w:spacing w:val="6"/>
          <w:kern w:val="2"/>
          <w:lang w:val="zh-CN"/>
          <w14:textFill>
            <w14:solidFill>
              <w14:schemeClr w14:val="tx1"/>
            </w14:solidFill>
          </w14:textFill>
        </w:rPr>
        <w:t>2018)表1中的45项基本项。</w:t>
      </w:r>
    </w:p>
    <w:p>
      <w:pPr>
        <w:pStyle w:val="129"/>
        <w:rPr>
          <w:rFonts w:hint="eastAsia" w:ascii="Times New Roman" w:hAnsi="Times New Roman" w:eastAsia="宋体"/>
          <w:bCs w:val="0"/>
          <w:color w:val="000000" w:themeColor="text1"/>
          <w:spacing w:val="6"/>
          <w:kern w:val="2"/>
          <w:lang w:val="zh-CN"/>
          <w14:textFill>
            <w14:solidFill>
              <w14:schemeClr w14:val="tx1"/>
            </w14:solidFill>
          </w14:textFill>
        </w:rPr>
      </w:pPr>
      <w:r>
        <w:rPr>
          <w:rFonts w:hint="eastAsia" w:ascii="Times New Roman" w:hAnsi="Times New Roman" w:eastAsia="宋体"/>
          <w:bCs w:val="0"/>
          <w:color w:val="000000" w:themeColor="text1"/>
          <w:spacing w:val="6"/>
          <w:kern w:val="2"/>
          <w:lang w:val="zh-CN"/>
          <w14:textFill>
            <w14:solidFill>
              <w14:schemeClr w14:val="tx1"/>
            </w14:solidFill>
          </w14:textFill>
        </w:rPr>
        <w:t>（</w:t>
      </w:r>
      <w:r>
        <w:rPr>
          <w:rFonts w:hint="eastAsia" w:ascii="Times New Roman" w:hAnsi="Times New Roman" w:eastAsia="宋体"/>
          <w:bCs w:val="0"/>
          <w:color w:val="000000" w:themeColor="text1"/>
          <w:spacing w:val="6"/>
          <w:kern w:val="2"/>
          <w:lang w:val="en-US" w:eastAsia="zh-CN"/>
          <w14:textFill>
            <w14:solidFill>
              <w14:schemeClr w14:val="tx1"/>
            </w14:solidFill>
          </w14:textFill>
        </w:rPr>
        <w:t>1</w:t>
      </w:r>
      <w:r>
        <w:rPr>
          <w:rFonts w:hint="eastAsia" w:ascii="Times New Roman" w:hAnsi="Times New Roman" w:eastAsia="宋体"/>
          <w:bCs w:val="0"/>
          <w:color w:val="000000" w:themeColor="text1"/>
          <w:spacing w:val="6"/>
          <w:kern w:val="2"/>
          <w:lang w:val="zh-CN"/>
          <w14:textFill>
            <w14:solidFill>
              <w14:schemeClr w14:val="tx1"/>
            </w14:solidFill>
          </w14:textFill>
        </w:rPr>
        <w:t>）评价方法与标准</w:t>
      </w:r>
    </w:p>
    <w:p>
      <w:pPr>
        <w:pStyle w:val="129"/>
        <w:keepNext w:val="0"/>
        <w:keepLines w:val="0"/>
        <w:pageBreakBefore w:val="0"/>
        <w:widowControl w:val="0"/>
        <w:kinsoku/>
        <w:wordWrap/>
        <w:overflowPunct/>
        <w:topLinePunct w:val="0"/>
        <w:autoSpaceDE/>
        <w:autoSpaceDN/>
        <w:bidi w:val="0"/>
        <w:adjustRightInd w:val="0"/>
        <w:snapToGrid w:val="0"/>
        <w:ind w:firstLine="504" w:firstLineChars="200"/>
        <w:jc w:val="both"/>
        <w:textAlignment w:val="auto"/>
        <w:rPr>
          <w:rFonts w:hint="default" w:ascii="Times New Roman" w:hAnsi="Times New Roman" w:eastAsia="宋体" w:cs="Times New Roman"/>
          <w:bCs w:val="0"/>
          <w:color w:val="000000" w:themeColor="text1"/>
          <w:spacing w:val="6"/>
          <w:kern w:val="2"/>
          <w:lang w:val="zh-CN"/>
          <w14:textFill>
            <w14:solidFill>
              <w14:schemeClr w14:val="tx1"/>
            </w14:solidFill>
          </w14:textFill>
        </w:rPr>
      </w:pPr>
      <w:r>
        <w:rPr>
          <w:rFonts w:hint="default" w:ascii="Times New Roman" w:hAnsi="Times New Roman" w:eastAsia="宋体" w:cs="Times New Roman"/>
          <w:bCs w:val="0"/>
          <w:color w:val="000000" w:themeColor="text1"/>
          <w:spacing w:val="6"/>
          <w:kern w:val="2"/>
          <w:lang w:val="zh-CN"/>
          <w14:textFill>
            <w14:solidFill>
              <w14:schemeClr w14:val="tx1"/>
            </w14:solidFill>
          </w14:textFill>
        </w:rPr>
        <w:t>土壤环境质量现状采用单因子评价方法评价，计算公式如下：</w:t>
      </w:r>
    </w:p>
    <w:p>
      <w:pPr>
        <w:pStyle w:val="129"/>
        <w:keepNext w:val="0"/>
        <w:keepLines w:val="0"/>
        <w:pageBreakBefore w:val="0"/>
        <w:widowControl w:val="0"/>
        <w:kinsoku/>
        <w:wordWrap/>
        <w:overflowPunct/>
        <w:topLinePunct w:val="0"/>
        <w:autoSpaceDE/>
        <w:autoSpaceDN/>
        <w:bidi w:val="0"/>
        <w:adjustRightInd w:val="0"/>
        <w:snapToGrid w:val="0"/>
        <w:ind w:firstLine="504" w:firstLineChars="200"/>
        <w:jc w:val="both"/>
        <w:textAlignment w:val="auto"/>
        <w:rPr>
          <w:rFonts w:hint="default" w:ascii="Times New Roman" w:hAnsi="Times New Roman" w:eastAsia="宋体" w:cs="Times New Roman"/>
          <w:bCs w:val="0"/>
          <w:color w:val="000000" w:themeColor="text1"/>
          <w:spacing w:val="6"/>
          <w:kern w:val="2"/>
          <w:lang w:val="zh-CN"/>
          <w14:textFill>
            <w14:solidFill>
              <w14:schemeClr w14:val="tx1"/>
            </w14:solidFill>
          </w14:textFill>
        </w:rPr>
      </w:pPr>
      <w:r>
        <w:rPr>
          <w:rFonts w:hint="default" w:ascii="Times New Roman" w:hAnsi="Times New Roman" w:eastAsia="宋体" w:cs="Times New Roman"/>
          <w:bCs w:val="0"/>
          <w:color w:val="000000" w:themeColor="text1"/>
          <w:spacing w:val="6"/>
          <w:kern w:val="2"/>
          <w:lang w:val="zh-CN"/>
          <w14:textFill>
            <w14:solidFill>
              <w14:schemeClr w14:val="tx1"/>
            </w14:solidFill>
          </w14:textFill>
        </w:rPr>
        <w:t xml:space="preserve">                         </w:t>
      </w:r>
      <w:r>
        <w:rPr>
          <w:rFonts w:hint="default" w:ascii="Times New Roman" w:hAnsi="Times New Roman" w:eastAsia="宋体" w:cs="Times New Roman"/>
          <w:bCs w:val="0"/>
          <w:color w:val="000000" w:themeColor="text1"/>
          <w:spacing w:val="6"/>
          <w:kern w:val="2"/>
          <w14:textFill>
            <w14:solidFill>
              <w14:schemeClr w14:val="tx1"/>
            </w14:solidFill>
          </w14:textFill>
        </w:rPr>
        <w:fldChar w:fldCharType="begin"/>
      </w:r>
      <w:r>
        <w:rPr>
          <w:rFonts w:hint="default" w:ascii="Times New Roman" w:hAnsi="Times New Roman" w:eastAsia="宋体" w:cs="Times New Roman"/>
          <w:bCs w:val="0"/>
          <w:color w:val="000000" w:themeColor="text1"/>
          <w:spacing w:val="6"/>
          <w:kern w:val="2"/>
          <w14:textFill>
            <w14:solidFill>
              <w14:schemeClr w14:val="tx1"/>
            </w14:solidFill>
          </w14:textFill>
        </w:rPr>
        <w:instrText xml:space="preserve"> INCLUDEPICTURE "D:\\项目审查文件2017.11\\环评评估文件\\Local Settings\\Temp\\ksohtml\\wps58.tmp.png" \* MERGEFORMAT </w:instrText>
      </w:r>
      <w:r>
        <w:rPr>
          <w:rFonts w:hint="default" w:ascii="Times New Roman" w:hAnsi="Times New Roman" w:eastAsia="宋体" w:cs="Times New Roman"/>
          <w:bCs w:val="0"/>
          <w:color w:val="000000" w:themeColor="text1"/>
          <w:spacing w:val="6"/>
          <w:kern w:val="2"/>
          <w14:textFill>
            <w14:solidFill>
              <w14:schemeClr w14:val="tx1"/>
            </w14:solidFill>
          </w14:textFill>
        </w:rPr>
        <w:fldChar w:fldCharType="separate"/>
      </w:r>
      <w:r>
        <w:rPr>
          <w:rFonts w:hint="default" w:ascii="Times New Roman" w:hAnsi="Times New Roman" w:eastAsia="宋体" w:cs="Times New Roman"/>
          <w:bCs/>
          <w:color w:val="000000" w:themeColor="text1"/>
          <w:spacing w:val="6"/>
          <w:kern w:val="2"/>
          <w14:textFill>
            <w14:solidFill>
              <w14:schemeClr w14:val="tx1"/>
            </w14:solidFill>
          </w14:textFill>
        </w:rPr>
        <w:drawing>
          <wp:inline distT="0" distB="0" distL="114300" distR="114300">
            <wp:extent cx="714375" cy="180975"/>
            <wp:effectExtent l="0" t="0" r="9525" b="762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32"/>
                    <a:stretch>
                      <a:fillRect/>
                    </a:stretch>
                  </pic:blipFill>
                  <pic:spPr>
                    <a:xfrm>
                      <a:off x="0" y="0"/>
                      <a:ext cx="714375" cy="180975"/>
                    </a:xfrm>
                    <a:prstGeom prst="rect">
                      <a:avLst/>
                    </a:prstGeom>
                    <a:noFill/>
                    <a:ln>
                      <a:noFill/>
                    </a:ln>
                  </pic:spPr>
                </pic:pic>
              </a:graphicData>
            </a:graphic>
          </wp:inline>
        </w:drawing>
      </w:r>
      <w:r>
        <w:rPr>
          <w:rFonts w:hint="default" w:ascii="Times New Roman" w:hAnsi="Times New Roman" w:eastAsia="宋体" w:cs="Times New Roman"/>
          <w:bCs w:val="0"/>
          <w:color w:val="000000" w:themeColor="text1"/>
          <w:spacing w:val="6"/>
          <w:kern w:val="2"/>
          <w14:textFill>
            <w14:solidFill>
              <w14:schemeClr w14:val="tx1"/>
            </w14:solidFill>
          </w14:textFill>
        </w:rPr>
        <w:fldChar w:fldCharType="end"/>
      </w:r>
    </w:p>
    <w:p>
      <w:pPr>
        <w:pStyle w:val="129"/>
        <w:keepNext w:val="0"/>
        <w:keepLines w:val="0"/>
        <w:pageBreakBefore w:val="0"/>
        <w:widowControl w:val="0"/>
        <w:kinsoku/>
        <w:wordWrap/>
        <w:overflowPunct/>
        <w:topLinePunct w:val="0"/>
        <w:autoSpaceDE/>
        <w:autoSpaceDN/>
        <w:bidi w:val="0"/>
        <w:adjustRightInd w:val="0"/>
        <w:snapToGrid w:val="0"/>
        <w:ind w:firstLine="504" w:firstLineChars="200"/>
        <w:jc w:val="both"/>
        <w:textAlignment w:val="auto"/>
        <w:rPr>
          <w:rFonts w:hint="default" w:ascii="Times New Roman" w:hAnsi="Times New Roman" w:eastAsia="宋体" w:cs="Times New Roman"/>
          <w:bCs w:val="0"/>
          <w:color w:val="000000" w:themeColor="text1"/>
          <w:spacing w:val="6"/>
          <w:kern w:val="2"/>
          <w:lang w:val="zh-CN"/>
          <w14:textFill>
            <w14:solidFill>
              <w14:schemeClr w14:val="tx1"/>
            </w14:solidFill>
          </w14:textFill>
        </w:rPr>
      </w:pPr>
      <w:r>
        <w:rPr>
          <w:rFonts w:hint="default" w:ascii="Times New Roman" w:hAnsi="Times New Roman" w:eastAsia="宋体" w:cs="Times New Roman"/>
          <w:bCs w:val="0"/>
          <w:color w:val="000000" w:themeColor="text1"/>
          <w:spacing w:val="6"/>
          <w:kern w:val="2"/>
          <w:lang w:val="zh-CN"/>
          <w14:textFill>
            <w14:solidFill>
              <w14:schemeClr w14:val="tx1"/>
            </w14:solidFill>
          </w14:textFill>
        </w:rPr>
        <w:t xml:space="preserve">    式中，Pi——土壤中污染物i的污染指数；</w:t>
      </w:r>
    </w:p>
    <w:p>
      <w:pPr>
        <w:pStyle w:val="129"/>
        <w:keepNext w:val="0"/>
        <w:keepLines w:val="0"/>
        <w:pageBreakBefore w:val="0"/>
        <w:widowControl w:val="0"/>
        <w:kinsoku/>
        <w:wordWrap/>
        <w:overflowPunct/>
        <w:topLinePunct w:val="0"/>
        <w:autoSpaceDE/>
        <w:autoSpaceDN/>
        <w:bidi w:val="0"/>
        <w:adjustRightInd w:val="0"/>
        <w:snapToGrid w:val="0"/>
        <w:ind w:firstLine="504" w:firstLineChars="200"/>
        <w:jc w:val="both"/>
        <w:textAlignment w:val="auto"/>
        <w:rPr>
          <w:rFonts w:hint="default" w:ascii="Times New Roman" w:hAnsi="Times New Roman" w:eastAsia="宋体" w:cs="Times New Roman"/>
          <w:bCs w:val="0"/>
          <w:color w:val="000000" w:themeColor="text1"/>
          <w:spacing w:val="6"/>
          <w:kern w:val="2"/>
          <w:lang w:val="zh-CN"/>
          <w14:textFill>
            <w14:solidFill>
              <w14:schemeClr w14:val="tx1"/>
            </w14:solidFill>
          </w14:textFill>
        </w:rPr>
      </w:pPr>
      <w:r>
        <w:rPr>
          <w:rFonts w:hint="default" w:ascii="Times New Roman" w:hAnsi="Times New Roman" w:eastAsia="宋体" w:cs="Times New Roman"/>
          <w:bCs w:val="0"/>
          <w:color w:val="000000" w:themeColor="text1"/>
          <w:spacing w:val="6"/>
          <w:kern w:val="2"/>
          <w:lang w:val="zh-CN"/>
          <w14:textFill>
            <w14:solidFill>
              <w14:schemeClr w14:val="tx1"/>
            </w14:solidFill>
          </w14:textFill>
        </w:rPr>
        <w:t xml:space="preserve">          Ci——土壤中污染物i的实测含量（mg/kg）；</w:t>
      </w:r>
    </w:p>
    <w:p>
      <w:pPr>
        <w:pStyle w:val="129"/>
        <w:keepNext w:val="0"/>
        <w:keepLines w:val="0"/>
        <w:pageBreakBefore w:val="0"/>
        <w:widowControl w:val="0"/>
        <w:kinsoku/>
        <w:wordWrap/>
        <w:overflowPunct/>
        <w:topLinePunct w:val="0"/>
        <w:autoSpaceDE/>
        <w:autoSpaceDN/>
        <w:bidi w:val="0"/>
        <w:adjustRightInd w:val="0"/>
        <w:snapToGrid w:val="0"/>
        <w:ind w:firstLine="504" w:firstLineChars="200"/>
        <w:jc w:val="both"/>
        <w:textAlignment w:val="auto"/>
        <w:rPr>
          <w:rFonts w:hint="default" w:ascii="Times New Roman" w:hAnsi="Times New Roman" w:eastAsia="宋体" w:cs="Times New Roman"/>
          <w:bCs w:val="0"/>
          <w:color w:val="000000" w:themeColor="text1"/>
          <w:spacing w:val="6"/>
          <w:kern w:val="2"/>
          <w:lang w:val="zh-CN"/>
          <w14:textFill>
            <w14:solidFill>
              <w14:schemeClr w14:val="tx1"/>
            </w14:solidFill>
          </w14:textFill>
        </w:rPr>
      </w:pPr>
      <w:r>
        <w:rPr>
          <w:rFonts w:hint="default" w:ascii="Times New Roman" w:hAnsi="Times New Roman" w:eastAsia="宋体" w:cs="Times New Roman"/>
          <w:bCs w:val="0"/>
          <w:color w:val="000000" w:themeColor="text1"/>
          <w:spacing w:val="6"/>
          <w:kern w:val="2"/>
          <w:lang w:val="zh-CN"/>
          <w14:textFill>
            <w14:solidFill>
              <w14:schemeClr w14:val="tx1"/>
            </w14:solidFill>
          </w14:textFill>
        </w:rPr>
        <w:t xml:space="preserve">          Si——土壤污染物的评价标准（mg/kg）。</w:t>
      </w:r>
    </w:p>
    <w:p>
      <w:pPr>
        <w:pStyle w:val="129"/>
        <w:keepNext w:val="0"/>
        <w:keepLines w:val="0"/>
        <w:pageBreakBefore w:val="0"/>
        <w:widowControl w:val="0"/>
        <w:kinsoku/>
        <w:wordWrap/>
        <w:overflowPunct/>
        <w:topLinePunct w:val="0"/>
        <w:autoSpaceDE/>
        <w:autoSpaceDN/>
        <w:bidi w:val="0"/>
        <w:adjustRightInd w:val="0"/>
        <w:snapToGrid w:val="0"/>
        <w:ind w:firstLine="504" w:firstLineChars="200"/>
        <w:jc w:val="both"/>
        <w:textAlignment w:val="auto"/>
        <w:rPr>
          <w:rFonts w:hint="default" w:ascii="Times New Roman" w:hAnsi="Times New Roman" w:eastAsia="宋体" w:cs="Times New Roman"/>
          <w:bCs w:val="0"/>
          <w:color w:val="000000" w:themeColor="text1"/>
          <w:spacing w:val="6"/>
          <w:kern w:val="2"/>
          <w:lang w:val="zh-CN"/>
          <w14:textFill>
            <w14:solidFill>
              <w14:schemeClr w14:val="tx1"/>
            </w14:solidFill>
          </w14:textFill>
        </w:rPr>
      </w:pPr>
      <w:r>
        <w:rPr>
          <w:rFonts w:hint="default" w:ascii="Times New Roman" w:hAnsi="Times New Roman" w:eastAsia="宋体" w:cs="Times New Roman"/>
          <w:bCs w:val="0"/>
          <w:color w:val="000000" w:themeColor="text1"/>
          <w:spacing w:val="6"/>
          <w:kern w:val="2"/>
          <w:lang w:val="zh-CN"/>
          <w14:textFill>
            <w14:solidFill>
              <w14:schemeClr w14:val="tx1"/>
            </w14:solidFill>
          </w14:textFill>
        </w:rPr>
        <w:t>土壤各元素评价标准采用《土壤环境质量建设用地土壤污染风险管控标准（试行）》(GB36600</w:t>
      </w:r>
      <w:r>
        <w:rPr>
          <w:rFonts w:hint="eastAsia" w:ascii="Times New Roman" w:hAnsi="Times New Roman" w:eastAsia="宋体" w:cs="Times New Roman"/>
          <w:bCs w:val="0"/>
          <w:color w:val="000000" w:themeColor="text1"/>
          <w:spacing w:val="6"/>
          <w:kern w:val="2"/>
          <w:lang w:val="en-US" w:eastAsia="zh-CN"/>
          <w14:textFill>
            <w14:solidFill>
              <w14:schemeClr w14:val="tx1"/>
            </w14:solidFill>
          </w14:textFill>
        </w:rPr>
        <w:t>-</w:t>
      </w:r>
      <w:r>
        <w:rPr>
          <w:rFonts w:hint="default" w:ascii="Times New Roman" w:hAnsi="Times New Roman" w:eastAsia="宋体" w:cs="Times New Roman"/>
          <w:bCs w:val="0"/>
          <w:color w:val="000000" w:themeColor="text1"/>
          <w:spacing w:val="6"/>
          <w:kern w:val="2"/>
          <w:lang w:val="zh-CN"/>
          <w14:textFill>
            <w14:solidFill>
              <w14:schemeClr w14:val="tx1"/>
            </w14:solidFill>
          </w14:textFill>
        </w:rPr>
        <w:t>2018)中第二类用地筛选值和管制值为评价标准。</w:t>
      </w:r>
    </w:p>
    <w:p>
      <w:pPr>
        <w:pStyle w:val="129"/>
        <w:rPr>
          <w:rFonts w:hint="eastAsia" w:ascii="Times New Roman" w:hAnsi="Times New Roman" w:eastAsia="宋体"/>
          <w:bCs w:val="0"/>
          <w:color w:val="000000" w:themeColor="text1"/>
          <w:spacing w:val="6"/>
          <w:kern w:val="2"/>
          <w:lang w:val="zh-CN"/>
          <w14:textFill>
            <w14:solidFill>
              <w14:schemeClr w14:val="tx1"/>
            </w14:solidFill>
          </w14:textFill>
        </w:rPr>
      </w:pPr>
      <w:r>
        <w:rPr>
          <w:rFonts w:hint="eastAsia" w:ascii="Times New Roman" w:hAnsi="Times New Roman" w:eastAsia="宋体"/>
          <w:bCs w:val="0"/>
          <w:color w:val="000000" w:themeColor="text1"/>
          <w:spacing w:val="6"/>
          <w:kern w:val="2"/>
          <w:lang w:val="zh-CN"/>
          <w14:textFill>
            <w14:solidFill>
              <w14:schemeClr w14:val="tx1"/>
            </w14:solidFill>
          </w14:textFill>
        </w:rPr>
        <w:t>（</w:t>
      </w:r>
      <w:r>
        <w:rPr>
          <w:rFonts w:hint="eastAsia" w:ascii="Times New Roman" w:hAnsi="Times New Roman" w:eastAsia="宋体"/>
          <w:bCs w:val="0"/>
          <w:color w:val="000000" w:themeColor="text1"/>
          <w:spacing w:val="6"/>
          <w:kern w:val="2"/>
          <w:lang w:val="en-US" w:eastAsia="zh-CN"/>
          <w14:textFill>
            <w14:solidFill>
              <w14:schemeClr w14:val="tx1"/>
            </w14:solidFill>
          </w14:textFill>
        </w:rPr>
        <w:t>3</w:t>
      </w:r>
      <w:r>
        <w:rPr>
          <w:rFonts w:hint="eastAsia" w:ascii="Times New Roman" w:hAnsi="Times New Roman" w:eastAsia="宋体"/>
          <w:bCs w:val="0"/>
          <w:color w:val="000000" w:themeColor="text1"/>
          <w:spacing w:val="6"/>
          <w:kern w:val="2"/>
          <w:lang w:val="zh-CN"/>
          <w14:textFill>
            <w14:solidFill>
              <w14:schemeClr w14:val="tx1"/>
            </w14:solidFill>
          </w14:textFill>
        </w:rPr>
        <w:t>）评价结果</w:t>
      </w:r>
    </w:p>
    <w:p>
      <w:pPr>
        <w:pStyle w:val="129"/>
        <w:ind w:firstLine="630"/>
        <w:rPr>
          <w:rFonts w:hint="eastAsia" w:ascii="Times New Roman" w:hAnsi="Times New Roman" w:eastAsia="宋体"/>
          <w:bCs w:val="0"/>
          <w:color w:val="000000" w:themeColor="text1"/>
          <w:spacing w:val="6"/>
          <w:kern w:val="2"/>
          <w:lang w:val="zh-CN"/>
          <w14:textFill>
            <w14:solidFill>
              <w14:schemeClr w14:val="tx1"/>
            </w14:solidFill>
          </w14:textFill>
        </w:rPr>
      </w:pPr>
      <w:r>
        <w:rPr>
          <w:rFonts w:hint="eastAsia" w:ascii="Times New Roman" w:hAnsi="Times New Roman" w:eastAsia="宋体"/>
          <w:bCs w:val="0"/>
          <w:color w:val="000000" w:themeColor="text1"/>
          <w:spacing w:val="6"/>
          <w:kern w:val="2"/>
          <w:lang w:val="zh-CN"/>
          <w14:textFill>
            <w14:solidFill>
              <w14:schemeClr w14:val="tx1"/>
            </w14:solidFill>
          </w14:textFill>
        </w:rPr>
        <w:t>厂区土壤质量现状评价结果见表</w:t>
      </w:r>
      <w:r>
        <w:rPr>
          <w:rFonts w:hint="eastAsia" w:ascii="Times New Roman" w:hAnsi="Times New Roman" w:eastAsia="宋体"/>
          <w:bCs w:val="0"/>
          <w:color w:val="000000" w:themeColor="text1"/>
          <w:spacing w:val="6"/>
          <w:kern w:val="2"/>
          <w14:textFill>
            <w14:solidFill>
              <w14:schemeClr w14:val="tx1"/>
            </w14:solidFill>
          </w14:textFill>
        </w:rPr>
        <w:t>3.4-10</w:t>
      </w:r>
      <w:r>
        <w:rPr>
          <w:rFonts w:hint="eastAsia" w:ascii="Times New Roman" w:hAnsi="Times New Roman" w:eastAsia="宋体"/>
          <w:bCs w:val="0"/>
          <w:color w:val="000000" w:themeColor="text1"/>
          <w:spacing w:val="6"/>
          <w:kern w:val="2"/>
          <w:lang w:val="zh-CN"/>
          <w14:textFill>
            <w14:solidFill>
              <w14:schemeClr w14:val="tx1"/>
            </w14:solidFill>
          </w14:textFill>
        </w:rPr>
        <w:t>。</w:t>
      </w:r>
    </w:p>
    <w:p>
      <w:pPr>
        <w:pStyle w:val="44"/>
        <w:keepNext w:val="0"/>
        <w:keepLines w:val="0"/>
        <w:pageBreakBefore w:val="0"/>
        <w:widowControl w:val="0"/>
        <w:shd w:val="clear" w:color="auto" w:fill="auto"/>
        <w:tabs>
          <w:tab w:val="left" w:pos="3710"/>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表3.4-10     厂区土壤现状监测评价结果一览表</w:t>
      </w:r>
    </w:p>
    <w:tbl>
      <w:tblPr>
        <w:tblStyle w:val="21"/>
        <w:tblW w:w="86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1144"/>
        <w:gridCol w:w="765"/>
        <w:gridCol w:w="780"/>
        <w:gridCol w:w="765"/>
        <w:gridCol w:w="750"/>
        <w:gridCol w:w="660"/>
        <w:gridCol w:w="705"/>
        <w:gridCol w:w="645"/>
        <w:gridCol w:w="1230"/>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vMerge w:val="restart"/>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检测项目</w:t>
            </w:r>
          </w:p>
        </w:tc>
        <w:tc>
          <w:tcPr>
            <w:tcW w:w="765" w:type="dxa"/>
            <w:vMerge w:val="restart"/>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单位</w:t>
            </w:r>
          </w:p>
        </w:tc>
        <w:tc>
          <w:tcPr>
            <w:tcW w:w="1545" w:type="dxa"/>
            <w:gridSpan w:val="2"/>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西侧</w:t>
            </w:r>
          </w:p>
        </w:tc>
        <w:tc>
          <w:tcPr>
            <w:tcW w:w="1410" w:type="dxa"/>
            <w:gridSpan w:val="2"/>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厂区中央</w:t>
            </w:r>
          </w:p>
        </w:tc>
        <w:tc>
          <w:tcPr>
            <w:tcW w:w="1350" w:type="dxa"/>
            <w:gridSpan w:val="2"/>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东侧</w:t>
            </w:r>
          </w:p>
        </w:tc>
        <w:tc>
          <w:tcPr>
            <w:tcW w:w="1230" w:type="dxa"/>
            <w:vMerge w:val="restart"/>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筛选值</w:t>
            </w:r>
          </w:p>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第二类用地（mg/kg）</w:t>
            </w:r>
          </w:p>
        </w:tc>
        <w:tc>
          <w:tcPr>
            <w:tcW w:w="1177" w:type="dxa"/>
            <w:vMerge w:val="restart"/>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管制值</w:t>
            </w:r>
          </w:p>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第二类用地（mg/kg）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vMerge w:val="continue"/>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765" w:type="dxa"/>
            <w:vMerge w:val="continue"/>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实测值</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Pi</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实测值</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Pi</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实测值</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Pi</w:t>
            </w:r>
          </w:p>
        </w:tc>
        <w:tc>
          <w:tcPr>
            <w:tcW w:w="1230" w:type="dxa"/>
            <w:vMerge w:val="continue"/>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177" w:type="dxa"/>
            <w:vMerge w:val="continue"/>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砷</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ascii="Times New Roman" w:hAnsi="Times New Roman" w:cs="Times New Roman"/>
                <w:bCs/>
                <w:color w:val="000000" w:themeColor="text1"/>
                <w:sz w:val="18"/>
                <w:szCs w:val="18"/>
                <w:lang w:val="en-US" w:eastAsia="zh-CN"/>
                <w14:textFill>
                  <w14:solidFill>
                    <w14:schemeClr w14:val="tx1"/>
                  </w14:solidFill>
                </w14:textFill>
              </w:rPr>
              <w:t>18.4</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31</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bCs/>
                <w:color w:val="000000" w:themeColor="text1"/>
                <w:sz w:val="18"/>
                <w:szCs w:val="18"/>
                <w:lang w:val="en-US" w:eastAsia="zh-CN"/>
                <w14:textFill>
                  <w14:solidFill>
                    <w14:schemeClr w14:val="tx1"/>
                  </w14:solidFill>
                </w14:textFill>
              </w:rPr>
              <w:t>11.8</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0.19</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17.8</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0.29</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60</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镉</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ascii="Times New Roman" w:hAnsi="Times New Roman" w:cs="Times New Roman"/>
                <w:bCs/>
                <w:color w:val="000000" w:themeColor="text1"/>
                <w:sz w:val="18"/>
                <w:szCs w:val="18"/>
                <w:lang w:val="en-US" w:eastAsia="zh-CN"/>
                <w14:textFill>
                  <w14:solidFill>
                    <w14:schemeClr w14:val="tx1"/>
                  </w14:solidFill>
                </w14:textFill>
              </w:rPr>
              <w:t>0.29</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0.00</w:t>
            </w:r>
            <w:r>
              <w:rPr>
                <w:rFonts w:hint="eastAsia" w:ascii="Times New Roman" w:hAnsi="Times New Roman" w:cs="Times New Roman"/>
                <w:color w:val="000000" w:themeColor="text1"/>
                <w:sz w:val="18"/>
                <w:szCs w:val="18"/>
                <w:lang w:val="en-US" w:eastAsia="zh-CN"/>
                <w14:textFill>
                  <w14:solidFill>
                    <w14:schemeClr w14:val="tx1"/>
                  </w14:solidFill>
                </w14:textFill>
              </w:rPr>
              <w:t>44</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bCs/>
                <w:color w:val="000000" w:themeColor="text1"/>
                <w:sz w:val="18"/>
                <w:szCs w:val="18"/>
                <w:lang w:val="en-US" w:eastAsia="zh-CN"/>
                <w14:textFill>
                  <w14:solidFill>
                    <w14:schemeClr w14:val="tx1"/>
                  </w14:solidFill>
                </w14:textFill>
              </w:rPr>
              <w:t>0.15</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.0023</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0.26</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0.004</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65</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铬（六价）</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5.7</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铜</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ascii="Times New Roman" w:hAnsi="Times New Roman" w:cs="Times New Roman"/>
                <w:bCs/>
                <w:color w:val="000000" w:themeColor="text1"/>
                <w:sz w:val="18"/>
                <w:szCs w:val="18"/>
                <w:lang w:val="en-US" w:eastAsia="zh-CN"/>
                <w14:textFill>
                  <w14:solidFill>
                    <w14:schemeClr w14:val="tx1"/>
                  </w14:solidFill>
                </w14:textFill>
              </w:rPr>
              <w:t>44.4</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0.0024</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bCs/>
                <w:color w:val="000000" w:themeColor="text1"/>
                <w:sz w:val="18"/>
                <w:szCs w:val="18"/>
                <w:lang w:val="en-US" w:eastAsia="zh-CN"/>
                <w14:textFill>
                  <w14:solidFill>
                    <w14:schemeClr w14:val="tx1"/>
                  </w14:solidFill>
                </w14:textFill>
              </w:rPr>
              <w:t>38.3</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0.00</w:t>
            </w:r>
            <w:r>
              <w:rPr>
                <w:rFonts w:hint="eastAsia" w:ascii="Times New Roman" w:hAnsi="Times New Roman" w:cs="Times New Roman"/>
                <w:color w:val="000000" w:themeColor="text1"/>
                <w:sz w:val="18"/>
                <w:szCs w:val="18"/>
                <w:lang w:val="en-US" w:eastAsia="zh-CN"/>
                <w14:textFill>
                  <w14:solidFill>
                    <w14:schemeClr w14:val="tx1"/>
                  </w14:solidFill>
                </w14:textFill>
              </w:rPr>
              <w:t>21</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40.4</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0.0022</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18000</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铅</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ascii="Times New Roman" w:hAnsi="Times New Roman" w:cs="Times New Roman"/>
                <w:bCs/>
                <w:color w:val="000000" w:themeColor="text1"/>
                <w:sz w:val="18"/>
                <w:szCs w:val="18"/>
                <w:lang w:val="en-US" w:eastAsia="zh-CN"/>
                <w14:textFill>
                  <w14:solidFill>
                    <w14:schemeClr w14:val="tx1"/>
                  </w14:solidFill>
                </w14:textFill>
              </w:rPr>
              <w:t>25</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0.0</w:t>
            </w:r>
            <w:r>
              <w:rPr>
                <w:rFonts w:hint="eastAsia" w:ascii="Times New Roman" w:hAnsi="Times New Roman" w:cs="Times New Roman"/>
                <w:color w:val="000000" w:themeColor="text1"/>
                <w:sz w:val="18"/>
                <w:szCs w:val="18"/>
                <w:lang w:val="en-US" w:eastAsia="zh-CN"/>
                <w14:textFill>
                  <w14:solidFill>
                    <w14:schemeClr w14:val="tx1"/>
                  </w14:solidFill>
                </w14:textFill>
              </w:rPr>
              <w:t>31</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bCs/>
                <w:color w:val="000000" w:themeColor="text1"/>
                <w:sz w:val="18"/>
                <w:szCs w:val="18"/>
                <w:lang w:val="en-US" w:eastAsia="zh-CN"/>
                <w14:textFill>
                  <w14:solidFill>
                    <w14:schemeClr w14:val="tx1"/>
                  </w14:solidFill>
                </w14:textFill>
              </w:rPr>
              <w:t>22.4</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0.0</w:t>
            </w:r>
            <w:r>
              <w:rPr>
                <w:rFonts w:hint="eastAsia" w:ascii="Times New Roman" w:hAnsi="Times New Roman" w:cs="Times New Roman"/>
                <w:color w:val="000000" w:themeColor="text1"/>
                <w:sz w:val="18"/>
                <w:szCs w:val="18"/>
                <w:lang w:val="en-US" w:eastAsia="zh-CN"/>
                <w14:textFill>
                  <w14:solidFill>
                    <w14:schemeClr w14:val="tx1"/>
                  </w14:solidFill>
                </w14:textFill>
              </w:rPr>
              <w:t>28</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22.5</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0.028</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800</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汞</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bCs/>
                <w:color w:val="000000" w:themeColor="text1"/>
                <w:sz w:val="18"/>
                <w:szCs w:val="18"/>
                <w:lang w:eastAsia="zh-CN"/>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0.02</w:t>
            </w:r>
            <w:r>
              <w:rPr>
                <w:rFonts w:hint="eastAsia" w:ascii="Times New Roman" w:hAnsi="Times New Roman" w:cs="Times New Roman"/>
                <w:bCs/>
                <w:color w:val="000000" w:themeColor="text1"/>
                <w:sz w:val="18"/>
                <w:szCs w:val="18"/>
                <w:lang w:val="en-US" w:eastAsia="zh-CN"/>
                <w14:textFill>
                  <w14:solidFill>
                    <w14:schemeClr w14:val="tx1"/>
                  </w14:solidFill>
                </w14:textFill>
              </w:rPr>
              <w:t>5</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0.0007</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0.0</w:t>
            </w:r>
            <w:r>
              <w:rPr>
                <w:rFonts w:hint="eastAsia" w:ascii="Times New Roman" w:hAnsi="Times New Roman" w:cs="Times New Roman"/>
                <w:bCs/>
                <w:color w:val="000000" w:themeColor="text1"/>
                <w:sz w:val="18"/>
                <w:szCs w:val="18"/>
                <w:lang w:val="en-US" w:eastAsia="zh-CN"/>
                <w14:textFill>
                  <w14:solidFill>
                    <w14:schemeClr w14:val="tx1"/>
                  </w14:solidFill>
                </w14:textFill>
              </w:rPr>
              <w:t>25</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0.0007</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0.023</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0.0007</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lang w:val="en-US"/>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0.0006</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镍</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eastAsia" w:ascii="Times New Roman" w:hAnsi="Times New Roman" w:cs="Times New Roman"/>
                <w:bCs/>
                <w:color w:val="000000" w:themeColor="text1"/>
                <w:sz w:val="18"/>
                <w:szCs w:val="18"/>
                <w:lang w:val="en-US" w:eastAsia="zh-CN"/>
                <w14:textFill>
                  <w14:solidFill>
                    <w14:schemeClr w14:val="tx1"/>
                  </w14:solidFill>
                </w14:textFill>
              </w:rPr>
              <w:t>40.8</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0.0</w:t>
            </w:r>
            <w:r>
              <w:rPr>
                <w:rFonts w:hint="eastAsia" w:ascii="Times New Roman" w:hAnsi="Times New Roman" w:cs="Times New Roman"/>
                <w:color w:val="000000" w:themeColor="text1"/>
                <w:sz w:val="18"/>
                <w:szCs w:val="18"/>
                <w:lang w:val="en-US" w:eastAsia="zh-CN"/>
                <w14:textFill>
                  <w14:solidFill>
                    <w14:schemeClr w14:val="tx1"/>
                  </w14:solidFill>
                </w14:textFill>
              </w:rPr>
              <w:t>45</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bCs/>
                <w:color w:val="000000" w:themeColor="text1"/>
                <w:sz w:val="18"/>
                <w:szCs w:val="18"/>
                <w:lang w:val="en-US" w:eastAsia="zh-CN"/>
                <w14:textFill>
                  <w14:solidFill>
                    <w14:schemeClr w14:val="tx1"/>
                  </w14:solidFill>
                </w14:textFill>
              </w:rPr>
              <w:t>36.3</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0.0</w:t>
            </w:r>
            <w:r>
              <w:rPr>
                <w:rFonts w:hint="eastAsia" w:ascii="Times New Roman" w:hAnsi="Times New Roman" w:cs="Times New Roman"/>
                <w:color w:val="000000" w:themeColor="text1"/>
                <w:sz w:val="18"/>
                <w:szCs w:val="18"/>
                <w:lang w:val="en-US" w:eastAsia="zh-CN"/>
                <w14:textFill>
                  <w14:solidFill>
                    <w14:schemeClr w14:val="tx1"/>
                  </w14:solidFill>
                </w14:textFill>
              </w:rPr>
              <w:t>4</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35.8</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0.039</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900</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lang w:bidi="ar"/>
                <w14:textFill>
                  <w14:solidFill>
                    <w14:schemeClr w14:val="tx1"/>
                  </w14:solidFill>
                </w14:textFill>
              </w:rPr>
            </w:pPr>
            <w:r>
              <w:rPr>
                <w:rFonts w:hint="default" w:ascii="Times New Roman" w:hAnsi="Times New Roman" w:cs="Times New Roman"/>
                <w:bCs/>
                <w:color w:val="000000" w:themeColor="text1"/>
                <w:sz w:val="18"/>
                <w:szCs w:val="18"/>
                <w:lang w:bidi="ar"/>
                <w14:textFill>
                  <w14:solidFill>
                    <w14:schemeClr w14:val="tx1"/>
                  </w14:solidFill>
                </w14:textFill>
              </w:rPr>
              <w:t>四氯化碳</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2.8</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lang w:bidi="ar"/>
                <w14:textFill>
                  <w14:solidFill>
                    <w14:schemeClr w14:val="tx1"/>
                  </w14:solidFill>
                </w14:textFill>
              </w:rPr>
            </w:pPr>
            <w:r>
              <w:rPr>
                <w:rFonts w:hint="default" w:ascii="Times New Roman" w:hAnsi="Times New Roman" w:cs="Times New Roman"/>
                <w:bCs/>
                <w:color w:val="000000" w:themeColor="text1"/>
                <w:sz w:val="18"/>
                <w:szCs w:val="18"/>
                <w:lang w:bidi="ar"/>
                <w14:textFill>
                  <w14:solidFill>
                    <w14:schemeClr w14:val="tx1"/>
                  </w14:solidFill>
                </w14:textFill>
              </w:rPr>
              <w:t>氯仿</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0.9</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氯甲烷</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37</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1,1-二氯乙烷</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9</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1,2-二氯乙烷</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1,1-二氯乙烯</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66</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顺-1,2-二氯乙烯</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596</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反-1,2-二氯乙烯</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54</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二氯甲烷</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616</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1,2-二氯丙烷</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1,1,1,2-四氯乙烷</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10</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1,1,2,2-四氯乙烷</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6.8</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四氯乙烯</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53</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1,1,1-三氯乙烷</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840</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1,1,2-三氯乙烷</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2.8</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三氯乙烯</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2.8</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lang w:bidi="ar"/>
                <w14:textFill>
                  <w14:solidFill>
                    <w14:schemeClr w14:val="tx1"/>
                  </w14:solidFill>
                </w14:textFill>
              </w:rPr>
            </w:pPr>
            <w:r>
              <w:rPr>
                <w:rFonts w:hint="default" w:ascii="Times New Roman" w:hAnsi="Times New Roman" w:cs="Times New Roman"/>
                <w:color w:val="000000" w:themeColor="text1"/>
                <w:sz w:val="18"/>
                <w:szCs w:val="18"/>
                <w:lang w:bidi="ar"/>
                <w14:textFill>
                  <w14:solidFill>
                    <w14:schemeClr w14:val="tx1"/>
                  </w14:solidFill>
                </w14:textFill>
              </w:rPr>
              <w:t>1,2,3-三氯丙烷</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0.5</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lang w:bidi="ar"/>
                <w14:textFill>
                  <w14:solidFill>
                    <w14:schemeClr w14:val="tx1"/>
                  </w14:solidFill>
                </w14:textFill>
              </w:rPr>
            </w:pPr>
            <w:r>
              <w:rPr>
                <w:rFonts w:hint="default" w:ascii="Times New Roman" w:hAnsi="Times New Roman" w:cs="Times New Roman"/>
                <w:color w:val="000000" w:themeColor="text1"/>
                <w:sz w:val="18"/>
                <w:szCs w:val="18"/>
                <w:lang w:bidi="ar"/>
                <w14:textFill>
                  <w14:solidFill>
                    <w14:schemeClr w14:val="tx1"/>
                  </w14:solidFill>
                </w14:textFill>
              </w:rPr>
              <w:t>氯乙烯</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0.43</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lang w:bidi="ar"/>
                <w14:textFill>
                  <w14:solidFill>
                    <w14:schemeClr w14:val="tx1"/>
                  </w14:solidFill>
                </w14:textFill>
              </w:rPr>
            </w:pPr>
            <w:r>
              <w:rPr>
                <w:rFonts w:hint="default" w:ascii="Times New Roman" w:hAnsi="Times New Roman" w:cs="Times New Roman"/>
                <w:color w:val="000000" w:themeColor="text1"/>
                <w:sz w:val="18"/>
                <w:szCs w:val="18"/>
                <w:lang w:bidi="ar"/>
                <w14:textFill>
                  <w14:solidFill>
                    <w14:schemeClr w14:val="tx1"/>
                  </w14:solidFill>
                </w14:textFill>
              </w:rPr>
              <w:t>苯</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4</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bidi="ar"/>
                <w14:textFill>
                  <w14:solidFill>
                    <w14:schemeClr w14:val="tx1"/>
                  </w14:solidFill>
                </w14:textFill>
              </w:rPr>
              <w:t>氯苯</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270</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lang w:bidi="ar"/>
                <w14:textFill>
                  <w14:solidFill>
                    <w14:schemeClr w14:val="tx1"/>
                  </w14:solidFill>
                </w14:textFill>
              </w:rPr>
            </w:pPr>
            <w:r>
              <w:rPr>
                <w:rFonts w:hint="default" w:ascii="Times New Roman" w:hAnsi="Times New Roman" w:cs="Times New Roman"/>
                <w:color w:val="000000" w:themeColor="text1"/>
                <w:sz w:val="18"/>
                <w:szCs w:val="18"/>
                <w:lang w:bidi="ar"/>
                <w14:textFill>
                  <w14:solidFill>
                    <w14:schemeClr w14:val="tx1"/>
                  </w14:solidFill>
                </w14:textFill>
              </w:rPr>
              <w:t>1,2-二氯苯</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560</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lang w:bidi="ar"/>
                <w14:textFill>
                  <w14:solidFill>
                    <w14:schemeClr w14:val="tx1"/>
                  </w14:solidFill>
                </w14:textFill>
              </w:rPr>
            </w:pPr>
            <w:r>
              <w:rPr>
                <w:rFonts w:hint="default" w:ascii="Times New Roman" w:hAnsi="Times New Roman" w:cs="Times New Roman"/>
                <w:color w:val="000000" w:themeColor="text1"/>
                <w:sz w:val="18"/>
                <w:szCs w:val="18"/>
                <w:lang w:bidi="ar"/>
                <w14:textFill>
                  <w14:solidFill>
                    <w14:schemeClr w14:val="tx1"/>
                  </w14:solidFill>
                </w14:textFill>
              </w:rPr>
              <w:t>1,4-二氯苯</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20</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lang w:bidi="ar"/>
                <w14:textFill>
                  <w14:solidFill>
                    <w14:schemeClr w14:val="tx1"/>
                  </w14:solidFill>
                </w14:textFill>
              </w:rPr>
            </w:pPr>
            <w:r>
              <w:rPr>
                <w:rFonts w:hint="default" w:ascii="Times New Roman" w:hAnsi="Times New Roman" w:cs="Times New Roman"/>
                <w:color w:val="000000" w:themeColor="text1"/>
                <w:sz w:val="18"/>
                <w:szCs w:val="18"/>
                <w:lang w:bidi="ar"/>
                <w14:textFill>
                  <w14:solidFill>
                    <w14:schemeClr w14:val="tx1"/>
                  </w14:solidFill>
                </w14:textFill>
              </w:rPr>
              <w:t>乙苯</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28</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bidi="ar"/>
                <w14:textFill>
                  <w14:solidFill>
                    <w14:schemeClr w14:val="tx1"/>
                  </w14:solidFill>
                </w14:textFill>
              </w:rPr>
              <w:t>苯乙烯</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1290</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bidi="ar"/>
                <w14:textFill>
                  <w14:solidFill>
                    <w14:schemeClr w14:val="tx1"/>
                  </w14:solidFill>
                </w14:textFill>
              </w:rPr>
              <w:t>甲苯</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1200</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lang w:bidi="ar"/>
                <w14:textFill>
                  <w14:solidFill>
                    <w14:schemeClr w14:val="tx1"/>
                  </w14:solidFill>
                </w14:textFill>
              </w:rPr>
            </w:pPr>
            <w:r>
              <w:rPr>
                <w:rFonts w:hint="default" w:ascii="Times New Roman" w:hAnsi="Times New Roman" w:cs="Times New Roman"/>
                <w:color w:val="000000" w:themeColor="text1"/>
                <w:sz w:val="18"/>
                <w:szCs w:val="18"/>
                <w:lang w:bidi="ar"/>
                <w14:textFill>
                  <w14:solidFill>
                    <w14:schemeClr w14:val="tx1"/>
                  </w14:solidFill>
                </w14:textFill>
              </w:rPr>
              <w:t>间二甲苯+</w:t>
            </w:r>
          </w:p>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bidi="ar"/>
                <w14:textFill>
                  <w14:solidFill>
                    <w14:schemeClr w14:val="tx1"/>
                  </w14:solidFill>
                </w14:textFill>
              </w:rPr>
              <w:t>对二甲苯</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570</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bidi="ar"/>
                <w14:textFill>
                  <w14:solidFill>
                    <w14:schemeClr w14:val="tx1"/>
                  </w14:solidFill>
                </w14:textFill>
              </w:rPr>
              <w:t>邻二甲苯</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μg/kg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640</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硝基苯</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76</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苯胺</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260</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2-氯酚</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2256</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苯并[a]蒽</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15</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苯并[a]芘</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1.5</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苯并[b]荧蒽</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15</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lang w:bidi="ar"/>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苯并[k]荧蒽</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151</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lang w:bidi="ar"/>
                <w14:textFill>
                  <w14:solidFill>
                    <w14:schemeClr w14:val="tx1"/>
                  </w14:solidFill>
                </w14:textFill>
              </w:rPr>
            </w:pPr>
            <w:r>
              <w:rPr>
                <w:rFonts w:hint="default" w:ascii="Times New Roman" w:hAnsi="Times New Roman" w:cs="Times New Roman"/>
                <w:color w:val="000000" w:themeColor="text1"/>
                <w:sz w:val="18"/>
                <w:szCs w:val="18"/>
                <w:lang w:bidi="ar"/>
                <w14:textFill>
                  <w14:solidFill>
                    <w14:schemeClr w14:val="tx1"/>
                  </w14:solidFill>
                </w14:textFill>
              </w:rPr>
              <w:t>䓛</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1293</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lang w:bidi="ar"/>
                <w14:textFill>
                  <w14:solidFill>
                    <w14:schemeClr w14:val="tx1"/>
                  </w14:solidFill>
                </w14:textFill>
              </w:rPr>
            </w:pPr>
            <w:r>
              <w:rPr>
                <w:rFonts w:hint="default" w:ascii="Times New Roman" w:hAnsi="Times New Roman" w:cs="Times New Roman"/>
                <w:color w:val="000000" w:themeColor="text1"/>
                <w:sz w:val="18"/>
                <w:szCs w:val="18"/>
                <w:lang w:bidi="ar"/>
                <w14:textFill>
                  <w14:solidFill>
                    <w14:schemeClr w14:val="tx1"/>
                  </w14:solidFill>
                </w14:textFill>
              </w:rPr>
              <w:t>二苯并</w:t>
            </w:r>
            <w:r>
              <w:rPr>
                <w:rFonts w:hint="default" w:ascii="Times New Roman" w:hAnsi="Times New Roman" w:cs="Times New Roman"/>
                <w:color w:val="000000" w:themeColor="text1"/>
                <w:sz w:val="18"/>
                <w:szCs w:val="18"/>
                <w14:textFill>
                  <w14:solidFill>
                    <w14:schemeClr w14:val="tx1"/>
                  </w14:solidFill>
                </w14:textFill>
              </w:rPr>
              <w:t>[a,h]蒽</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1.5</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lang w:bidi="ar"/>
                <w14:textFill>
                  <w14:solidFill>
                    <w14:schemeClr w14:val="tx1"/>
                  </w14:solidFill>
                </w14:textFill>
              </w:rPr>
            </w:pPr>
            <w:r>
              <w:rPr>
                <w:rFonts w:hint="default" w:ascii="Times New Roman" w:hAnsi="Times New Roman" w:cs="Times New Roman"/>
                <w:color w:val="000000" w:themeColor="text1"/>
                <w:sz w:val="18"/>
                <w:szCs w:val="18"/>
                <w:lang w:bidi="ar"/>
                <w14:textFill>
                  <w14:solidFill>
                    <w14:schemeClr w14:val="tx1"/>
                  </w14:solidFill>
                </w14:textFill>
              </w:rPr>
              <w:t>茚并[1,2,3-cd]芘</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15</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c>
          <w:tcPr>
            <w:tcW w:w="1144"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lang w:bidi="ar"/>
                <w14:textFill>
                  <w14:solidFill>
                    <w14:schemeClr w14:val="tx1"/>
                  </w14:solidFill>
                </w14:textFill>
              </w:rPr>
            </w:pPr>
            <w:r>
              <w:rPr>
                <w:rFonts w:hint="default" w:ascii="Times New Roman" w:hAnsi="Times New Roman" w:cs="Times New Roman"/>
                <w:color w:val="000000" w:themeColor="text1"/>
                <w:sz w:val="18"/>
                <w:szCs w:val="18"/>
                <w:lang w:bidi="ar"/>
                <w14:textFill>
                  <w14:solidFill>
                    <w14:schemeClr w14:val="tx1"/>
                  </w14:solidFill>
                </w14:textFill>
              </w:rPr>
              <w:t>萘</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mg/kg</w:t>
            </w:r>
          </w:p>
        </w:tc>
        <w:tc>
          <w:tcPr>
            <w:tcW w:w="78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76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5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6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70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645"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1230"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70</w:t>
            </w:r>
          </w:p>
        </w:tc>
        <w:tc>
          <w:tcPr>
            <w:tcW w:w="1177" w:type="dxa"/>
            <w:noWrap w:val="0"/>
            <w:vAlign w:val="center"/>
          </w:tcPr>
          <w:p>
            <w:pPr>
              <w:pStyle w:val="132"/>
              <w:keepNext w:val="0"/>
              <w:keepLines w:val="0"/>
              <w:pageBreakBefore w:val="0"/>
              <w:widowControl/>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700</w:t>
            </w:r>
          </w:p>
        </w:tc>
      </w:tr>
    </w:tbl>
    <w:p>
      <w:pPr>
        <w:ind w:firstLine="480" w:firstLineChars="200"/>
        <w:rPr>
          <w:rFonts w:ascii="Calibri" w:hAnsi="Calibri"/>
          <w:color w:val="000000" w:themeColor="text1"/>
          <w14:textFill>
            <w14:solidFill>
              <w14:schemeClr w14:val="tx1"/>
            </w14:solidFill>
          </w14:textFill>
        </w:rPr>
      </w:pPr>
      <w:r>
        <w:rPr>
          <w:rFonts w:ascii="Calibri" w:hAnsi="Calibri"/>
          <w:color w:val="000000" w:themeColor="text1"/>
          <w14:textFill>
            <w14:solidFill>
              <w14:schemeClr w14:val="tx1"/>
            </w14:solidFill>
          </w14:textFill>
        </w:rPr>
        <w:t xml:space="preserve"> </w:t>
      </w:r>
    </w:p>
    <w:p>
      <w:pPr>
        <w:overflowPunct w:val="0"/>
        <w:spacing w:line="360" w:lineRule="auto"/>
        <w:ind w:firstLine="480" w:firstLineChars="200"/>
        <w:rPr>
          <w:color w:val="000000" w:themeColor="text1"/>
          <w:sz w:val="24"/>
          <w14:textFill>
            <w14:solidFill>
              <w14:schemeClr w14:val="tx1"/>
            </w14:solidFill>
          </w14:textFill>
        </w:rPr>
      </w:pPr>
      <w:r>
        <w:rPr>
          <w:rFonts w:ascii="Times New Roman" w:hAnsi="Times New Roman" w:eastAsia="宋体"/>
          <w:color w:val="000000" w:themeColor="text1"/>
          <w:lang w:val="zh-CN"/>
          <w14:textFill>
            <w14:solidFill>
              <w14:schemeClr w14:val="tx1"/>
            </w14:solidFill>
          </w14:textFill>
        </w:rPr>
        <w:t>从上表中可以看出，评价区土壤45项基本项目含量均低于《土壤环境质量建设用地土壤污染风险管控标准（试行）》(GB36600</w:t>
      </w:r>
      <w:r>
        <w:rPr>
          <w:rFonts w:hint="eastAsia" w:ascii="Times New Roman" w:hAnsi="Times New Roman" w:eastAsia="宋体"/>
          <w:color w:val="000000" w:themeColor="text1"/>
          <w:lang w:val="en-US" w:eastAsia="zh-CN"/>
          <w14:textFill>
            <w14:solidFill>
              <w14:schemeClr w14:val="tx1"/>
            </w14:solidFill>
          </w14:textFill>
        </w:rPr>
        <w:t>-</w:t>
      </w:r>
      <w:r>
        <w:rPr>
          <w:rFonts w:ascii="Times New Roman" w:hAnsi="Times New Roman" w:eastAsia="宋体"/>
          <w:color w:val="000000" w:themeColor="text1"/>
          <w:lang w:val="zh-CN"/>
          <w14:textFill>
            <w14:solidFill>
              <w14:schemeClr w14:val="tx1"/>
            </w14:solidFill>
          </w14:textFill>
        </w:rPr>
        <w:t>2018)低于第二类用地筛选值，说明项目区的土地未</w:t>
      </w:r>
      <w:r>
        <w:rPr>
          <w:rFonts w:hint="eastAsia" w:ascii="Times New Roman" w:hAnsi="Times New Roman" w:eastAsia="宋体"/>
          <w:color w:val="000000" w:themeColor="text1"/>
          <w:lang w:val="zh-CN"/>
          <w14:textFill>
            <w14:solidFill>
              <w14:schemeClr w14:val="tx1"/>
            </w14:solidFill>
          </w14:textFill>
        </w:rPr>
        <w:t>受</w:t>
      </w:r>
      <w:r>
        <w:rPr>
          <w:rFonts w:ascii="Times New Roman" w:hAnsi="Times New Roman" w:eastAsia="宋体"/>
          <w:color w:val="000000" w:themeColor="text1"/>
          <w:lang w:val="zh-CN"/>
          <w14:textFill>
            <w14:solidFill>
              <w14:schemeClr w14:val="tx1"/>
            </w14:solidFill>
          </w14:textFill>
        </w:rPr>
        <w:t>到人类生产活动的影响。</w:t>
      </w:r>
    </w:p>
    <w:p>
      <w:pPr>
        <w:pStyle w:val="5"/>
        <w:keepNext/>
        <w:keepLines/>
        <w:pageBreakBefore w:val="0"/>
        <w:widowControl w:val="0"/>
        <w:shd w:val="clear" w:color="auto" w:fill="auto"/>
        <w:kinsoku/>
        <w:wordWrap/>
        <w:overflowPunct/>
        <w:topLinePunct w:val="0"/>
        <w:autoSpaceDE/>
        <w:autoSpaceDN/>
        <w:bidi w:val="0"/>
        <w:adjustRightInd/>
        <w:snapToGrid/>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3</w:t>
      </w:r>
      <w:r>
        <w:rPr>
          <w:rFonts w:hint="eastAsia"/>
          <w:color w:val="000000" w:themeColor="text1"/>
          <w:sz w:val="28"/>
          <w:szCs w:val="28"/>
          <w14:textFill>
            <w14:solidFill>
              <w14:schemeClr w14:val="tx1"/>
            </w14:solidFill>
          </w14:textFill>
        </w:rPr>
        <w:t>.4.5 生态环境现状调查与评价</w:t>
      </w:r>
    </w:p>
    <w:p>
      <w:pPr>
        <w:pStyle w:val="129"/>
        <w:keepNext w:val="0"/>
        <w:keepLines w:val="0"/>
        <w:pageBreakBefore w:val="0"/>
        <w:widowControl w:val="0"/>
        <w:shd w:val="clear" w:color="auto" w:fill="auto"/>
        <w:kinsoku/>
        <w:wordWrap/>
        <w:overflowPunct/>
        <w:topLinePunct w:val="0"/>
        <w:autoSpaceDE/>
        <w:autoSpaceDN/>
        <w:bidi w:val="0"/>
        <w:adjustRightInd w:val="0"/>
        <w:snapToGrid w:val="0"/>
        <w:ind w:firstLine="504" w:firstLineChars="200"/>
        <w:textAlignment w:val="auto"/>
        <w:rPr>
          <w:rFonts w:hint="eastAsia" w:ascii="Times New Roman" w:hAnsi="Times New Roman" w:eastAsia="宋体"/>
          <w:bCs w:val="0"/>
          <w:color w:val="000000" w:themeColor="text1"/>
          <w:spacing w:val="6"/>
          <w:kern w:val="2"/>
          <w:lang w:val="zh-CN"/>
          <w14:textFill>
            <w14:solidFill>
              <w14:schemeClr w14:val="tx1"/>
            </w14:solidFill>
          </w14:textFill>
        </w:rPr>
      </w:pPr>
      <w:r>
        <w:rPr>
          <w:rFonts w:hint="eastAsia" w:ascii="Times New Roman" w:hAnsi="Times New Roman" w:eastAsia="宋体"/>
          <w:bCs w:val="0"/>
          <w:color w:val="000000" w:themeColor="text1"/>
          <w:spacing w:val="6"/>
          <w:kern w:val="2"/>
          <w:lang w:val="zh-CN" w:eastAsia="zh-CN"/>
          <w14:textFill>
            <w14:solidFill>
              <w14:schemeClr w14:val="tx1"/>
            </w14:solidFill>
          </w14:textFill>
        </w:rPr>
        <w:t>（</w:t>
      </w:r>
      <w:r>
        <w:rPr>
          <w:rFonts w:hint="eastAsia" w:ascii="Times New Roman" w:hAnsi="Times New Roman" w:eastAsia="宋体"/>
          <w:bCs w:val="0"/>
          <w:color w:val="000000" w:themeColor="text1"/>
          <w:spacing w:val="6"/>
          <w:kern w:val="2"/>
          <w:lang w:val="en-US" w:eastAsia="zh-CN"/>
          <w14:textFill>
            <w14:solidFill>
              <w14:schemeClr w14:val="tx1"/>
            </w14:solidFill>
          </w14:textFill>
        </w:rPr>
        <w:t>1</w:t>
      </w:r>
      <w:r>
        <w:rPr>
          <w:rFonts w:hint="eastAsia" w:ascii="Times New Roman" w:hAnsi="Times New Roman" w:eastAsia="宋体"/>
          <w:bCs w:val="0"/>
          <w:color w:val="000000" w:themeColor="text1"/>
          <w:spacing w:val="6"/>
          <w:kern w:val="2"/>
          <w:lang w:val="zh-CN" w:eastAsia="zh-CN"/>
          <w14:textFill>
            <w14:solidFill>
              <w14:schemeClr w14:val="tx1"/>
            </w14:solidFill>
          </w14:textFill>
        </w:rPr>
        <w:t>）</w:t>
      </w:r>
      <w:r>
        <w:rPr>
          <w:rFonts w:hint="eastAsia" w:ascii="Times New Roman" w:hAnsi="Times New Roman" w:eastAsia="宋体"/>
          <w:bCs w:val="0"/>
          <w:color w:val="000000" w:themeColor="text1"/>
          <w:spacing w:val="6"/>
          <w:kern w:val="2"/>
          <w:lang w:val="zh-CN"/>
          <w14:textFill>
            <w14:solidFill>
              <w14:schemeClr w14:val="tx1"/>
            </w14:solidFill>
          </w14:textFill>
        </w:rPr>
        <w:t>生态功能区划</w:t>
      </w:r>
    </w:p>
    <w:p>
      <w:pPr>
        <w:pStyle w:val="129"/>
        <w:keepNext w:val="0"/>
        <w:keepLines w:val="0"/>
        <w:pageBreakBefore w:val="0"/>
        <w:widowControl w:val="0"/>
        <w:shd w:val="clear" w:color="auto" w:fill="auto"/>
        <w:kinsoku/>
        <w:wordWrap/>
        <w:overflowPunct/>
        <w:topLinePunct w:val="0"/>
        <w:autoSpaceDE/>
        <w:autoSpaceDN/>
        <w:bidi w:val="0"/>
        <w:adjustRightInd w:val="0"/>
        <w:snapToGrid w:val="0"/>
        <w:ind w:firstLine="504" w:firstLineChars="200"/>
        <w:jc w:val="both"/>
        <w:textAlignment w:val="auto"/>
        <w:rPr>
          <w:rFonts w:hint="eastAsia" w:ascii="Times New Roman" w:hAnsi="Times New Roman" w:eastAsia="宋体"/>
          <w:bCs w:val="0"/>
          <w:color w:val="000000" w:themeColor="text1"/>
          <w:spacing w:val="6"/>
          <w:kern w:val="2"/>
          <w:lang w:val="zh-CN"/>
          <w14:textFill>
            <w14:solidFill>
              <w14:schemeClr w14:val="tx1"/>
            </w14:solidFill>
          </w14:textFill>
        </w:rPr>
      </w:pPr>
      <w:r>
        <w:rPr>
          <w:rFonts w:hint="eastAsia" w:ascii="Times New Roman" w:hAnsi="Times New Roman" w:eastAsia="宋体"/>
          <w:bCs w:val="0"/>
          <w:color w:val="000000" w:themeColor="text1"/>
          <w:spacing w:val="6"/>
          <w:kern w:val="2"/>
          <w:lang w:val="zh-CN"/>
          <w14:textFill>
            <w14:solidFill>
              <w14:schemeClr w14:val="tx1"/>
            </w14:solidFill>
          </w14:textFill>
        </w:rPr>
        <w:t>根据《新疆生态功能区划》，本工程所在区域属于“准噶尔盆地温性荒漠与绿洲农业生态区”，“准噶尔盆地西部荒漠及绿洲农业生态亚区”，“克拉玛依石油工业基地环境保护生态功能区”。见图</w:t>
      </w:r>
      <w:r>
        <w:rPr>
          <w:rFonts w:hint="eastAsia" w:ascii="Times New Roman" w:hAnsi="Times New Roman" w:eastAsia="宋体"/>
          <w:bCs w:val="0"/>
          <w:color w:val="000000" w:themeColor="text1"/>
          <w:spacing w:val="6"/>
          <w:kern w:val="2"/>
          <w:lang w:val="en-US" w:eastAsia="zh-CN"/>
          <w14:textFill>
            <w14:solidFill>
              <w14:schemeClr w14:val="tx1"/>
            </w14:solidFill>
          </w14:textFill>
        </w:rPr>
        <w:t>3.4</w:t>
      </w:r>
      <w:r>
        <w:rPr>
          <w:rFonts w:hint="eastAsia" w:ascii="Times New Roman" w:hAnsi="Times New Roman" w:eastAsia="宋体"/>
          <w:bCs w:val="0"/>
          <w:color w:val="000000" w:themeColor="text1"/>
          <w:spacing w:val="6"/>
          <w:kern w:val="2"/>
          <w:lang w:val="zh-CN"/>
          <w14:textFill>
            <w14:solidFill>
              <w14:schemeClr w14:val="tx1"/>
            </w14:solidFill>
          </w14:textFill>
        </w:rPr>
        <w:t>-2及表</w:t>
      </w:r>
      <w:r>
        <w:rPr>
          <w:rFonts w:hint="eastAsia" w:ascii="Times New Roman" w:hAnsi="Times New Roman" w:eastAsia="宋体"/>
          <w:bCs w:val="0"/>
          <w:color w:val="000000" w:themeColor="text1"/>
          <w:spacing w:val="6"/>
          <w:kern w:val="2"/>
          <w:lang w:val="en-US" w:eastAsia="zh-CN"/>
          <w14:textFill>
            <w14:solidFill>
              <w14:schemeClr w14:val="tx1"/>
            </w14:solidFill>
          </w14:textFill>
        </w:rPr>
        <w:t>3</w:t>
      </w:r>
      <w:r>
        <w:rPr>
          <w:rFonts w:hint="eastAsia" w:ascii="Times New Roman" w:hAnsi="Times New Roman" w:eastAsia="宋体"/>
          <w:bCs w:val="0"/>
          <w:color w:val="000000" w:themeColor="text1"/>
          <w:spacing w:val="6"/>
          <w:kern w:val="2"/>
          <w:lang w:val="zh-CN"/>
          <w14:textFill>
            <w14:solidFill>
              <w14:schemeClr w14:val="tx1"/>
            </w14:solidFill>
          </w14:textFill>
        </w:rPr>
        <w:t>.4-</w:t>
      </w:r>
      <w:r>
        <w:rPr>
          <w:rFonts w:hint="eastAsia" w:ascii="Times New Roman" w:hAnsi="Times New Roman" w:eastAsia="宋体"/>
          <w:bCs w:val="0"/>
          <w:color w:val="000000" w:themeColor="text1"/>
          <w:spacing w:val="6"/>
          <w:kern w:val="2"/>
          <w:lang w:val="en-US" w:eastAsia="zh-CN"/>
          <w14:textFill>
            <w14:solidFill>
              <w14:schemeClr w14:val="tx1"/>
            </w14:solidFill>
          </w14:textFill>
        </w:rPr>
        <w:t>11</w:t>
      </w:r>
      <w:r>
        <w:rPr>
          <w:rFonts w:hint="eastAsia" w:ascii="Times New Roman" w:hAnsi="Times New Roman" w:eastAsia="宋体"/>
          <w:bCs w:val="0"/>
          <w:color w:val="000000" w:themeColor="text1"/>
          <w:spacing w:val="6"/>
          <w:kern w:val="2"/>
          <w:lang w:val="zh-CN"/>
          <w14:textFill>
            <w14:solidFill>
              <w14:schemeClr w14:val="tx1"/>
            </w14:solidFill>
          </w14:textFill>
        </w:rPr>
        <w:t>。</w:t>
      </w:r>
    </w:p>
    <w:p>
      <w:pPr>
        <w:pStyle w:val="129"/>
        <w:keepNext w:val="0"/>
        <w:keepLines w:val="0"/>
        <w:pageBreakBefore w:val="0"/>
        <w:widowControl w:val="0"/>
        <w:shd w:val="clear" w:color="auto" w:fill="auto"/>
        <w:kinsoku/>
        <w:wordWrap/>
        <w:overflowPunct/>
        <w:topLinePunct w:val="0"/>
        <w:autoSpaceDE/>
        <w:autoSpaceDN/>
        <w:bidi w:val="0"/>
        <w:adjustRightInd w:val="0"/>
        <w:snapToGrid w:val="0"/>
        <w:ind w:firstLine="504" w:firstLineChars="200"/>
        <w:jc w:val="both"/>
        <w:textAlignment w:val="auto"/>
        <w:rPr>
          <w:rFonts w:hint="eastAsia" w:ascii="Times New Roman" w:hAnsi="Times New Roman" w:eastAsia="宋体"/>
          <w:bCs w:val="0"/>
          <w:color w:val="000000" w:themeColor="text1"/>
          <w:spacing w:val="6"/>
          <w:kern w:val="2"/>
          <w:lang w:val="zh-CN"/>
          <w14:textFill>
            <w14:solidFill>
              <w14:schemeClr w14:val="tx1"/>
            </w14:solidFill>
          </w14:textFill>
        </w:rPr>
      </w:pPr>
      <w:r>
        <w:rPr>
          <w:rFonts w:hint="eastAsia" w:ascii="Times New Roman" w:hAnsi="Times New Roman" w:eastAsia="宋体"/>
          <w:bCs w:val="0"/>
          <w:color w:val="000000" w:themeColor="text1"/>
          <w:spacing w:val="6"/>
          <w:kern w:val="2"/>
          <w:lang w:val="zh-CN"/>
          <w14:textFill>
            <w14:solidFill>
              <w14:schemeClr w14:val="tx1"/>
            </w14:solidFill>
          </w14:textFill>
        </w:rPr>
        <w:t>荒漠生态系统是新疆面积最大的生态系统类型，分布非常广泛。工程位于准噶尔盆地西北缘，属于新疆北部地区准噶尔盆地灌木荒漠生态系统，评价范围内分布的是荒漠生态系统。</w:t>
      </w:r>
    </w:p>
    <w:p>
      <w:pPr>
        <w:pStyle w:val="44"/>
        <w:keepNext w:val="0"/>
        <w:keepLines w:val="0"/>
        <w:pageBreakBefore w:val="0"/>
        <w:widowControl w:val="0"/>
        <w:shd w:val="clear" w:color="auto" w:fill="auto"/>
        <w:tabs>
          <w:tab w:val="left" w:pos="3710"/>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zh-CN" w:bidi="zh-CN"/>
          <w14:textFill>
            <w14:solidFill>
              <w14:schemeClr w14:val="tx1"/>
            </w14:solidFill>
          </w14:textFill>
        </w:rPr>
        <w:t>3.4-11</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 xml:space="preserve">        生态功能区主要特征</w:t>
      </w:r>
    </w:p>
    <w:tbl>
      <w:tblPr>
        <w:tblStyle w:val="21"/>
        <w:tblW w:w="872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64"/>
        <w:gridCol w:w="5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64" w:type="dxa"/>
            <w:noWrap w:val="0"/>
            <w:vAlign w:val="center"/>
          </w:tcPr>
          <w:p>
            <w:pPr>
              <w:ind w:firstLine="360" w:firstLineChars="20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生态区</w:t>
            </w:r>
          </w:p>
        </w:tc>
        <w:tc>
          <w:tcPr>
            <w:tcW w:w="5857" w:type="dxa"/>
            <w:noWrap w:val="0"/>
            <w:vAlign w:val="center"/>
          </w:tcPr>
          <w:p>
            <w:pPr>
              <w:ind w:firstLine="360" w:firstLineChars="200"/>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Ⅱ准噶尔盆地温带干旱荒漠与绿洲生态功能区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64" w:type="dxa"/>
            <w:noWrap w:val="0"/>
            <w:vAlign w:val="center"/>
          </w:tcPr>
          <w:p>
            <w:pPr>
              <w:ind w:firstLine="360" w:firstLineChars="20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生态亚区</w:t>
            </w:r>
          </w:p>
        </w:tc>
        <w:tc>
          <w:tcPr>
            <w:tcW w:w="5857" w:type="dxa"/>
            <w:noWrap w:val="0"/>
            <w:vAlign w:val="center"/>
          </w:tcPr>
          <w:p>
            <w:pPr>
              <w:ind w:firstLine="360" w:firstLineChars="200"/>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Ⅱ2准噶尔盆地西部灌木荒漠及绿洲农业生态亚区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64" w:type="dxa"/>
            <w:noWrap w:val="0"/>
            <w:vAlign w:val="center"/>
          </w:tcPr>
          <w:p>
            <w:pPr>
              <w:ind w:firstLine="360" w:firstLineChars="20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生态功能区</w:t>
            </w:r>
          </w:p>
        </w:tc>
        <w:tc>
          <w:tcPr>
            <w:tcW w:w="5857" w:type="dxa"/>
            <w:noWrap w:val="0"/>
            <w:vAlign w:val="center"/>
          </w:tcPr>
          <w:p>
            <w:pPr>
              <w:ind w:firstLine="360" w:firstLineChars="200"/>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17.克拉玛依石油工业基地环境保护生态功能区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64" w:type="dxa"/>
            <w:noWrap w:val="0"/>
            <w:vAlign w:val="center"/>
          </w:tcPr>
          <w:p>
            <w:pPr>
              <w:ind w:firstLine="360" w:firstLineChars="20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隶属行政区</w:t>
            </w:r>
          </w:p>
        </w:tc>
        <w:tc>
          <w:tcPr>
            <w:tcW w:w="5857" w:type="dxa"/>
            <w:noWrap w:val="0"/>
            <w:vAlign w:val="center"/>
          </w:tcPr>
          <w:p>
            <w:pPr>
              <w:ind w:firstLine="360" w:firstLineChars="200"/>
              <w:jc w:val="left"/>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克拉玛依市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64" w:type="dxa"/>
            <w:noWrap w:val="0"/>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主要生态服务功能</w:t>
            </w:r>
          </w:p>
        </w:tc>
        <w:tc>
          <w:tcPr>
            <w:tcW w:w="5857" w:type="dxa"/>
            <w:noWrap w:val="0"/>
            <w:vAlign w:val="center"/>
          </w:tcPr>
          <w:p>
            <w:pPr>
              <w:ind w:firstLine="360" w:firstLineChars="200"/>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石油工业产品、人居环境、荒漠化控制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64" w:type="dxa"/>
            <w:noWrap w:val="0"/>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主要生态环境问题</w:t>
            </w:r>
          </w:p>
        </w:tc>
        <w:tc>
          <w:tcPr>
            <w:tcW w:w="5857" w:type="dxa"/>
            <w:noWrap w:val="0"/>
            <w:vAlign w:val="center"/>
          </w:tcPr>
          <w:p>
            <w:pPr>
              <w:ind w:firstLine="360" w:firstLineChars="200"/>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工业污染、土地盐渍化和沼泽化、风沙危害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64" w:type="dxa"/>
            <w:noWrap w:val="0"/>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主要生态敏感因子、敏感程度</w:t>
            </w:r>
          </w:p>
        </w:tc>
        <w:tc>
          <w:tcPr>
            <w:tcW w:w="5857" w:type="dxa"/>
            <w:noWrap w:val="0"/>
            <w:vAlign w:val="center"/>
          </w:tcPr>
          <w:p>
            <w:pPr>
              <w:ind w:firstLine="360" w:firstLineChars="200"/>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土地沙漠化轻度敏感，土壤侵蚀极度敏感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64" w:type="dxa"/>
            <w:noWrap w:val="0"/>
            <w:vAlign w:val="center"/>
          </w:tcPr>
          <w:p>
            <w:pPr>
              <w:ind w:firstLine="360" w:firstLineChars="20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保护目标</w:t>
            </w:r>
          </w:p>
        </w:tc>
        <w:tc>
          <w:tcPr>
            <w:tcW w:w="5857" w:type="dxa"/>
            <w:noWrap w:val="0"/>
            <w:vAlign w:val="center"/>
          </w:tcPr>
          <w:p>
            <w:pPr>
              <w:ind w:firstLine="360" w:firstLineChars="200"/>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改善城市生活环境、保护荒漠植被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64" w:type="dxa"/>
            <w:noWrap w:val="0"/>
            <w:vAlign w:val="center"/>
          </w:tcPr>
          <w:p>
            <w:pPr>
              <w:ind w:firstLine="360" w:firstLineChars="20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保护措施</w:t>
            </w:r>
          </w:p>
        </w:tc>
        <w:tc>
          <w:tcPr>
            <w:tcW w:w="5857" w:type="dxa"/>
            <w:noWrap w:val="0"/>
            <w:vAlign w:val="center"/>
          </w:tcPr>
          <w:p>
            <w:pPr>
              <w:ind w:firstLine="360" w:firstLineChars="200"/>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加强污染治理、废弃物资源化利用、完善城市防护林体系、扩大城市绿化面积、加强油区植被保护和管理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64" w:type="dxa"/>
            <w:noWrap w:val="0"/>
            <w:vAlign w:val="center"/>
          </w:tcPr>
          <w:p>
            <w:pPr>
              <w:ind w:firstLine="360" w:firstLineChars="20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适宜发展方向</w:t>
            </w:r>
          </w:p>
        </w:tc>
        <w:tc>
          <w:tcPr>
            <w:tcW w:w="5857" w:type="dxa"/>
            <w:noWrap w:val="0"/>
            <w:vAlign w:val="center"/>
          </w:tcPr>
          <w:p>
            <w:pPr>
              <w:ind w:firstLine="360" w:firstLineChars="200"/>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建设现代化石油工业基地和良好的人居环境，实现经济、社会、环境和谐与健康发展</w:t>
            </w:r>
          </w:p>
        </w:tc>
      </w:tr>
    </w:tbl>
    <w:p>
      <w:pPr>
        <w:pStyle w:val="129"/>
        <w:keepNext w:val="0"/>
        <w:keepLines w:val="0"/>
        <w:pageBreakBefore w:val="0"/>
        <w:widowControl w:val="0"/>
        <w:shd w:val="clear" w:color="auto" w:fill="auto"/>
        <w:kinsoku/>
        <w:wordWrap/>
        <w:overflowPunct/>
        <w:topLinePunct w:val="0"/>
        <w:autoSpaceDE/>
        <w:autoSpaceDN/>
        <w:bidi w:val="0"/>
        <w:adjustRightInd w:val="0"/>
        <w:snapToGrid w:val="0"/>
        <w:spacing w:before="361" w:beforeLines="100"/>
        <w:ind w:firstLine="504" w:firstLineChars="200"/>
        <w:textAlignment w:val="auto"/>
        <w:rPr>
          <w:rFonts w:hint="eastAsia" w:ascii="Times New Roman" w:hAnsi="Times New Roman" w:eastAsia="宋体"/>
          <w:bCs w:val="0"/>
          <w:color w:val="000000" w:themeColor="text1"/>
          <w:spacing w:val="6"/>
          <w:kern w:val="2"/>
          <w:lang w:val="zh-CN" w:eastAsia="zh-CN"/>
          <w14:textFill>
            <w14:solidFill>
              <w14:schemeClr w14:val="tx1"/>
            </w14:solidFill>
          </w14:textFill>
        </w:rPr>
      </w:pPr>
      <w:r>
        <w:rPr>
          <w:rFonts w:hint="eastAsia" w:ascii="Times New Roman" w:hAnsi="Times New Roman" w:eastAsia="宋体"/>
          <w:bCs w:val="0"/>
          <w:color w:val="000000" w:themeColor="text1"/>
          <w:spacing w:val="6"/>
          <w:kern w:val="2"/>
          <w:lang w:val="zh-CN" w:eastAsia="zh-CN"/>
          <w14:textFill>
            <w14:solidFill>
              <w14:schemeClr w14:val="tx1"/>
            </w14:solidFill>
          </w14:textFill>
        </w:rPr>
        <w:t>（</w:t>
      </w:r>
      <w:r>
        <w:rPr>
          <w:rFonts w:hint="eastAsia" w:ascii="Times New Roman" w:hAnsi="Times New Roman" w:eastAsia="宋体"/>
          <w:bCs w:val="0"/>
          <w:color w:val="000000" w:themeColor="text1"/>
          <w:spacing w:val="6"/>
          <w:kern w:val="2"/>
          <w:lang w:val="en-US" w:eastAsia="zh-CN"/>
          <w14:textFill>
            <w14:solidFill>
              <w14:schemeClr w14:val="tx1"/>
            </w14:solidFill>
          </w14:textFill>
        </w:rPr>
        <w:t>2</w:t>
      </w:r>
      <w:r>
        <w:rPr>
          <w:rFonts w:hint="eastAsia" w:ascii="Times New Roman" w:hAnsi="Times New Roman" w:eastAsia="宋体"/>
          <w:bCs w:val="0"/>
          <w:color w:val="000000" w:themeColor="text1"/>
          <w:spacing w:val="6"/>
          <w:kern w:val="2"/>
          <w:lang w:val="zh-CN" w:eastAsia="zh-CN"/>
          <w14:textFill>
            <w14:solidFill>
              <w14:schemeClr w14:val="tx1"/>
            </w14:solidFill>
          </w14:textFill>
        </w:rPr>
        <w:t xml:space="preserve">）生态环境质量调查与评价 </w:t>
      </w:r>
    </w:p>
    <w:p>
      <w:pPr>
        <w:pStyle w:val="129"/>
        <w:keepNext w:val="0"/>
        <w:keepLines w:val="0"/>
        <w:pageBreakBefore w:val="0"/>
        <w:widowControl w:val="0"/>
        <w:shd w:val="clear" w:color="auto" w:fill="auto"/>
        <w:kinsoku/>
        <w:wordWrap/>
        <w:overflowPunct/>
        <w:topLinePunct w:val="0"/>
        <w:autoSpaceDE/>
        <w:autoSpaceDN/>
        <w:bidi w:val="0"/>
        <w:adjustRightInd w:val="0"/>
        <w:snapToGrid w:val="0"/>
        <w:ind w:firstLine="504" w:firstLineChars="200"/>
        <w:textAlignment w:val="auto"/>
        <w:rPr>
          <w:rFonts w:hint="eastAsia" w:ascii="Times New Roman" w:hAnsi="Times New Roman" w:eastAsia="宋体"/>
          <w:bCs w:val="0"/>
          <w:color w:val="000000" w:themeColor="text1"/>
          <w:spacing w:val="6"/>
          <w:kern w:val="2"/>
          <w:lang w:val="zh-CN" w:eastAsia="zh-CN"/>
          <w14:textFill>
            <w14:solidFill>
              <w14:schemeClr w14:val="tx1"/>
            </w14:solidFill>
          </w14:textFill>
        </w:rPr>
      </w:pPr>
      <w:r>
        <w:rPr>
          <w:rFonts w:hint="eastAsia" w:ascii="Times New Roman" w:hAnsi="Times New Roman" w:eastAsia="宋体"/>
          <w:bCs w:val="0"/>
          <w:color w:val="000000" w:themeColor="text1"/>
          <w:spacing w:val="6"/>
          <w:kern w:val="2"/>
          <w:lang w:val="zh-CN" w:eastAsia="zh-CN"/>
          <w14:textFill>
            <w14:solidFill>
              <w14:schemeClr w14:val="tx1"/>
            </w14:solidFill>
          </w14:textFill>
        </w:rPr>
        <w:t>1）土地利用类型</w:t>
      </w:r>
    </w:p>
    <w:p>
      <w:pPr>
        <w:pStyle w:val="129"/>
        <w:keepNext w:val="0"/>
        <w:keepLines w:val="0"/>
        <w:pageBreakBefore w:val="0"/>
        <w:widowControl w:val="0"/>
        <w:shd w:val="clear" w:color="auto" w:fill="auto"/>
        <w:kinsoku/>
        <w:wordWrap/>
        <w:overflowPunct/>
        <w:topLinePunct w:val="0"/>
        <w:autoSpaceDE/>
        <w:autoSpaceDN/>
        <w:bidi w:val="0"/>
        <w:adjustRightInd w:val="0"/>
        <w:snapToGrid w:val="0"/>
        <w:ind w:firstLine="504" w:firstLineChars="200"/>
        <w:textAlignment w:val="auto"/>
        <w:rPr>
          <w:rFonts w:hint="eastAsia" w:ascii="Times New Roman" w:hAnsi="Times New Roman" w:eastAsia="宋体"/>
          <w:bCs w:val="0"/>
          <w:color w:val="000000" w:themeColor="text1"/>
          <w:spacing w:val="6"/>
          <w:kern w:val="2"/>
          <w:lang w:val="zh-CN" w:eastAsia="zh-CN"/>
          <w14:textFill>
            <w14:solidFill>
              <w14:schemeClr w14:val="tx1"/>
            </w14:solidFill>
          </w14:textFill>
        </w:rPr>
      </w:pPr>
      <w:r>
        <w:rPr>
          <w:rFonts w:hint="eastAsia" w:ascii="Times New Roman" w:hAnsi="Times New Roman" w:eastAsia="宋体"/>
          <w:bCs w:val="0"/>
          <w:color w:val="000000" w:themeColor="text1"/>
          <w:spacing w:val="6"/>
          <w:kern w:val="2"/>
          <w:lang w:val="zh-CN" w:eastAsia="zh-CN"/>
          <w14:textFill>
            <w14:solidFill>
              <w14:schemeClr w14:val="tx1"/>
            </w14:solidFill>
          </w14:textFill>
        </w:rPr>
        <w:t>本项目建设用地62721.67m</w:t>
      </w:r>
      <w:r>
        <w:rPr>
          <w:rFonts w:hint="eastAsia" w:ascii="Times New Roman" w:hAnsi="Times New Roman" w:eastAsia="宋体"/>
          <w:bCs w:val="0"/>
          <w:color w:val="000000" w:themeColor="text1"/>
          <w:spacing w:val="6"/>
          <w:kern w:val="2"/>
          <w:vertAlign w:val="superscript"/>
          <w:lang w:val="zh-CN" w:eastAsia="zh-CN"/>
          <w14:textFill>
            <w14:solidFill>
              <w14:schemeClr w14:val="tx1"/>
            </w14:solidFill>
          </w14:textFill>
        </w:rPr>
        <w:t>2</w:t>
      </w:r>
      <w:r>
        <w:rPr>
          <w:rFonts w:hint="eastAsia" w:ascii="Times New Roman" w:hAnsi="Times New Roman" w:eastAsia="宋体"/>
          <w:bCs w:val="0"/>
          <w:color w:val="000000" w:themeColor="text1"/>
          <w:spacing w:val="6"/>
          <w:kern w:val="2"/>
          <w:lang w:val="zh-CN" w:eastAsia="zh-CN"/>
          <w14:textFill>
            <w14:solidFill>
              <w14:schemeClr w14:val="tx1"/>
            </w14:solidFill>
          </w14:textFill>
        </w:rPr>
        <w:t>。现状土地性质属开发区规划三类工业用地。</w:t>
      </w:r>
    </w:p>
    <w:p>
      <w:pPr>
        <w:pStyle w:val="129"/>
        <w:keepNext w:val="0"/>
        <w:keepLines w:val="0"/>
        <w:pageBreakBefore w:val="0"/>
        <w:widowControl w:val="0"/>
        <w:shd w:val="clear" w:color="auto" w:fill="auto"/>
        <w:kinsoku/>
        <w:wordWrap/>
        <w:overflowPunct/>
        <w:topLinePunct w:val="0"/>
        <w:autoSpaceDE/>
        <w:autoSpaceDN/>
        <w:bidi w:val="0"/>
        <w:adjustRightInd w:val="0"/>
        <w:snapToGrid w:val="0"/>
        <w:ind w:firstLine="504" w:firstLineChars="200"/>
        <w:textAlignment w:val="auto"/>
        <w:rPr>
          <w:rFonts w:hint="eastAsia" w:ascii="Times New Roman" w:hAnsi="Times New Roman" w:eastAsia="宋体"/>
          <w:bCs w:val="0"/>
          <w:color w:val="000000" w:themeColor="text1"/>
          <w:spacing w:val="6"/>
          <w:kern w:val="2"/>
          <w:lang w:val="zh-CN" w:eastAsia="zh-CN"/>
          <w14:textFill>
            <w14:solidFill>
              <w14:schemeClr w14:val="tx1"/>
            </w14:solidFill>
          </w14:textFill>
        </w:rPr>
      </w:pPr>
      <w:r>
        <w:rPr>
          <w:rFonts w:hint="eastAsia" w:ascii="Times New Roman" w:hAnsi="Times New Roman" w:eastAsia="宋体"/>
          <w:bCs w:val="0"/>
          <w:color w:val="000000" w:themeColor="text1"/>
          <w:spacing w:val="6"/>
          <w:kern w:val="2"/>
          <w:lang w:val="zh-CN" w:eastAsia="zh-CN"/>
          <w14:textFill>
            <w14:solidFill>
              <w14:schemeClr w14:val="tx1"/>
            </w14:solidFill>
          </w14:textFill>
        </w:rPr>
        <w:t>2）区域土壤类型</w:t>
      </w:r>
    </w:p>
    <w:p>
      <w:pPr>
        <w:pStyle w:val="129"/>
        <w:keepNext w:val="0"/>
        <w:keepLines w:val="0"/>
        <w:pageBreakBefore w:val="0"/>
        <w:widowControl w:val="0"/>
        <w:shd w:val="clear" w:color="auto" w:fill="auto"/>
        <w:kinsoku/>
        <w:wordWrap/>
        <w:overflowPunct/>
        <w:topLinePunct w:val="0"/>
        <w:autoSpaceDE/>
        <w:autoSpaceDN/>
        <w:bidi w:val="0"/>
        <w:adjustRightInd w:val="0"/>
        <w:snapToGrid w:val="0"/>
        <w:ind w:firstLine="504" w:firstLineChars="200"/>
        <w:textAlignment w:val="auto"/>
        <w:rPr>
          <w:rFonts w:hint="eastAsia" w:ascii="Times New Roman" w:hAnsi="Times New Roman" w:eastAsia="宋体"/>
          <w:bCs w:val="0"/>
          <w:color w:val="000000" w:themeColor="text1"/>
          <w:spacing w:val="6"/>
          <w:kern w:val="2"/>
          <w:lang w:val="zh-CN" w:eastAsia="zh-CN"/>
          <w14:textFill>
            <w14:solidFill>
              <w14:schemeClr w14:val="tx1"/>
            </w14:solidFill>
          </w14:textFill>
        </w:rPr>
      </w:pPr>
      <w:r>
        <w:rPr>
          <w:rFonts w:hint="eastAsia" w:ascii="Times New Roman" w:hAnsi="Times New Roman" w:eastAsia="宋体"/>
          <w:bCs w:val="0"/>
          <w:color w:val="000000" w:themeColor="text1"/>
          <w:spacing w:val="6"/>
          <w:kern w:val="2"/>
          <w:lang w:val="zh-CN" w:eastAsia="zh-CN"/>
          <w14:textFill>
            <w14:solidFill>
              <w14:schemeClr w14:val="tx1"/>
            </w14:solidFill>
          </w14:textFill>
        </w:rPr>
        <w:t>评价范围内分布的是荒漠生态系统，气温变化大，年温差和日温差悬殊，常年多风，风期长，风力大，是风沙土形成的基本动力。风沙土是在风沙性母质上发育起来的，质地较粗，物理性粘粒很少，因风蚀风积交替作用，使土壤发育处于不断的复幼状况下，植被稀疏，生物作用微弱，使有机物质积累很少，成土过程十分微弱，只在土壤表层0.5</w:t>
      </w:r>
      <w:r>
        <w:rPr>
          <w:rFonts w:hint="eastAsia" w:ascii="Times New Roman" w:hAnsi="Times New Roman" w:eastAsia="宋体"/>
          <w:bCs w:val="0"/>
          <w:color w:val="000000" w:themeColor="text1"/>
          <w:spacing w:val="6"/>
          <w:kern w:val="2"/>
          <w:lang w:val="en-US" w:eastAsia="zh-CN"/>
          <w14:textFill>
            <w14:solidFill>
              <w14:schemeClr w14:val="tx1"/>
            </w14:solidFill>
          </w14:textFill>
        </w:rPr>
        <w:t>~</w:t>
      </w:r>
      <w:r>
        <w:rPr>
          <w:rFonts w:hint="eastAsia" w:ascii="Times New Roman" w:hAnsi="Times New Roman" w:eastAsia="宋体"/>
          <w:bCs w:val="0"/>
          <w:color w:val="000000" w:themeColor="text1"/>
          <w:spacing w:val="6"/>
          <w:kern w:val="2"/>
          <w:lang w:val="zh-CN" w:eastAsia="zh-CN"/>
          <w14:textFill>
            <w14:solidFill>
              <w14:schemeClr w14:val="tx1"/>
            </w14:solidFill>
          </w14:textFill>
        </w:rPr>
        <w:t>1cm有微弱的分化，有机质含量明显高于下层。这是由于古尔班通古特沙漠冬季有稳定的积雪，在春季积雪融化后，沙土层中便得到一定量的水分补给，在4</w:t>
      </w:r>
      <w:r>
        <w:rPr>
          <w:rFonts w:hint="eastAsia" w:ascii="Times New Roman" w:hAnsi="Times New Roman" w:eastAsia="宋体"/>
          <w:bCs w:val="0"/>
          <w:color w:val="000000" w:themeColor="text1"/>
          <w:spacing w:val="6"/>
          <w:kern w:val="2"/>
          <w:lang w:val="en-US" w:eastAsia="zh-CN"/>
          <w14:textFill>
            <w14:solidFill>
              <w14:schemeClr w14:val="tx1"/>
            </w14:solidFill>
          </w14:textFill>
        </w:rPr>
        <w:t>~</w:t>
      </w:r>
      <w:r>
        <w:rPr>
          <w:rFonts w:hint="eastAsia" w:ascii="Times New Roman" w:hAnsi="Times New Roman" w:eastAsia="宋体"/>
          <w:bCs w:val="0"/>
          <w:color w:val="000000" w:themeColor="text1"/>
          <w:spacing w:val="6"/>
          <w:kern w:val="2"/>
          <w:lang w:val="zh-CN" w:eastAsia="zh-CN"/>
          <w14:textFill>
            <w14:solidFill>
              <w14:schemeClr w14:val="tx1"/>
            </w14:solidFill>
          </w14:textFill>
        </w:rPr>
        <w:t>5月间，土壤含水率可达20</w:t>
      </w:r>
      <w:r>
        <w:rPr>
          <w:rFonts w:hint="eastAsia" w:ascii="Times New Roman" w:hAnsi="Times New Roman" w:eastAsia="宋体"/>
          <w:bCs w:val="0"/>
          <w:color w:val="000000" w:themeColor="text1"/>
          <w:spacing w:val="6"/>
          <w:kern w:val="2"/>
          <w:lang w:val="en-US" w:eastAsia="zh-CN"/>
          <w14:textFill>
            <w14:solidFill>
              <w14:schemeClr w14:val="tx1"/>
            </w14:solidFill>
          </w14:textFill>
        </w:rPr>
        <w:t>~</w:t>
      </w:r>
      <w:r>
        <w:rPr>
          <w:rFonts w:hint="eastAsia" w:ascii="Times New Roman" w:hAnsi="Times New Roman" w:eastAsia="宋体"/>
          <w:bCs w:val="0"/>
          <w:color w:val="000000" w:themeColor="text1"/>
          <w:spacing w:val="6"/>
          <w:kern w:val="2"/>
          <w:lang w:val="zh-CN" w:eastAsia="zh-CN"/>
          <w14:textFill>
            <w14:solidFill>
              <w14:schemeClr w14:val="tx1"/>
            </w14:solidFill>
          </w14:textFill>
        </w:rPr>
        <w:t>30g/kg，为短命和类短命植物生长提供了生存条件，地表植被覆盖度可达40</w:t>
      </w:r>
      <w:r>
        <w:rPr>
          <w:rFonts w:hint="eastAsia" w:ascii="Times New Roman" w:hAnsi="Times New Roman" w:eastAsia="宋体"/>
          <w:bCs w:val="0"/>
          <w:color w:val="000000" w:themeColor="text1"/>
          <w:spacing w:val="6"/>
          <w:kern w:val="2"/>
          <w:lang w:val="en-US" w:eastAsia="zh-CN"/>
          <w14:textFill>
            <w14:solidFill>
              <w14:schemeClr w14:val="tx1"/>
            </w14:solidFill>
          </w14:textFill>
        </w:rPr>
        <w:t>~</w:t>
      </w:r>
      <w:r>
        <w:rPr>
          <w:rFonts w:hint="eastAsia" w:ascii="Times New Roman" w:hAnsi="Times New Roman" w:eastAsia="宋体"/>
          <w:bCs w:val="0"/>
          <w:color w:val="000000" w:themeColor="text1"/>
          <w:spacing w:val="6"/>
          <w:kern w:val="2"/>
          <w:lang w:val="zh-CN" w:eastAsia="zh-CN"/>
          <w14:textFill>
            <w14:solidFill>
              <w14:schemeClr w14:val="tx1"/>
            </w14:solidFill>
          </w14:textFill>
        </w:rPr>
        <w:t>60%，到7</w:t>
      </w:r>
      <w:r>
        <w:rPr>
          <w:rFonts w:hint="eastAsia" w:ascii="Times New Roman" w:hAnsi="Times New Roman" w:eastAsia="宋体"/>
          <w:bCs w:val="0"/>
          <w:color w:val="000000" w:themeColor="text1"/>
          <w:spacing w:val="6"/>
          <w:kern w:val="2"/>
          <w:lang w:val="en-US" w:eastAsia="zh-CN"/>
          <w14:textFill>
            <w14:solidFill>
              <w14:schemeClr w14:val="tx1"/>
            </w14:solidFill>
          </w14:textFill>
        </w:rPr>
        <w:t>~</w:t>
      </w:r>
      <w:r>
        <w:rPr>
          <w:rFonts w:hint="eastAsia" w:ascii="Times New Roman" w:hAnsi="Times New Roman" w:eastAsia="宋体"/>
          <w:bCs w:val="0"/>
          <w:color w:val="000000" w:themeColor="text1"/>
          <w:spacing w:val="6"/>
          <w:kern w:val="2"/>
          <w:lang w:val="zh-CN" w:eastAsia="zh-CN"/>
          <w14:textFill>
            <w14:solidFill>
              <w14:schemeClr w14:val="tx1"/>
            </w14:solidFill>
          </w14:textFill>
        </w:rPr>
        <w:t>8月处于休眠状态。正是这些短命和类短命植物生长和循环过程，使沙土层地表形成了微弱的有机质积累，其它土壤理化性状无明显差异，剖面层次分化不明显。评价区风沙土可分为流动风沙土、半固定风沙土和固定风沙土三个亚类。</w:t>
      </w:r>
    </w:p>
    <w:p>
      <w:pPr>
        <w:pStyle w:val="129"/>
        <w:keepNext w:val="0"/>
        <w:keepLines w:val="0"/>
        <w:pageBreakBefore w:val="0"/>
        <w:widowControl w:val="0"/>
        <w:shd w:val="clear" w:color="auto" w:fill="auto"/>
        <w:kinsoku/>
        <w:wordWrap/>
        <w:overflowPunct/>
        <w:topLinePunct w:val="0"/>
        <w:autoSpaceDE/>
        <w:autoSpaceDN/>
        <w:bidi w:val="0"/>
        <w:adjustRightInd w:val="0"/>
        <w:snapToGrid w:val="0"/>
        <w:ind w:firstLine="504" w:firstLineChars="200"/>
        <w:textAlignment w:val="auto"/>
        <w:rPr>
          <w:rFonts w:hint="eastAsia" w:ascii="Times New Roman" w:hAnsi="Times New Roman" w:eastAsia="宋体"/>
          <w:bCs w:val="0"/>
          <w:color w:val="000000" w:themeColor="text1"/>
          <w:spacing w:val="6"/>
          <w:kern w:val="2"/>
          <w:lang w:val="zh-CN" w:eastAsia="zh-CN"/>
          <w14:textFill>
            <w14:solidFill>
              <w14:schemeClr w14:val="tx1"/>
            </w14:solidFill>
          </w14:textFill>
        </w:rPr>
      </w:pPr>
      <w:r>
        <w:rPr>
          <w:rFonts w:hint="eastAsia" w:ascii="Times New Roman" w:hAnsi="Times New Roman" w:eastAsia="宋体"/>
          <w:bCs w:val="0"/>
          <w:color w:val="000000" w:themeColor="text1"/>
          <w:spacing w:val="6"/>
          <w:kern w:val="2"/>
          <w:lang w:val="zh-CN" w:eastAsia="zh-CN"/>
          <w14:textFill>
            <w14:solidFill>
              <w14:schemeClr w14:val="tx1"/>
            </w14:solidFill>
          </w14:textFill>
        </w:rPr>
        <w:t>本工程站址所在区域土壤类型以草甸土、灰棕漠土为主，土壤养分含量较低，缺磷少氮。</w:t>
      </w:r>
    </w:p>
    <w:p>
      <w:pPr>
        <w:pStyle w:val="129"/>
        <w:keepNext w:val="0"/>
        <w:keepLines w:val="0"/>
        <w:pageBreakBefore w:val="0"/>
        <w:widowControl w:val="0"/>
        <w:shd w:val="clear" w:color="auto" w:fill="auto"/>
        <w:kinsoku/>
        <w:wordWrap/>
        <w:overflowPunct/>
        <w:topLinePunct w:val="0"/>
        <w:autoSpaceDE/>
        <w:autoSpaceDN/>
        <w:bidi w:val="0"/>
        <w:adjustRightInd w:val="0"/>
        <w:snapToGrid w:val="0"/>
        <w:ind w:firstLine="504" w:firstLineChars="200"/>
        <w:textAlignment w:val="auto"/>
        <w:rPr>
          <w:rFonts w:hint="eastAsia" w:ascii="Times New Roman" w:hAnsi="Times New Roman" w:eastAsia="宋体"/>
          <w:bCs w:val="0"/>
          <w:color w:val="000000" w:themeColor="text1"/>
          <w:spacing w:val="6"/>
          <w:kern w:val="2"/>
          <w:lang w:val="zh-CN" w:eastAsia="zh-CN"/>
          <w14:textFill>
            <w14:solidFill>
              <w14:schemeClr w14:val="tx1"/>
            </w14:solidFill>
          </w14:textFill>
        </w:rPr>
      </w:pPr>
      <w:r>
        <w:rPr>
          <w:rFonts w:hint="eastAsia" w:ascii="Times New Roman" w:hAnsi="Times New Roman" w:eastAsia="宋体"/>
          <w:bCs w:val="0"/>
          <w:color w:val="000000" w:themeColor="text1"/>
          <w:spacing w:val="6"/>
          <w:kern w:val="2"/>
          <w:lang w:val="zh-CN" w:eastAsia="zh-CN"/>
          <w14:textFill>
            <w14:solidFill>
              <w14:schemeClr w14:val="tx1"/>
            </w14:solidFill>
          </w14:textFill>
        </w:rPr>
        <w:t>3）野生动植物现状调查</w:t>
      </w:r>
    </w:p>
    <w:p>
      <w:pPr>
        <w:pStyle w:val="129"/>
        <w:keepNext w:val="0"/>
        <w:keepLines w:val="0"/>
        <w:pageBreakBefore w:val="0"/>
        <w:widowControl w:val="0"/>
        <w:shd w:val="clear" w:color="auto" w:fill="auto"/>
        <w:kinsoku/>
        <w:wordWrap/>
        <w:overflowPunct/>
        <w:topLinePunct w:val="0"/>
        <w:autoSpaceDE/>
        <w:autoSpaceDN/>
        <w:bidi w:val="0"/>
        <w:adjustRightInd w:val="0"/>
        <w:snapToGrid w:val="0"/>
        <w:ind w:firstLine="504" w:firstLineChars="200"/>
        <w:textAlignment w:val="auto"/>
        <w:rPr>
          <w:rFonts w:hint="eastAsia" w:ascii="Times New Roman" w:hAnsi="Times New Roman" w:eastAsia="宋体"/>
          <w:bCs w:val="0"/>
          <w:color w:val="000000" w:themeColor="text1"/>
          <w:spacing w:val="6"/>
          <w:kern w:val="2"/>
          <w:lang w:val="zh-CN" w:eastAsia="zh-CN"/>
          <w14:textFill>
            <w14:solidFill>
              <w14:schemeClr w14:val="tx1"/>
            </w14:solidFill>
          </w14:textFill>
        </w:rPr>
      </w:pPr>
      <w:r>
        <w:rPr>
          <w:rFonts w:hint="eastAsia" w:ascii="Times New Roman" w:hAnsi="Times New Roman" w:eastAsia="宋体"/>
          <w:bCs w:val="0"/>
          <w:color w:val="000000" w:themeColor="text1"/>
          <w:spacing w:val="6"/>
          <w:kern w:val="2"/>
          <w:lang w:val="zh-CN" w:eastAsia="zh-CN"/>
          <w14:textFill>
            <w14:solidFill>
              <w14:schemeClr w14:val="tx1"/>
            </w14:solidFill>
          </w14:textFill>
        </w:rPr>
        <w:t>克拉玛依地处准噶尔盆地西北边缘玛纳斯河流域下游段的干旱荒漠区，主要为荒漠植被，以旱生、耐盐碱的亚洲中部荒漠植物为优势群落。根据《新疆维吾尔自治区重点保护野生动植物名录》，该区分布主要有自治区重点保护植物两种：梭梭、多枝柽柳(三级)。</w:t>
      </w:r>
    </w:p>
    <w:p>
      <w:pPr>
        <w:pStyle w:val="129"/>
        <w:keepNext w:val="0"/>
        <w:keepLines w:val="0"/>
        <w:pageBreakBefore w:val="0"/>
        <w:widowControl w:val="0"/>
        <w:shd w:val="clear" w:color="auto" w:fill="auto"/>
        <w:kinsoku/>
        <w:wordWrap/>
        <w:overflowPunct/>
        <w:topLinePunct w:val="0"/>
        <w:autoSpaceDE/>
        <w:autoSpaceDN/>
        <w:bidi w:val="0"/>
        <w:adjustRightInd w:val="0"/>
        <w:snapToGrid w:val="0"/>
        <w:ind w:firstLine="504" w:firstLineChars="200"/>
        <w:textAlignment w:val="auto"/>
        <w:rPr>
          <w:rFonts w:hint="eastAsia" w:ascii="Times New Roman" w:hAnsi="Times New Roman" w:eastAsia="宋体"/>
          <w:bCs w:val="0"/>
          <w:color w:val="000000" w:themeColor="text1"/>
          <w:spacing w:val="6"/>
          <w:kern w:val="2"/>
          <w:lang w:val="zh-CN" w:eastAsia="zh-CN"/>
          <w14:textFill>
            <w14:solidFill>
              <w14:schemeClr w14:val="tx1"/>
            </w14:solidFill>
          </w14:textFill>
        </w:rPr>
      </w:pPr>
      <w:r>
        <w:rPr>
          <w:rFonts w:hint="eastAsia" w:ascii="Times New Roman" w:hAnsi="Times New Roman" w:eastAsia="宋体"/>
          <w:bCs w:val="0"/>
          <w:color w:val="000000" w:themeColor="text1"/>
          <w:spacing w:val="6"/>
          <w:kern w:val="2"/>
          <w:lang w:val="zh-CN" w:eastAsia="zh-CN"/>
          <w14:textFill>
            <w14:solidFill>
              <w14:schemeClr w14:val="tx1"/>
            </w14:solidFill>
          </w14:textFill>
        </w:rPr>
        <w:t>克拉玛依地区野生动物在动物区系上属蒙新区中的准噶尔盆地小区，动物区系组成简单，种类、数量较少。野生动物多为新疆的广布种，保护动物较少。据资料记载，克拉玛依地区内有国家二级保护动物两种：玉带海周鸟、草原周鸟；有自治区一级保护动物3种：赤狐、沙狐、黑喉潜鸟；有自治区二级保护动物1种：鹅侯羚。</w:t>
      </w:r>
    </w:p>
    <w:p>
      <w:pPr>
        <w:pStyle w:val="129"/>
        <w:keepNext w:val="0"/>
        <w:keepLines w:val="0"/>
        <w:pageBreakBefore w:val="0"/>
        <w:widowControl w:val="0"/>
        <w:shd w:val="clear" w:color="auto" w:fill="auto"/>
        <w:kinsoku/>
        <w:wordWrap/>
        <w:overflowPunct/>
        <w:topLinePunct w:val="0"/>
        <w:autoSpaceDE/>
        <w:autoSpaceDN/>
        <w:bidi w:val="0"/>
        <w:adjustRightInd w:val="0"/>
        <w:snapToGrid w:val="0"/>
        <w:ind w:firstLine="504" w:firstLineChars="200"/>
        <w:textAlignment w:val="auto"/>
        <w:rPr>
          <w:rFonts w:hint="eastAsia" w:ascii="Times New Roman" w:hAnsi="Times New Roman" w:eastAsia="宋体"/>
          <w:bCs w:val="0"/>
          <w:color w:val="000000" w:themeColor="text1"/>
          <w:spacing w:val="6"/>
          <w:kern w:val="2"/>
          <w:lang w:val="zh-CN" w:eastAsia="zh-CN"/>
          <w14:textFill>
            <w14:solidFill>
              <w14:schemeClr w14:val="tx1"/>
            </w14:solidFill>
          </w14:textFill>
        </w:rPr>
      </w:pPr>
      <w:r>
        <w:rPr>
          <w:rFonts w:hint="eastAsia" w:ascii="Times New Roman" w:hAnsi="Times New Roman" w:eastAsia="宋体"/>
          <w:bCs w:val="0"/>
          <w:color w:val="000000" w:themeColor="text1"/>
          <w:spacing w:val="6"/>
          <w:kern w:val="2"/>
          <w:lang w:val="zh-CN" w:eastAsia="zh-CN"/>
          <w14:textFill>
            <w14:solidFill>
              <w14:schemeClr w14:val="tx1"/>
            </w14:solidFill>
          </w14:textFill>
        </w:rPr>
        <w:t>根据实地调查及历史资料站址区域无大型野生动物分布，地面地表植被稀少。</w:t>
      </w:r>
    </w:p>
    <w:p>
      <w:pPr>
        <w:pStyle w:val="129"/>
        <w:keepNext w:val="0"/>
        <w:keepLines w:val="0"/>
        <w:pageBreakBefore w:val="0"/>
        <w:widowControl w:val="0"/>
        <w:shd w:val="clear" w:color="auto" w:fill="auto"/>
        <w:kinsoku/>
        <w:wordWrap/>
        <w:overflowPunct/>
        <w:topLinePunct w:val="0"/>
        <w:autoSpaceDE/>
        <w:autoSpaceDN/>
        <w:bidi w:val="0"/>
        <w:adjustRightInd w:val="0"/>
        <w:snapToGrid w:val="0"/>
        <w:ind w:firstLine="504" w:firstLineChars="200"/>
        <w:textAlignment w:val="auto"/>
        <w:rPr>
          <w:rFonts w:hint="eastAsia" w:ascii="Times New Roman" w:hAnsi="Times New Roman" w:eastAsia="宋体"/>
          <w:bCs w:val="0"/>
          <w:color w:val="000000" w:themeColor="text1"/>
          <w:spacing w:val="6"/>
          <w:kern w:val="2"/>
          <w:lang w:val="zh-CN" w:eastAsia="zh-CN"/>
          <w14:textFill>
            <w14:solidFill>
              <w14:schemeClr w14:val="tx1"/>
            </w14:solidFill>
          </w14:textFill>
        </w:rPr>
      </w:pPr>
      <w:r>
        <w:rPr>
          <w:rFonts w:hint="eastAsia" w:ascii="Times New Roman" w:hAnsi="Times New Roman" w:eastAsia="宋体"/>
          <w:bCs w:val="0"/>
          <w:color w:val="000000" w:themeColor="text1"/>
          <w:spacing w:val="6"/>
          <w:kern w:val="2"/>
          <w:lang w:val="zh-CN" w:eastAsia="zh-CN"/>
          <w14:textFill>
            <w14:solidFill>
              <w14:schemeClr w14:val="tx1"/>
            </w14:solidFill>
          </w14:textFill>
        </w:rPr>
        <w:t>本项目区用地经多年开发建设，地表多为混凝土路面或被建筑物所占。植被主要有项目区内的人工绿化地。草本植被较少，主要有乔木树种，分别为：白杨树、榆树、柳树等，分布在街道两旁。</w:t>
      </w:r>
    </w:p>
    <w:p>
      <w:pPr>
        <w:pStyle w:val="129"/>
        <w:keepNext w:val="0"/>
        <w:keepLines w:val="0"/>
        <w:pageBreakBefore w:val="0"/>
        <w:widowControl w:val="0"/>
        <w:shd w:val="clear" w:color="auto" w:fill="auto"/>
        <w:kinsoku/>
        <w:wordWrap/>
        <w:overflowPunct/>
        <w:topLinePunct w:val="0"/>
        <w:autoSpaceDE/>
        <w:autoSpaceDN/>
        <w:bidi w:val="0"/>
        <w:adjustRightInd w:val="0"/>
        <w:snapToGrid w:val="0"/>
        <w:ind w:firstLine="504" w:firstLineChars="200"/>
        <w:textAlignment w:val="auto"/>
        <w:rPr>
          <w:rFonts w:hint="eastAsia" w:ascii="Times New Roman" w:hAnsi="Times New Roman" w:eastAsia="宋体"/>
          <w:bCs w:val="0"/>
          <w:color w:val="000000" w:themeColor="text1"/>
          <w:spacing w:val="6"/>
          <w:kern w:val="2"/>
          <w:lang w:val="zh-CN" w:eastAsia="zh-CN"/>
          <w14:textFill>
            <w14:solidFill>
              <w14:schemeClr w14:val="tx1"/>
            </w14:solidFill>
          </w14:textFill>
        </w:rPr>
      </w:pPr>
      <w:r>
        <w:rPr>
          <w:rFonts w:hint="eastAsia" w:ascii="Times New Roman" w:hAnsi="Times New Roman" w:eastAsia="宋体"/>
          <w:bCs w:val="0"/>
          <w:color w:val="000000" w:themeColor="text1"/>
          <w:spacing w:val="6"/>
          <w:kern w:val="2"/>
          <w:lang w:val="zh-CN" w:eastAsia="zh-CN"/>
          <w14:textFill>
            <w14:solidFill>
              <w14:schemeClr w14:val="tx1"/>
            </w14:solidFill>
          </w14:textFill>
        </w:rPr>
        <w:t>据调查评价区域内动物，除家养宠物外，以伴人型啮齿类（如小家鼠、灰仓鼠）等动物为主。</w:t>
      </w:r>
    </w:p>
    <w:p>
      <w:pPr>
        <w:pStyle w:val="129"/>
        <w:keepNext w:val="0"/>
        <w:keepLines w:val="0"/>
        <w:pageBreakBefore w:val="0"/>
        <w:widowControl w:val="0"/>
        <w:shd w:val="clear" w:color="auto" w:fill="auto"/>
        <w:kinsoku/>
        <w:wordWrap/>
        <w:overflowPunct/>
        <w:topLinePunct w:val="0"/>
        <w:autoSpaceDE/>
        <w:autoSpaceDN/>
        <w:bidi w:val="0"/>
        <w:adjustRightInd w:val="0"/>
        <w:snapToGrid w:val="0"/>
        <w:ind w:firstLine="504" w:firstLineChars="200"/>
        <w:textAlignment w:val="auto"/>
        <w:rPr>
          <w:rFonts w:hint="eastAsia"/>
          <w:color w:val="000000" w:themeColor="text1"/>
          <w:sz w:val="24"/>
          <w:szCs w:val="24"/>
          <w:lang w:val="en-US" w:eastAsia="en-US"/>
          <w14:textFill>
            <w14:solidFill>
              <w14:schemeClr w14:val="tx1"/>
            </w14:solidFill>
          </w14:textFill>
        </w:rPr>
      </w:pPr>
      <w:r>
        <w:rPr>
          <w:rFonts w:hint="eastAsia" w:ascii="Times New Roman" w:hAnsi="Times New Roman" w:eastAsia="宋体"/>
          <w:bCs w:val="0"/>
          <w:color w:val="000000" w:themeColor="text1"/>
          <w:spacing w:val="6"/>
          <w:kern w:val="2"/>
          <w:lang w:val="zh-CN" w:eastAsia="zh-CN"/>
          <w14:textFill>
            <w14:solidFill>
              <w14:schemeClr w14:val="tx1"/>
            </w14:solidFill>
          </w14:textFill>
        </w:rPr>
        <w:t>项目所在区域内无特有物种分布，无国家保护及珍稀、濒危物种存在。</w:t>
      </w:r>
      <w:r>
        <w:rPr>
          <w:rFonts w:hint="eastAsia"/>
          <w:color w:val="000000" w:themeColor="text1"/>
          <w:sz w:val="24"/>
          <w:szCs w:val="24"/>
          <w:lang w:val="en-US" w:eastAsia="en-US"/>
          <w14:textFill>
            <w14:solidFill>
              <w14:schemeClr w14:val="tx1"/>
            </w14:solidFill>
          </w14:textFill>
        </w:rPr>
        <w:br w:type="page"/>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textAlignment w:val="auto"/>
        <w:outlineLvl w:val="0"/>
        <w:rPr>
          <w:rStyle w:val="75"/>
          <w:rFonts w:hint="eastAsia" w:ascii="Times New Roman" w:hAnsi="Times New Roman"/>
          <w:color w:val="000000" w:themeColor="text1"/>
          <w:sz w:val="44"/>
          <w:szCs w:val="44"/>
          <w14:textFill>
            <w14:solidFill>
              <w14:schemeClr w14:val="tx1"/>
            </w14:solidFill>
          </w14:textFill>
        </w:rPr>
      </w:pPr>
      <w:bookmarkStart w:id="201" w:name="_Toc7491"/>
      <w:bookmarkStart w:id="202" w:name="bookmark21"/>
      <w:r>
        <w:rPr>
          <w:rStyle w:val="75"/>
          <w:rFonts w:hint="eastAsia"/>
          <w:color w:val="000000" w:themeColor="text1"/>
          <w:sz w:val="44"/>
          <w:szCs w:val="44"/>
          <w:lang w:val="en-US" w:eastAsia="zh-CN"/>
          <w14:textFill>
            <w14:solidFill>
              <w14:schemeClr w14:val="tx1"/>
            </w14:solidFill>
          </w14:textFill>
        </w:rPr>
        <w:t>4</w:t>
      </w:r>
      <w:r>
        <w:rPr>
          <w:rStyle w:val="75"/>
          <w:rFonts w:hint="eastAsia" w:ascii="Times New Roman" w:hAnsi="Times New Roman"/>
          <w:color w:val="000000" w:themeColor="text1"/>
          <w:sz w:val="44"/>
          <w:szCs w:val="44"/>
          <w:lang w:val="zh-CN" w:eastAsia="zh-CN"/>
          <w14:textFill>
            <w14:solidFill>
              <w14:schemeClr w14:val="tx1"/>
            </w14:solidFill>
          </w14:textFill>
        </w:rPr>
        <w:t>施工期环境影响分析</w:t>
      </w:r>
      <w:bookmarkEnd w:id="201"/>
      <w:bookmarkEnd w:id="202"/>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color w:val="000000" w:themeColor="text1"/>
          <w:sz w:val="24"/>
          <w:szCs w:val="24"/>
          <w:lang w:val="en-US" w:eastAsia="en-US"/>
          <w14:textFill>
            <w14:solidFill>
              <w14:schemeClr w14:val="tx1"/>
            </w14:solidFill>
          </w14:textFill>
        </w:rPr>
        <w:t>拟建项目施工过程可分为土方挖掘、主体结构和内外装修三个主要阶段。分析本项目的施工内容，可以看出施工期的污染源主要有生态破坏、施工扬尘、噪声、施工废水和固体废物。工程建设完成后，除永久性占地为持续性影响外，其它影响仅在施工期内存在，并且影响范围小，时间短。</w:t>
      </w:r>
    </w:p>
    <w:p>
      <w:pPr>
        <w:pStyle w:val="3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pPr>
      <w:bookmarkStart w:id="203" w:name="_Toc27897"/>
      <w:bookmarkStart w:id="204" w:name="bookmark22"/>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4.1</w:t>
      </w:r>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施工期大气环境影响分析及措施</w:t>
      </w:r>
      <w:bookmarkEnd w:id="203"/>
      <w:bookmarkEnd w:id="204"/>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205" w:name="bookmark23"/>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4.1.1</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施工扬尘影响分析</w:t>
      </w:r>
      <w:bookmarkEnd w:id="205"/>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color w:val="000000" w:themeColor="text1"/>
          <w:sz w:val="24"/>
          <w:szCs w:val="24"/>
          <w:lang w:val="en-US" w:eastAsia="en-US"/>
          <w14:textFill>
            <w14:solidFill>
              <w14:schemeClr w14:val="tx1"/>
            </w14:solidFill>
          </w14:textFill>
        </w:rPr>
        <w:t>扬尘是项目施工期间影响环境空气的主要污染物，来源于多项粉尘无组织源：建筑场地的平整清理，土方挖掘填埋，物料堆存，建筑材料的装卸、搬运、使用，以及运料车辆的出入等，都易产生扬尘污染。</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color w:val="000000" w:themeColor="text1"/>
          <w:sz w:val="24"/>
          <w:szCs w:val="24"/>
          <w:lang w:val="en-US" w:eastAsia="en-US"/>
          <w14:textFill>
            <w14:solidFill>
              <w14:schemeClr w14:val="tx1"/>
            </w14:solidFill>
          </w14:textFill>
        </w:rPr>
        <w:t>在施工运输中，由于开挖土方后，致使大片土地裸露和土方堆放，建筑材料装卸以及运输车辆产生粉尘，这些粉尘随风扩散和飘动，造成施工扬尘。</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color w:val="000000" w:themeColor="text1"/>
          <w:sz w:val="24"/>
          <w:szCs w:val="24"/>
          <w:lang w:val="en-US" w:eastAsia="en-US"/>
          <w14:textFill>
            <w14:solidFill>
              <w14:schemeClr w14:val="tx1"/>
            </w14:solidFill>
          </w14:textFill>
        </w:rPr>
        <w:t>施工扬尘是施工活动的一个重要污染源，是人们十分关注的问题。施工扬尘的大小随施工季节、施工管理等不同差别甚大，影响范围可达150</w:t>
      </w:r>
      <w:r>
        <w:rPr>
          <w:rFonts w:hint="eastAsia" w:eastAsia="宋体"/>
          <w:color w:val="000000" w:themeColor="text1"/>
          <w:sz w:val="24"/>
          <w:szCs w:val="24"/>
          <w:lang w:val="en-US" w:eastAsia="zh-CN"/>
          <w14:textFill>
            <w14:solidFill>
              <w14:schemeClr w14:val="tx1"/>
            </w14:solidFill>
          </w14:textFill>
        </w:rPr>
        <w:t>~</w:t>
      </w:r>
      <w:r>
        <w:rPr>
          <w:rFonts w:hint="eastAsia"/>
          <w:color w:val="000000" w:themeColor="text1"/>
          <w:sz w:val="24"/>
          <w:szCs w:val="24"/>
          <w:lang w:val="en-US" w:eastAsia="en-US"/>
          <w14:textFill>
            <w14:solidFill>
              <w14:schemeClr w14:val="tx1"/>
            </w14:solidFill>
          </w14:textFill>
        </w:rPr>
        <w:t>300m。</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color w:val="000000" w:themeColor="text1"/>
          <w:sz w:val="24"/>
          <w:szCs w:val="24"/>
          <w:lang w:val="en-US" w:eastAsia="en-US"/>
          <w14:textFill>
            <w14:solidFill>
              <w14:schemeClr w14:val="tx1"/>
            </w14:solidFill>
          </w14:textFill>
        </w:rPr>
        <w:t>通过类比调查，在一般气象条件下，平均风速为2.6m/s时，施工扬尘污染有如下结果：建筑工地内TSP浓度为上风向对照点的1.5</w:t>
      </w:r>
      <w:r>
        <w:rPr>
          <w:rFonts w:hint="eastAsia" w:eastAsia="宋体"/>
          <w:color w:val="000000" w:themeColor="text1"/>
          <w:sz w:val="24"/>
          <w:szCs w:val="24"/>
          <w:lang w:val="en-US" w:eastAsia="zh-CN"/>
          <w14:textFill>
            <w14:solidFill>
              <w14:schemeClr w14:val="tx1"/>
            </w14:solidFill>
          </w14:textFill>
        </w:rPr>
        <w:t>~</w:t>
      </w:r>
      <w:r>
        <w:rPr>
          <w:rFonts w:hint="eastAsia"/>
          <w:color w:val="000000" w:themeColor="text1"/>
          <w:sz w:val="24"/>
          <w:szCs w:val="24"/>
          <w:lang w:val="en-US" w:eastAsia="en-US"/>
          <w14:textFill>
            <w14:solidFill>
              <w14:schemeClr w14:val="tx1"/>
            </w14:solidFill>
          </w14:textFill>
        </w:rPr>
        <w:t>2.3倍。建筑工地扬尘影响的下风向</w:t>
      </w:r>
      <w:r>
        <w:rPr>
          <w:rFonts w:hint="eastAsia" w:eastAsia="宋体"/>
          <w:color w:val="000000" w:themeColor="text1"/>
          <w:sz w:val="24"/>
          <w:szCs w:val="24"/>
          <w:lang w:val="en-US" w:eastAsia="zh-CN"/>
          <w14:textFill>
            <w14:solidFill>
              <w14:schemeClr w14:val="tx1"/>
            </w14:solidFill>
          </w14:textFill>
        </w:rPr>
        <w:t>80</w:t>
      </w:r>
      <w:r>
        <w:rPr>
          <w:rFonts w:hint="eastAsia"/>
          <w:color w:val="000000" w:themeColor="text1"/>
          <w:sz w:val="24"/>
          <w:szCs w:val="24"/>
          <w:lang w:val="en-US" w:eastAsia="en-US"/>
          <w14:textFill>
            <w14:solidFill>
              <w14:schemeClr w14:val="tx1"/>
            </w14:solidFill>
          </w14:textFill>
        </w:rPr>
        <w:t>m处，被影响地区TSP平均浓度为0.49mg/Nm</w:t>
      </w:r>
      <w:r>
        <w:rPr>
          <w:rFonts w:hint="eastAsia"/>
          <w:color w:val="000000" w:themeColor="text1"/>
          <w:sz w:val="24"/>
          <w:szCs w:val="24"/>
          <w:vertAlign w:val="superscript"/>
          <w:lang w:val="en-US" w:eastAsia="en-US"/>
          <w14:textFill>
            <w14:solidFill>
              <w14:schemeClr w14:val="tx1"/>
            </w14:solidFill>
          </w14:textFill>
        </w:rPr>
        <w:t>3</w:t>
      </w:r>
      <w:r>
        <w:rPr>
          <w:rFonts w:hint="eastAsia"/>
          <w:color w:val="000000" w:themeColor="text1"/>
          <w:sz w:val="24"/>
          <w:szCs w:val="24"/>
          <w:lang w:val="en-US" w:eastAsia="en-US"/>
          <w14:textFill>
            <w14:solidFill>
              <w14:schemeClr w14:val="tx1"/>
            </w14:solidFill>
          </w14:textFill>
        </w:rPr>
        <w:t>左右，相当于大气环境质量标准的1.6倍。围栏对减少施工扬尘污染有一定作用，风速为0.5m/s时，可使影响距离缩短40%左右。</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color w:val="000000" w:themeColor="text1"/>
          <w:sz w:val="24"/>
          <w:szCs w:val="24"/>
          <w:lang w:val="en-US" w:eastAsia="en-US"/>
          <w14:textFill>
            <w14:solidFill>
              <w14:schemeClr w14:val="tx1"/>
            </w14:solidFill>
          </w14:textFill>
        </w:rPr>
        <w:t>本工程施工期对大气的影响主要是施工和运输产生的粉尘和二次扬尘。</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color w:val="000000" w:themeColor="text1"/>
          <w:sz w:val="24"/>
          <w:szCs w:val="24"/>
          <w:lang w:val="en-US" w:eastAsia="en-US"/>
          <w14:textFill>
            <w14:solidFill>
              <w14:schemeClr w14:val="tx1"/>
            </w14:solidFill>
          </w14:textFill>
        </w:rPr>
        <w:t>施工过程中大量的挖土堆置施工场地。工程所在区域风速较大，且堆置的土较为疏松，容易引起扬尘，给周围大气环境带来较大影响。</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color w:val="000000" w:themeColor="text1"/>
          <w:sz w:val="24"/>
          <w:szCs w:val="24"/>
          <w:lang w:val="en-US" w:eastAsia="en-US"/>
          <w14:textFill>
            <w14:solidFill>
              <w14:schemeClr w14:val="tx1"/>
            </w14:solidFill>
          </w14:textFill>
        </w:rPr>
        <w:t>施工运输车辆在道路上行驶会引起扬尘，运送粘性土料的车辆如不遮盖也会产生扬尘。</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color w:val="000000" w:themeColor="text1"/>
          <w:sz w:val="24"/>
          <w:szCs w:val="24"/>
          <w:lang w:val="en-US" w:eastAsia="en-US"/>
          <w14:textFill>
            <w14:solidFill>
              <w14:schemeClr w14:val="tx1"/>
            </w14:solidFill>
          </w14:textFill>
        </w:rPr>
        <w:t>上述扬尘对大气环境的影响虽然是暂时的，但局部污染状况是较为严重的，必须引起重视，采取道路喷洒水或遮盖措施减少其影响。</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206" w:name="bookmark24"/>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4.1.2</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施工期大气环保对策措施</w:t>
      </w:r>
      <w:bookmarkEnd w:id="206"/>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color w:val="000000" w:themeColor="text1"/>
          <w:sz w:val="24"/>
          <w:szCs w:val="24"/>
          <w:lang w:val="en-US" w:eastAsia="en-US"/>
          <w14:textFill>
            <w14:solidFill>
              <w14:schemeClr w14:val="tx1"/>
            </w14:solidFill>
          </w14:textFill>
        </w:rPr>
        <w:t>本项目施工期大气环保对策措施依据《建筑施工现场环境与卫生标准》 (JGJ146-2004)中 “3环境保护”强制性条文有关内容，其内容如下：</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（1）</w:t>
      </w:r>
      <w:r>
        <w:rPr>
          <w:rFonts w:hint="eastAsia"/>
          <w:color w:val="000000" w:themeColor="text1"/>
          <w:sz w:val="24"/>
          <w:szCs w:val="24"/>
          <w:lang w:val="en-US" w:eastAsia="en-US"/>
          <w14:textFill>
            <w14:solidFill>
              <w14:schemeClr w14:val="tx1"/>
            </w14:solidFill>
          </w14:textFill>
        </w:rPr>
        <w:t>大风天禁止施工作业，同时散体材料装卸必须采取防风遮挡等降尘措施。</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（2）</w:t>
      </w:r>
      <w:r>
        <w:rPr>
          <w:rFonts w:hint="eastAsia"/>
          <w:color w:val="000000" w:themeColor="text1"/>
          <w:sz w:val="24"/>
          <w:szCs w:val="24"/>
          <w:lang w:val="en-US" w:eastAsia="en-US"/>
          <w14:textFill>
            <w14:solidFill>
              <w14:schemeClr w14:val="tx1"/>
            </w14:solidFill>
          </w14:textFill>
        </w:rPr>
        <w:t>未铺装的施工道路在千燥天气及大风条件下极易起尘，因此要求及时洒水降尘，缩短扬尘污染的时段和污染范围，最大限度地减少起尘量；同时对施工道路进行定期养护、清扫，确保路况良好。</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（3）</w:t>
      </w:r>
      <w:r>
        <w:rPr>
          <w:rFonts w:hint="eastAsia"/>
          <w:color w:val="000000" w:themeColor="text1"/>
          <w:sz w:val="24"/>
          <w:szCs w:val="24"/>
          <w:lang w:val="en-US" w:eastAsia="en-US"/>
          <w14:textFill>
            <w14:solidFill>
              <w14:schemeClr w14:val="tx1"/>
            </w14:solidFill>
          </w14:textFill>
        </w:rPr>
        <w:t>对施工临时堆放的土方，应采取防护措施，如加盖保护网、喷淋保湿等，防止扬尘污染。</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（4）</w:t>
      </w:r>
      <w:r>
        <w:rPr>
          <w:rFonts w:hint="eastAsia"/>
          <w:color w:val="000000" w:themeColor="text1"/>
          <w:sz w:val="24"/>
          <w:szCs w:val="24"/>
          <w:lang w:val="en-US" w:eastAsia="en-US"/>
          <w14:textFill>
            <w14:solidFill>
              <w14:schemeClr w14:val="tx1"/>
            </w14:solidFill>
          </w14:textFill>
        </w:rPr>
        <w:t>施工单位必须选用符合国家卫生防护标准的施工机械设备和运输工具，确保废气排放符合国家有关标准的规定。</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color w:val="000000" w:themeColor="text1"/>
          <w:sz w:val="24"/>
          <w:szCs w:val="24"/>
          <w:lang w:val="en-US" w:eastAsia="en-US"/>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（5）</w:t>
      </w:r>
      <w:r>
        <w:rPr>
          <w:rFonts w:hint="eastAsia"/>
          <w:color w:val="000000" w:themeColor="text1"/>
          <w:sz w:val="24"/>
          <w:szCs w:val="24"/>
          <w:lang w:val="en-US" w:eastAsia="en-US"/>
          <w14:textFill>
            <w14:solidFill>
              <w14:schemeClr w14:val="tx1"/>
            </w14:solidFill>
          </w14:textFill>
        </w:rPr>
        <w:t>车辆及施工器械在施工过程中应尽量避免扰动原始地面、碾压周围地区的植被，不得随意开辟便道，严禁车辆下道行驶，并对施工集中区进行喷洒作业，以减少大气中浮尘及扬尘来源，减轻对动植物的干扰。</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pPr>
      <w:bookmarkStart w:id="207" w:name="_Toc11830"/>
      <w:bookmarkStart w:id="208" w:name="bookmark25"/>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4.2</w:t>
      </w:r>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施工期水环境影响分析及措施</w:t>
      </w:r>
      <w:bookmarkEnd w:id="207"/>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 xml:space="preserve"> </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4.2.</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1施工期废水影响分析</w:t>
      </w:r>
      <w:bookmarkEnd w:id="208"/>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施工期废水主要来自施工拌料、清洗机械和车辆产生的废水以及生活污水。</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一般施工活动产生的废水主要污染物为泥沙悬浮颗粒物和矿物油，生活污水含有BOD</w:t>
      </w:r>
      <w:r>
        <w:rPr>
          <w:rFonts w:hint="eastAsia" w:eastAsia="宋体"/>
          <w:color w:val="000000" w:themeColor="text1"/>
          <w:sz w:val="24"/>
          <w:szCs w:val="24"/>
          <w:vertAlign w:val="subscript"/>
          <w:lang w:val="en-US" w:eastAsia="en-US"/>
          <w14:textFill>
            <w14:solidFill>
              <w14:schemeClr w14:val="tx1"/>
            </w14:solidFill>
          </w14:textFill>
        </w:rPr>
        <w:t>5</w:t>
      </w:r>
      <w:r>
        <w:rPr>
          <w:rFonts w:hint="eastAsia" w:eastAsia="宋体"/>
          <w:color w:val="000000" w:themeColor="text1"/>
          <w:sz w:val="24"/>
          <w:szCs w:val="24"/>
          <w:lang w:val="en-US" w:eastAsia="en-US"/>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COD和悬浮物。在施工生活区内应设置简易厕所和化粪池，对施工住地的食堂、浴室及粪便污水进行处理，使污水在池中充分停留消化，上清液回用；施工机械维修过程中产生的含油污水可集中至集油池，通过移动式油处理设备处理后达标后排入污水池；施工过程中产生的泥浆水应集中经沉淀池沉淀后排入污水池，由于目前施工场地内尚无排水设施，因此在施工期间应在施工场地内建一座小型污水池，并作防渗处理，各种污水处理后排入污水池中，回用于施工要求不高的场所或自然蒸发。厂址区地处内陆干旱区，干燥、蒸发快，会消纳部分污水，待施工期结束后对临时储存池进行清理，与建筑垃圾一同外运。</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209" w:name="bookmark26"/>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4.2.2</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施工废水防治措施</w:t>
      </w:r>
      <w:bookmarkEnd w:id="209"/>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施工期由于施工人员多，生活用水量较大，为了防止建筑施工对周围地下水体产生污染，建设单位应与施工单位密切配合，采取以下措施：</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（1）定期清洁建筑施工机械表面不必要的润滑油及其它废油，对废袖应妥善处置；</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（2）加强施工机械设备的维修保养，避免在施工过程中燃料油的跑、冒、滴、漏；</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（3）不得随意在施工区域内冲洗汽车，对施工机械进行检修和清洗时必须定点， 检修和清洗场地必须经水泥硬化；</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（4）施工场地内建1座小型污水池收集各类污水，并作防渗处理。</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pPr>
      <w:bookmarkStart w:id="210" w:name="bookmark27"/>
      <w:bookmarkStart w:id="211" w:name="_Toc12820"/>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4.3</w:t>
      </w:r>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施工期声环境影响分析</w:t>
      </w:r>
      <w:bookmarkEnd w:id="210"/>
      <w:bookmarkEnd w:id="211"/>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拟建项目施工期会对周围产生噪声影响。由于拟建工程地址位于规划的工业区内，距离人群较远。因此，施工期产生的机械噪声对居民的日常生活不产生影响。</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212" w:name="bookmark28"/>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4.3.1</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噪声源源强</w:t>
      </w:r>
      <w:bookmarkEnd w:id="212"/>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施工中的噪声主要来源于施工机械设备，大多为不连续性噪声。施工中的主要设备噪声见</w:t>
      </w:r>
      <w:r>
        <w:rPr>
          <w:rFonts w:hint="eastAsia" w:eastAsia="宋体"/>
          <w:color w:val="000000" w:themeColor="text1"/>
          <w:sz w:val="24"/>
          <w:szCs w:val="24"/>
          <w:lang w:val="en-US" w:eastAsia="en-US"/>
          <w14:textFill>
            <w14:solidFill>
              <w14:schemeClr w14:val="tx1"/>
            </w14:solidFill>
          </w14:textFill>
        </w:rPr>
        <w:t>4.</w:t>
      </w:r>
      <w:r>
        <w:rPr>
          <w:rFonts w:hint="eastAsia" w:eastAsia="宋体"/>
          <w:color w:val="000000" w:themeColor="text1"/>
          <w:sz w:val="24"/>
          <w:szCs w:val="24"/>
          <w:lang w:val="en-US" w:eastAsia="zh-CN"/>
          <w14:textFill>
            <w14:solidFill>
              <w14:schemeClr w14:val="tx1"/>
            </w14:solidFill>
          </w14:textFill>
        </w:rPr>
        <w:t>3-1。</w:t>
      </w:r>
    </w:p>
    <w:p>
      <w:pPr>
        <w:pStyle w:val="2"/>
        <w:rPr>
          <w:rFonts w:hint="eastAsia"/>
          <w:color w:val="000000" w:themeColor="text1"/>
          <w:lang w:val="en-US" w:eastAsia="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4. 3-1</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ab/>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施工期主要设备噪声源强</w:t>
      </w:r>
    </w:p>
    <w:tbl>
      <w:tblPr>
        <w:tblStyle w:val="21"/>
        <w:tblW w:w="8326" w:type="dxa"/>
        <w:jc w:val="center"/>
        <w:tblInd w:w="0" w:type="dxa"/>
        <w:tblLayout w:type="fixed"/>
        <w:tblCellMar>
          <w:top w:w="0" w:type="dxa"/>
          <w:left w:w="10" w:type="dxa"/>
          <w:bottom w:w="0" w:type="dxa"/>
          <w:right w:w="10" w:type="dxa"/>
        </w:tblCellMar>
      </w:tblPr>
      <w:tblGrid>
        <w:gridCol w:w="2784"/>
        <w:gridCol w:w="2766"/>
        <w:gridCol w:w="2776"/>
      </w:tblGrid>
      <w:tr>
        <w:tblPrEx>
          <w:tblLayout w:type="fixed"/>
          <w:tblCellMar>
            <w:top w:w="0" w:type="dxa"/>
            <w:left w:w="10" w:type="dxa"/>
            <w:bottom w:w="0" w:type="dxa"/>
            <w:right w:w="10" w:type="dxa"/>
          </w:tblCellMar>
        </w:tblPrEx>
        <w:trPr>
          <w:trHeight w:val="394" w:hRule="exact"/>
          <w:jc w:val="center"/>
        </w:trPr>
        <w:tc>
          <w:tcPr>
            <w:tcW w:w="278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设备名称</w:t>
            </w:r>
          </w:p>
        </w:tc>
        <w:tc>
          <w:tcPr>
            <w:tcW w:w="276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源强</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dB</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 xml:space="preserve"> (</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A</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2776"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备注</w:t>
            </w:r>
          </w:p>
        </w:tc>
      </w:tr>
      <w:tr>
        <w:tblPrEx>
          <w:tblLayout w:type="fixed"/>
          <w:tblCellMar>
            <w:top w:w="0" w:type="dxa"/>
            <w:left w:w="10" w:type="dxa"/>
            <w:bottom w:w="0" w:type="dxa"/>
            <w:right w:w="10" w:type="dxa"/>
          </w:tblCellMar>
        </w:tblPrEx>
        <w:trPr>
          <w:trHeight w:val="389" w:hRule="exact"/>
          <w:jc w:val="center"/>
        </w:trPr>
        <w:tc>
          <w:tcPr>
            <w:tcW w:w="278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汽车吊</w:t>
            </w:r>
          </w:p>
        </w:tc>
        <w:tc>
          <w:tcPr>
            <w:tcW w:w="276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90</w:t>
            </w:r>
          </w:p>
        </w:tc>
        <w:tc>
          <w:tcPr>
            <w:tcW w:w="2776"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处</w:t>
            </w:r>
          </w:p>
        </w:tc>
      </w:tr>
      <w:tr>
        <w:tblPrEx>
          <w:tblLayout w:type="fixed"/>
          <w:tblCellMar>
            <w:top w:w="0" w:type="dxa"/>
            <w:left w:w="10" w:type="dxa"/>
            <w:bottom w:w="0" w:type="dxa"/>
            <w:right w:w="10" w:type="dxa"/>
          </w:tblCellMar>
        </w:tblPrEx>
        <w:trPr>
          <w:trHeight w:val="384" w:hRule="exact"/>
          <w:jc w:val="center"/>
        </w:trPr>
        <w:tc>
          <w:tcPr>
            <w:tcW w:w="278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翻斗车</w:t>
            </w:r>
          </w:p>
        </w:tc>
        <w:tc>
          <w:tcPr>
            <w:tcW w:w="276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86-90</w:t>
            </w:r>
          </w:p>
        </w:tc>
        <w:tc>
          <w:tcPr>
            <w:tcW w:w="2776"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eastAsia"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1</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处</w:t>
            </w:r>
          </w:p>
        </w:tc>
      </w:tr>
      <w:tr>
        <w:tblPrEx>
          <w:tblLayout w:type="fixed"/>
          <w:tblCellMar>
            <w:top w:w="0" w:type="dxa"/>
            <w:left w:w="10" w:type="dxa"/>
            <w:bottom w:w="0" w:type="dxa"/>
            <w:right w:w="10" w:type="dxa"/>
          </w:tblCellMar>
        </w:tblPrEx>
        <w:trPr>
          <w:trHeight w:val="389" w:hRule="exact"/>
          <w:jc w:val="center"/>
        </w:trPr>
        <w:tc>
          <w:tcPr>
            <w:tcW w:w="278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电焊机</w:t>
            </w:r>
          </w:p>
        </w:tc>
        <w:tc>
          <w:tcPr>
            <w:tcW w:w="276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90</w:t>
            </w:r>
          </w:p>
        </w:tc>
        <w:tc>
          <w:tcPr>
            <w:tcW w:w="2776"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eastAsia"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1</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处</w:t>
            </w:r>
          </w:p>
        </w:tc>
      </w:tr>
      <w:tr>
        <w:tblPrEx>
          <w:tblLayout w:type="fixed"/>
          <w:tblCellMar>
            <w:top w:w="0" w:type="dxa"/>
            <w:left w:w="10" w:type="dxa"/>
            <w:bottom w:w="0" w:type="dxa"/>
            <w:right w:w="10" w:type="dxa"/>
          </w:tblCellMar>
        </w:tblPrEx>
        <w:trPr>
          <w:trHeight w:val="384" w:hRule="exact"/>
          <w:jc w:val="center"/>
        </w:trPr>
        <w:tc>
          <w:tcPr>
            <w:tcW w:w="278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推土机</w:t>
            </w:r>
          </w:p>
        </w:tc>
        <w:tc>
          <w:tcPr>
            <w:tcW w:w="276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82-90</w:t>
            </w:r>
          </w:p>
        </w:tc>
        <w:tc>
          <w:tcPr>
            <w:tcW w:w="2776"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eastAsia"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1</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处</w:t>
            </w:r>
          </w:p>
        </w:tc>
      </w:tr>
      <w:tr>
        <w:tblPrEx>
          <w:tblLayout w:type="fixed"/>
          <w:tblCellMar>
            <w:top w:w="0" w:type="dxa"/>
            <w:left w:w="10" w:type="dxa"/>
            <w:bottom w:w="0" w:type="dxa"/>
            <w:right w:w="10" w:type="dxa"/>
          </w:tblCellMar>
        </w:tblPrEx>
        <w:trPr>
          <w:trHeight w:val="389" w:hRule="exact"/>
          <w:jc w:val="center"/>
        </w:trPr>
        <w:tc>
          <w:tcPr>
            <w:tcW w:w="278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混凝土振捣棒</w:t>
            </w:r>
          </w:p>
        </w:tc>
        <w:tc>
          <w:tcPr>
            <w:tcW w:w="276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100</w:t>
            </w:r>
          </w:p>
        </w:tc>
        <w:tc>
          <w:tcPr>
            <w:tcW w:w="2776"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eastAsia"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1</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处</w:t>
            </w:r>
          </w:p>
        </w:tc>
      </w:tr>
      <w:tr>
        <w:tblPrEx>
          <w:tblLayout w:type="fixed"/>
          <w:tblCellMar>
            <w:top w:w="0" w:type="dxa"/>
            <w:left w:w="10" w:type="dxa"/>
            <w:bottom w:w="0" w:type="dxa"/>
            <w:right w:w="10" w:type="dxa"/>
          </w:tblCellMar>
        </w:tblPrEx>
        <w:trPr>
          <w:trHeight w:val="384" w:hRule="exact"/>
          <w:jc w:val="center"/>
        </w:trPr>
        <w:tc>
          <w:tcPr>
            <w:tcW w:w="278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木工机械</w:t>
            </w:r>
          </w:p>
        </w:tc>
        <w:tc>
          <w:tcPr>
            <w:tcW w:w="276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100-110</w:t>
            </w:r>
          </w:p>
        </w:tc>
        <w:tc>
          <w:tcPr>
            <w:tcW w:w="2776" w:type="dxa"/>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eastAsia"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1</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处</w:t>
            </w:r>
          </w:p>
        </w:tc>
      </w:tr>
      <w:tr>
        <w:tblPrEx>
          <w:tblLayout w:type="fixed"/>
          <w:tblCellMar>
            <w:top w:w="0" w:type="dxa"/>
            <w:left w:w="10" w:type="dxa"/>
            <w:bottom w:w="0" w:type="dxa"/>
            <w:right w:w="10" w:type="dxa"/>
          </w:tblCellMar>
        </w:tblPrEx>
        <w:trPr>
          <w:trHeight w:val="398" w:hRule="exact"/>
          <w:jc w:val="center"/>
        </w:trPr>
        <w:tc>
          <w:tcPr>
            <w:tcW w:w="2784"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载重车</w:t>
            </w:r>
          </w:p>
        </w:tc>
        <w:tc>
          <w:tcPr>
            <w:tcW w:w="2766"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89</w:t>
            </w:r>
          </w:p>
        </w:tc>
        <w:tc>
          <w:tcPr>
            <w:tcW w:w="27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eastAsia"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1</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处</w:t>
            </w:r>
          </w:p>
        </w:tc>
      </w:tr>
    </w:tbl>
    <w:p>
      <w:pPr>
        <w:keepNext w:val="0"/>
        <w:keepLines w:val="0"/>
        <w:pageBreakBefore w:val="0"/>
        <w:widowControl w:val="0"/>
        <w:shd w:val="clear" w:color="auto" w:fill="auto"/>
        <w:kinsoku/>
        <w:wordWrap/>
        <w:overflowPunct w:val="0"/>
        <w:topLinePunct w:val="0"/>
        <w:autoSpaceDE/>
        <w:autoSpaceDN/>
        <w:bidi w:val="0"/>
        <w:adjustRightInd/>
        <w:snapToGrid/>
        <w:spacing w:before="313" w:beforeLines="100"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由上表可以看出，施工设备属强噪声源，且位于室外，无有效的控制措施。</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213" w:name="bookmark29"/>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4.3.2</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施工噪声影响分析</w:t>
      </w:r>
      <w:bookmarkEnd w:id="213"/>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施工期各种噪声源多为点源，按点声源衰减模式计算施工机械噪声的距离，计算公式为：</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L</w:t>
      </w:r>
      <w:r>
        <w:rPr>
          <w:rFonts w:hint="eastAsia" w:eastAsia="宋体"/>
          <w:color w:val="000000" w:themeColor="text1"/>
          <w:sz w:val="24"/>
          <w:szCs w:val="24"/>
          <w:vertAlign w:val="subscript"/>
          <w:lang w:val="en-US" w:eastAsia="zh-CN"/>
          <w14:textFill>
            <w14:solidFill>
              <w14:schemeClr w14:val="tx1"/>
            </w14:solidFill>
          </w14:textFill>
        </w:rPr>
        <w:t>2</w:t>
      </w:r>
      <w:r>
        <w:rPr>
          <w:rFonts w:hint="eastAsia" w:eastAsia="宋体"/>
          <w:color w:val="000000" w:themeColor="text1"/>
          <w:sz w:val="24"/>
          <w:szCs w:val="24"/>
          <w:lang w:val="zh-CN" w:eastAsia="zh-CN"/>
          <w14:textFill>
            <w14:solidFill>
              <w14:schemeClr w14:val="tx1"/>
            </w14:solidFill>
          </w14:textFill>
        </w:rPr>
        <w:t xml:space="preserve">= </w:t>
      </w:r>
      <w:r>
        <w:rPr>
          <w:rFonts w:hint="eastAsia" w:eastAsia="宋体"/>
          <w:color w:val="000000" w:themeColor="text1"/>
          <w:sz w:val="24"/>
          <w:szCs w:val="24"/>
          <w:lang w:val="en-US" w:eastAsia="zh-CN"/>
          <w14:textFill>
            <w14:solidFill>
              <w14:schemeClr w14:val="tx1"/>
            </w14:solidFill>
          </w14:textFill>
        </w:rPr>
        <w:t>L</w:t>
      </w:r>
      <w:r>
        <w:rPr>
          <w:rFonts w:hint="eastAsia" w:eastAsia="宋体"/>
          <w:color w:val="000000" w:themeColor="text1"/>
          <w:sz w:val="24"/>
          <w:szCs w:val="24"/>
          <w:vertAlign w:val="subscript"/>
          <w:lang w:val="en-US" w:eastAsia="zh-CN"/>
          <w14:textFill>
            <w14:solidFill>
              <w14:schemeClr w14:val="tx1"/>
            </w14:solidFill>
          </w14:textFill>
        </w:rPr>
        <w:t>1</w:t>
      </w:r>
      <w:r>
        <w:rPr>
          <w:rFonts w:hint="eastAsia" w:eastAsia="宋体"/>
          <w:color w:val="000000" w:themeColor="text1"/>
          <w:sz w:val="24"/>
          <w:szCs w:val="24"/>
          <w:lang w:val="en-US" w:eastAsia="zh-CN"/>
          <w14:textFill>
            <w14:solidFill>
              <w14:schemeClr w14:val="tx1"/>
            </w14:solidFill>
          </w14:textFill>
        </w:rPr>
        <w:t>-</w:t>
      </w:r>
      <w:r>
        <w:rPr>
          <w:rFonts w:hint="eastAsia" w:eastAsia="宋体"/>
          <w:color w:val="000000" w:themeColor="text1"/>
          <w:sz w:val="24"/>
          <w:szCs w:val="24"/>
          <w:lang w:val="zh-CN" w:eastAsia="zh-CN"/>
          <w14:textFill>
            <w14:solidFill>
              <w14:schemeClr w14:val="tx1"/>
            </w14:solidFill>
          </w14:textFill>
        </w:rPr>
        <w:t xml:space="preserve">20 </w:t>
      </w:r>
      <w:r>
        <w:rPr>
          <w:rFonts w:hint="eastAsia" w:eastAsia="宋体"/>
          <w:color w:val="000000" w:themeColor="text1"/>
          <w:sz w:val="24"/>
          <w:szCs w:val="24"/>
          <w:lang w:val="en-US" w:eastAsia="zh-CN"/>
          <w14:textFill>
            <w14:solidFill>
              <w14:schemeClr w14:val="tx1"/>
            </w14:solidFill>
          </w14:textFill>
        </w:rPr>
        <w:t>lg{r</w:t>
      </w:r>
      <w:r>
        <w:rPr>
          <w:rFonts w:hint="eastAsia" w:eastAsia="宋体"/>
          <w:color w:val="000000" w:themeColor="text1"/>
          <w:sz w:val="24"/>
          <w:szCs w:val="24"/>
          <w:vertAlign w:val="subscript"/>
          <w:lang w:val="en-US" w:eastAsia="zh-CN"/>
          <w14:textFill>
            <w14:solidFill>
              <w14:schemeClr w14:val="tx1"/>
            </w14:solidFill>
          </w14:textFill>
        </w:rPr>
        <w:t>2</w:t>
      </w:r>
      <w:r>
        <w:rPr>
          <w:rFonts w:hint="eastAsia" w:eastAsia="宋体"/>
          <w:color w:val="000000" w:themeColor="text1"/>
          <w:sz w:val="24"/>
          <w:szCs w:val="24"/>
          <w:lang w:val="en-US" w:eastAsia="zh-CN"/>
          <w14:textFill>
            <w14:solidFill>
              <w14:schemeClr w14:val="tx1"/>
            </w14:solidFill>
          </w14:textFill>
        </w:rPr>
        <w:t>/</w:t>
      </w:r>
      <w:r>
        <w:rPr>
          <w:rFonts w:hint="eastAsia" w:eastAsia="宋体"/>
          <w:color w:val="000000" w:themeColor="text1"/>
          <w:sz w:val="24"/>
          <w:szCs w:val="24"/>
          <w:lang w:val="zh-CN" w:eastAsia="zh-CN"/>
          <w14:textFill>
            <w14:solidFill>
              <w14:schemeClr w14:val="tx1"/>
            </w14:solidFill>
          </w14:textFill>
        </w:rPr>
        <w:t xml:space="preserve"> </w:t>
      </w:r>
      <w:r>
        <w:rPr>
          <w:rFonts w:hint="eastAsia" w:eastAsia="宋体"/>
          <w:color w:val="000000" w:themeColor="text1"/>
          <w:sz w:val="24"/>
          <w:szCs w:val="24"/>
          <w:lang w:val="en-US" w:eastAsia="zh-CN"/>
          <w14:textFill>
            <w14:solidFill>
              <w14:schemeClr w14:val="tx1"/>
            </w14:solidFill>
          </w14:textFill>
        </w:rPr>
        <w:t>r</w:t>
      </w:r>
      <w:r>
        <w:rPr>
          <w:rFonts w:hint="eastAsia" w:eastAsia="宋体"/>
          <w:color w:val="000000" w:themeColor="text1"/>
          <w:sz w:val="24"/>
          <w:szCs w:val="24"/>
          <w:vertAlign w:val="subscript"/>
          <w:lang w:val="en-US" w:eastAsia="zh-CN"/>
          <w14:textFill>
            <w14:solidFill>
              <w14:schemeClr w14:val="tx1"/>
            </w14:solidFill>
          </w14:textFill>
        </w:rPr>
        <w:t>1</w:t>
      </w:r>
      <w:r>
        <w:rPr>
          <w:rFonts w:hint="eastAsia" w:eastAsia="宋体"/>
          <w:color w:val="000000" w:themeColor="text1"/>
          <w:sz w:val="24"/>
          <w:szCs w:val="24"/>
          <w:lang w:val="en-US" w:eastAsia="zh-CN"/>
          <w14:textFill>
            <w14:solidFill>
              <w14:schemeClr w14:val="tx1"/>
            </w14:solidFill>
          </w14:textFill>
        </w:rPr>
        <w:t>}-</w:t>
      </w:r>
      <w:r>
        <w:rPr>
          <w:rFonts w:hint="eastAsia" w:eastAsia="宋体"/>
          <w:color w:val="000000" w:themeColor="text1"/>
          <w:position w:val="-4"/>
          <w:sz w:val="24"/>
          <w:szCs w:val="24"/>
          <w:lang w:val="en-US" w:eastAsia="zh-CN"/>
          <w14:textFill>
            <w14:solidFill>
              <w14:schemeClr w14:val="tx1"/>
            </w14:solidFill>
          </w14:textFill>
        </w:rPr>
        <w:object>
          <v:shape id="_x0000_i1030" o:spt="75" type="#_x0000_t75" style="height:13pt;width:11pt;" o:ole="t" filled="f" o:preferrelative="t" stroked="f" coordsize="21600,21600">
            <v:path/>
            <v:fill on="f" focussize="0,0"/>
            <v:stroke on="f"/>
            <v:imagedata r:id="rId34" o:title=""/>
            <o:lock v:ext="edit" aspectratio="t"/>
            <w10:wrap type="none"/>
            <w10:anchorlock/>
          </v:shape>
          <o:OLEObject Type="Embed" ProgID="Equation.KSEE3" ShapeID="_x0000_i1030" DrawAspect="Content" ObjectID="_1468075730" r:id="rId33">
            <o:LockedField>false</o:LockedField>
          </o:OLEObject>
        </w:object>
      </w:r>
      <w:r>
        <w:rPr>
          <w:rFonts w:hint="eastAsia" w:eastAsia="宋体"/>
          <w:color w:val="000000" w:themeColor="text1"/>
          <w:sz w:val="24"/>
          <w:szCs w:val="24"/>
          <w:lang w:val="en-US" w:eastAsia="zh-CN"/>
          <w14:textFill>
            <w14:solidFill>
              <w14:schemeClr w14:val="tx1"/>
            </w14:solidFill>
          </w14:textFill>
        </w:rPr>
        <w:t>L</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en-US"/>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式中：L</w:t>
      </w:r>
      <w:r>
        <w:rPr>
          <w:rFonts w:hint="eastAsia" w:eastAsia="宋体"/>
          <w:color w:val="000000" w:themeColor="text1"/>
          <w:sz w:val="24"/>
          <w:szCs w:val="24"/>
          <w:vertAlign w:val="subscript"/>
          <w:lang w:val="en-US" w:eastAsia="zh-CN"/>
          <w14:textFill>
            <w14:solidFill>
              <w14:schemeClr w14:val="tx1"/>
            </w14:solidFill>
          </w14:textFill>
        </w:rPr>
        <w:t>l</w:t>
      </w:r>
      <w:r>
        <w:rPr>
          <w:rFonts w:hint="eastAsia" w:eastAsia="宋体"/>
          <w:color w:val="000000" w:themeColor="text1"/>
          <w:sz w:val="24"/>
          <w:szCs w:val="24"/>
          <w:lang w:val="en-US" w:eastAsia="en-US"/>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L</w:t>
      </w:r>
      <w:r>
        <w:rPr>
          <w:rFonts w:hint="eastAsia" w:eastAsia="宋体"/>
          <w:color w:val="000000" w:themeColor="text1"/>
          <w:sz w:val="24"/>
          <w:szCs w:val="24"/>
          <w:vertAlign w:val="subscript"/>
          <w:lang w:val="en-US" w:eastAsia="en-US"/>
          <w14:textFill>
            <w14:solidFill>
              <w14:schemeClr w14:val="tx1"/>
            </w14:solidFill>
          </w14:textFill>
        </w:rPr>
        <w:t>2</w:t>
      </w:r>
      <w:r>
        <w:rPr>
          <w:rFonts w:hint="eastAsia" w:eastAsia="宋体"/>
          <w:color w:val="000000" w:themeColor="text1"/>
          <w:sz w:val="24"/>
          <w:szCs w:val="24"/>
          <w:lang w:val="en-US" w:eastAsia="zh-CN"/>
          <w14:textFill>
            <w14:solidFill>
              <w14:schemeClr w14:val="tx1"/>
            </w14:solidFill>
          </w14:textFill>
        </w:rPr>
        <w:t>——为距声源r</w:t>
      </w:r>
      <w:r>
        <w:rPr>
          <w:rFonts w:hint="eastAsia" w:eastAsia="宋体"/>
          <w:color w:val="000000" w:themeColor="text1"/>
          <w:sz w:val="24"/>
          <w:szCs w:val="24"/>
          <w:vertAlign w:val="subscript"/>
          <w:lang w:val="en-US" w:eastAsia="zh-CN"/>
          <w14:textFill>
            <w14:solidFill>
              <w14:schemeClr w14:val="tx1"/>
            </w14:solidFill>
          </w14:textFill>
        </w:rPr>
        <w:t>l</w:t>
      </w:r>
      <w:r>
        <w:rPr>
          <w:rFonts w:hint="eastAsia" w:eastAsia="宋体"/>
          <w:color w:val="000000" w:themeColor="text1"/>
          <w:sz w:val="24"/>
          <w:szCs w:val="24"/>
          <w:lang w:val="en-US" w:eastAsia="en-US"/>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r</w:t>
      </w:r>
      <w:r>
        <w:rPr>
          <w:rFonts w:hint="eastAsia" w:eastAsia="宋体"/>
          <w:color w:val="000000" w:themeColor="text1"/>
          <w:sz w:val="24"/>
          <w:szCs w:val="24"/>
          <w:vertAlign w:val="subscript"/>
          <w:lang w:val="en-US" w:eastAsia="en-US"/>
          <w14:textFill>
            <w14:solidFill>
              <w14:schemeClr w14:val="tx1"/>
            </w14:solidFill>
          </w14:textFill>
        </w:rPr>
        <w:t>2</w:t>
      </w:r>
      <w:r>
        <w:rPr>
          <w:rFonts w:hint="eastAsia" w:eastAsia="宋体"/>
          <w:color w:val="000000" w:themeColor="text1"/>
          <w:sz w:val="24"/>
          <w:szCs w:val="24"/>
          <w:lang w:val="en-US" w:eastAsia="zh-CN"/>
          <w14:textFill>
            <w14:solidFill>
              <w14:schemeClr w14:val="tx1"/>
            </w14:solidFill>
          </w14:textFill>
        </w:rPr>
        <w:t>处声级值</w:t>
      </w:r>
      <w:r>
        <w:rPr>
          <w:rFonts w:hint="eastAsia" w:eastAsia="宋体"/>
          <w:color w:val="000000" w:themeColor="text1"/>
          <w:sz w:val="24"/>
          <w:szCs w:val="24"/>
          <w:lang w:val="zh-CN" w:eastAsia="zh-CN"/>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dB</w:t>
      </w:r>
      <w:r>
        <w:rPr>
          <w:rFonts w:hint="eastAsia" w:eastAsia="宋体"/>
          <w:color w:val="000000" w:themeColor="text1"/>
          <w:sz w:val="24"/>
          <w:szCs w:val="24"/>
          <w:lang w:val="en-US" w:eastAsia="en-US"/>
          <w14:textFill>
            <w14:solidFill>
              <w14:schemeClr w14:val="tx1"/>
            </w14:solidFill>
          </w14:textFill>
        </w:rPr>
        <w:t xml:space="preserve"> (</w:t>
      </w:r>
      <w:r>
        <w:rPr>
          <w:rFonts w:hint="eastAsia" w:eastAsia="宋体"/>
          <w:color w:val="000000" w:themeColor="text1"/>
          <w:sz w:val="24"/>
          <w:szCs w:val="24"/>
          <w:lang w:val="en-US" w:eastAsia="zh-CN"/>
          <w14:textFill>
            <w14:solidFill>
              <w14:schemeClr w14:val="tx1"/>
            </w14:solidFill>
          </w14:textFill>
        </w:rPr>
        <w:t>A</w:t>
      </w:r>
      <w:r>
        <w:rPr>
          <w:rFonts w:hint="eastAsia" w:eastAsia="宋体"/>
          <w:color w:val="000000" w:themeColor="text1"/>
          <w:sz w:val="24"/>
          <w:szCs w:val="24"/>
          <w:lang w:val="en-US" w:eastAsia="en-US"/>
          <w14:textFill>
            <w14:solidFill>
              <w14:schemeClr w14:val="tx1"/>
            </w14:solidFill>
          </w14:textFill>
        </w:rPr>
        <w:t>)；</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vertAlign w:val="baseline"/>
          <w:lang w:val="en-US" w:eastAsia="zh-CN"/>
          <w14:textFill>
            <w14:solidFill>
              <w14:schemeClr w14:val="tx1"/>
            </w14:solidFill>
          </w14:textFill>
        </w:rPr>
        <w:t>r</w:t>
      </w:r>
      <w:r>
        <w:rPr>
          <w:rFonts w:hint="eastAsia" w:eastAsia="宋体"/>
          <w:color w:val="000000" w:themeColor="text1"/>
          <w:sz w:val="24"/>
          <w:szCs w:val="24"/>
          <w:vertAlign w:val="subscript"/>
          <w:lang w:val="en-US" w:eastAsia="zh-CN"/>
          <w14:textFill>
            <w14:solidFill>
              <w14:schemeClr w14:val="tx1"/>
            </w14:solidFill>
          </w14:textFill>
        </w:rPr>
        <w:t>l</w:t>
      </w:r>
      <w:r>
        <w:rPr>
          <w:rFonts w:hint="eastAsia" w:eastAsia="宋体"/>
          <w:color w:val="000000" w:themeColor="text1"/>
          <w:sz w:val="24"/>
          <w:szCs w:val="24"/>
          <w:lang w:val="en-US" w:eastAsia="en-US"/>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r</w:t>
      </w:r>
      <w:r>
        <w:rPr>
          <w:rFonts w:hint="eastAsia" w:eastAsia="宋体"/>
          <w:color w:val="000000" w:themeColor="text1"/>
          <w:sz w:val="24"/>
          <w:szCs w:val="24"/>
          <w:vertAlign w:val="subscript"/>
          <w:lang w:val="en-US" w:eastAsia="en-US"/>
          <w14:textFill>
            <w14:solidFill>
              <w14:schemeClr w14:val="tx1"/>
            </w14:solidFill>
          </w14:textFill>
        </w:rPr>
        <w:t>2</w:t>
      </w:r>
      <w:r>
        <w:rPr>
          <w:rFonts w:hint="eastAsia" w:eastAsia="宋体"/>
          <w:color w:val="000000" w:themeColor="text1"/>
          <w:sz w:val="24"/>
          <w:szCs w:val="24"/>
          <w:lang w:val="en-US" w:eastAsia="zh-CN"/>
          <w14:textFill>
            <w14:solidFill>
              <w14:schemeClr w14:val="tx1"/>
            </w14:solidFill>
          </w14:textFill>
        </w:rPr>
        <w:t>—一为距点源的距离，m；</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position w:val="-4"/>
          <w:sz w:val="24"/>
          <w:szCs w:val="24"/>
          <w:lang w:val="en-US" w:eastAsia="zh-CN"/>
          <w14:textFill>
            <w14:solidFill>
              <w14:schemeClr w14:val="tx1"/>
            </w14:solidFill>
          </w14:textFill>
        </w:rPr>
        <w:object>
          <v:shape id="_x0000_i1031" o:spt="75" type="#_x0000_t75" style="height:13pt;width:11pt;" o:ole="t" filled="f" o:preferrelative="t" stroked="f" coordsize="21600,21600">
            <v:path/>
            <v:fill on="f" focussize="0,0"/>
            <v:stroke on="f"/>
            <v:imagedata r:id="rId34" o:title=""/>
            <o:lock v:ext="edit" aspectratio="t"/>
            <w10:wrap type="none"/>
            <w10:anchorlock/>
          </v:shape>
          <o:OLEObject Type="Embed" ProgID="Equation.KSEE3" ShapeID="_x0000_i1031" DrawAspect="Content" ObjectID="_1468075731" r:id="rId35">
            <o:LockedField>false</o:LockedField>
          </o:OLEObject>
        </w:object>
      </w:r>
      <w:r>
        <w:rPr>
          <w:rFonts w:hint="eastAsia" w:eastAsia="宋体"/>
          <w:color w:val="000000" w:themeColor="text1"/>
          <w:sz w:val="24"/>
          <w:szCs w:val="24"/>
          <w:lang w:val="en-US" w:eastAsia="zh-CN"/>
          <w14:textFill>
            <w14:solidFill>
              <w14:schemeClr w14:val="tx1"/>
            </w14:solidFill>
          </w14:textFill>
        </w:rPr>
        <w:t>L—一为其它衰减作用的噪声级</w:t>
      </w:r>
      <w:r>
        <w:rPr>
          <w:rFonts w:hint="eastAsia" w:eastAsia="宋体"/>
          <w:color w:val="000000" w:themeColor="text1"/>
          <w:sz w:val="24"/>
          <w:szCs w:val="24"/>
          <w:lang w:val="zh-CN" w:eastAsia="zh-CN"/>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dB</w:t>
      </w:r>
      <w:r>
        <w:rPr>
          <w:rFonts w:hint="eastAsia" w:eastAsia="宋体"/>
          <w:color w:val="000000" w:themeColor="text1"/>
          <w:sz w:val="24"/>
          <w:szCs w:val="24"/>
          <w:lang w:val="en-US" w:eastAsia="en-US"/>
          <w14:textFill>
            <w14:solidFill>
              <w14:schemeClr w14:val="tx1"/>
            </w14:solidFill>
          </w14:textFill>
        </w:rPr>
        <w:t xml:space="preserve"> (</w:t>
      </w:r>
      <w:r>
        <w:rPr>
          <w:rFonts w:hint="eastAsia" w:eastAsia="宋体"/>
          <w:color w:val="000000" w:themeColor="text1"/>
          <w:sz w:val="24"/>
          <w:szCs w:val="24"/>
          <w:lang w:val="en-US" w:eastAsia="zh-CN"/>
          <w14:textFill>
            <w14:solidFill>
              <w14:schemeClr w14:val="tx1"/>
            </w14:solidFill>
          </w14:textFill>
        </w:rPr>
        <w:t>A</w:t>
      </w:r>
      <w:r>
        <w:rPr>
          <w:rFonts w:hint="eastAsia" w:eastAsia="宋体"/>
          <w:color w:val="000000" w:themeColor="text1"/>
          <w:sz w:val="24"/>
          <w:szCs w:val="24"/>
          <w:lang w:val="en-US" w:eastAsia="en-US"/>
          <w14:textFill>
            <w14:solidFill>
              <w14:schemeClr w14:val="tx1"/>
            </w14:solidFill>
          </w14:textFill>
        </w:rPr>
        <w:t>)。</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预测结果见表</w:t>
      </w:r>
      <w:r>
        <w:rPr>
          <w:rFonts w:hint="eastAsia" w:eastAsia="宋体"/>
          <w:color w:val="000000" w:themeColor="text1"/>
          <w:sz w:val="24"/>
          <w:szCs w:val="24"/>
          <w:lang w:val="en-US" w:eastAsia="en-US"/>
          <w14:textFill>
            <w14:solidFill>
              <w14:schemeClr w14:val="tx1"/>
            </w14:solidFill>
          </w14:textFill>
        </w:rPr>
        <w:t>4. 3-2</w:t>
      </w:r>
    </w:p>
    <w:p>
      <w:pPr>
        <w:pStyle w:val="2"/>
        <w:shd w:val="clear" w:color="auto" w:fil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4. 3-2</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ab/>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施工期噪声预测结果</w:t>
      </w:r>
    </w:p>
    <w:tbl>
      <w:tblPr>
        <w:tblStyle w:val="21"/>
        <w:tblW w:w="8326" w:type="dxa"/>
        <w:jc w:val="center"/>
        <w:tblInd w:w="0" w:type="dxa"/>
        <w:tblLayout w:type="fixed"/>
        <w:tblCellMar>
          <w:top w:w="0" w:type="dxa"/>
          <w:left w:w="10" w:type="dxa"/>
          <w:bottom w:w="0" w:type="dxa"/>
          <w:right w:w="10" w:type="dxa"/>
        </w:tblCellMar>
      </w:tblPr>
      <w:tblGrid>
        <w:gridCol w:w="912"/>
        <w:gridCol w:w="1803"/>
        <w:gridCol w:w="930"/>
        <w:gridCol w:w="930"/>
        <w:gridCol w:w="937"/>
        <w:gridCol w:w="938"/>
        <w:gridCol w:w="926"/>
        <w:gridCol w:w="950"/>
      </w:tblGrid>
      <w:tr>
        <w:tblPrEx>
          <w:tblLayout w:type="fixed"/>
          <w:tblCellMar>
            <w:top w:w="0" w:type="dxa"/>
            <w:left w:w="10" w:type="dxa"/>
            <w:bottom w:w="0" w:type="dxa"/>
            <w:right w:w="10" w:type="dxa"/>
          </w:tblCellMar>
        </w:tblPrEx>
        <w:trPr>
          <w:trHeight w:val="288" w:hRule="exact"/>
          <w:jc w:val="center"/>
        </w:trPr>
        <w:tc>
          <w:tcPr>
            <w:tcW w:w="912"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施工</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阶段</w:t>
            </w:r>
          </w:p>
        </w:tc>
        <w:tc>
          <w:tcPr>
            <w:tcW w:w="1803"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施工机械</w:t>
            </w:r>
          </w:p>
        </w:tc>
        <w:tc>
          <w:tcPr>
            <w:tcW w:w="3735" w:type="dxa"/>
            <w:gridSpan w:val="4"/>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X</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处声压级</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dB</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 xml:space="preserve"> (</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A</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处声压级</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dB</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 xml:space="preserve"> (</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A</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1876" w:type="dxa"/>
            <w:gridSpan w:val="2"/>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标准</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dB</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 xml:space="preserve"> (</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A</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r>
        <w:tblPrEx>
          <w:tblLayout w:type="fixed"/>
          <w:tblCellMar>
            <w:top w:w="0" w:type="dxa"/>
            <w:left w:w="10" w:type="dxa"/>
            <w:bottom w:w="0" w:type="dxa"/>
            <w:right w:w="10" w:type="dxa"/>
          </w:tblCellMar>
        </w:tblPrEx>
        <w:trPr>
          <w:trHeight w:val="298" w:hRule="exact"/>
          <w:jc w:val="center"/>
        </w:trPr>
        <w:tc>
          <w:tcPr>
            <w:tcW w:w="912" w:type="dxa"/>
            <w:vMerge w:val="continue"/>
            <w:tcBorders>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03"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3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1</w:t>
            </w:r>
          </w:p>
        </w:tc>
        <w:tc>
          <w:tcPr>
            <w:tcW w:w="93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10</w:t>
            </w:r>
          </w:p>
        </w:tc>
        <w:tc>
          <w:tcPr>
            <w:tcW w:w="93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20</w:t>
            </w:r>
          </w:p>
        </w:tc>
        <w:tc>
          <w:tcPr>
            <w:tcW w:w="93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30</w:t>
            </w:r>
          </w:p>
        </w:tc>
        <w:tc>
          <w:tcPr>
            <w:tcW w:w="9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昼间</w:t>
            </w:r>
          </w:p>
        </w:tc>
        <w:tc>
          <w:tcPr>
            <w:tcW w:w="95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夜间</w:t>
            </w:r>
          </w:p>
        </w:tc>
      </w:tr>
      <w:tr>
        <w:tblPrEx>
          <w:tblLayout w:type="fixed"/>
          <w:tblCellMar>
            <w:top w:w="0" w:type="dxa"/>
            <w:left w:w="10" w:type="dxa"/>
            <w:bottom w:w="0" w:type="dxa"/>
            <w:right w:w="10" w:type="dxa"/>
          </w:tblCellMar>
        </w:tblPrEx>
        <w:trPr>
          <w:trHeight w:val="293" w:hRule="exact"/>
          <w:jc w:val="center"/>
        </w:trPr>
        <w:tc>
          <w:tcPr>
            <w:tcW w:w="912"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土石方</w:t>
            </w:r>
          </w:p>
        </w:tc>
        <w:tc>
          <w:tcPr>
            <w:tcW w:w="180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载重车</w:t>
            </w:r>
          </w:p>
        </w:tc>
        <w:tc>
          <w:tcPr>
            <w:tcW w:w="93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90</w:t>
            </w:r>
          </w:p>
        </w:tc>
        <w:tc>
          <w:tcPr>
            <w:tcW w:w="93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70</w:t>
            </w:r>
          </w:p>
        </w:tc>
        <w:tc>
          <w:tcPr>
            <w:tcW w:w="93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64</w:t>
            </w:r>
          </w:p>
        </w:tc>
        <w:tc>
          <w:tcPr>
            <w:tcW w:w="93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61</w:t>
            </w:r>
          </w:p>
        </w:tc>
        <w:tc>
          <w:tcPr>
            <w:tcW w:w="9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70</w:t>
            </w:r>
          </w:p>
        </w:tc>
        <w:tc>
          <w:tcPr>
            <w:tcW w:w="95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55</w:t>
            </w:r>
          </w:p>
        </w:tc>
      </w:tr>
      <w:tr>
        <w:tblPrEx>
          <w:tblLayout w:type="fixed"/>
          <w:tblCellMar>
            <w:top w:w="0" w:type="dxa"/>
            <w:left w:w="10" w:type="dxa"/>
            <w:bottom w:w="0" w:type="dxa"/>
            <w:right w:w="10" w:type="dxa"/>
          </w:tblCellMar>
        </w:tblPrEx>
        <w:trPr>
          <w:trHeight w:val="293" w:hRule="exact"/>
          <w:jc w:val="center"/>
        </w:trPr>
        <w:tc>
          <w:tcPr>
            <w:tcW w:w="912" w:type="dxa"/>
            <w:vMerge w:val="continue"/>
            <w:tcBorders>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0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推土机</w:t>
            </w:r>
          </w:p>
        </w:tc>
        <w:tc>
          <w:tcPr>
            <w:tcW w:w="93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90</w:t>
            </w:r>
          </w:p>
        </w:tc>
        <w:tc>
          <w:tcPr>
            <w:tcW w:w="93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80</w:t>
            </w:r>
          </w:p>
        </w:tc>
        <w:tc>
          <w:tcPr>
            <w:tcW w:w="93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74</w:t>
            </w:r>
          </w:p>
        </w:tc>
        <w:tc>
          <w:tcPr>
            <w:tcW w:w="93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71</w:t>
            </w:r>
          </w:p>
        </w:tc>
        <w:tc>
          <w:tcPr>
            <w:tcW w:w="9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70</w:t>
            </w:r>
          </w:p>
        </w:tc>
        <w:tc>
          <w:tcPr>
            <w:tcW w:w="95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55</w:t>
            </w:r>
          </w:p>
        </w:tc>
      </w:tr>
      <w:tr>
        <w:tblPrEx>
          <w:tblLayout w:type="fixed"/>
          <w:tblCellMar>
            <w:top w:w="0" w:type="dxa"/>
            <w:left w:w="10" w:type="dxa"/>
            <w:bottom w:w="0" w:type="dxa"/>
            <w:right w:w="10" w:type="dxa"/>
          </w:tblCellMar>
        </w:tblPrEx>
        <w:trPr>
          <w:trHeight w:val="293" w:hRule="exact"/>
          <w:jc w:val="center"/>
        </w:trPr>
        <w:tc>
          <w:tcPr>
            <w:tcW w:w="912"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0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翻斗车</w:t>
            </w:r>
          </w:p>
        </w:tc>
        <w:tc>
          <w:tcPr>
            <w:tcW w:w="93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90</w:t>
            </w:r>
          </w:p>
        </w:tc>
        <w:tc>
          <w:tcPr>
            <w:tcW w:w="93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70</w:t>
            </w:r>
          </w:p>
        </w:tc>
        <w:tc>
          <w:tcPr>
            <w:tcW w:w="93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64</w:t>
            </w:r>
          </w:p>
        </w:tc>
        <w:tc>
          <w:tcPr>
            <w:tcW w:w="93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61</w:t>
            </w:r>
          </w:p>
        </w:tc>
        <w:tc>
          <w:tcPr>
            <w:tcW w:w="9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70</w:t>
            </w:r>
          </w:p>
        </w:tc>
        <w:tc>
          <w:tcPr>
            <w:tcW w:w="95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55</w:t>
            </w:r>
          </w:p>
        </w:tc>
      </w:tr>
      <w:tr>
        <w:tblPrEx>
          <w:tblLayout w:type="fixed"/>
          <w:tblCellMar>
            <w:top w:w="0" w:type="dxa"/>
            <w:left w:w="10" w:type="dxa"/>
            <w:bottom w:w="0" w:type="dxa"/>
            <w:right w:w="10" w:type="dxa"/>
          </w:tblCellMar>
        </w:tblPrEx>
        <w:trPr>
          <w:trHeight w:val="293" w:hRule="exact"/>
          <w:jc w:val="center"/>
        </w:trPr>
        <w:tc>
          <w:tcPr>
            <w:tcW w:w="912"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0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挖掘机</w:t>
            </w:r>
          </w:p>
        </w:tc>
        <w:tc>
          <w:tcPr>
            <w:tcW w:w="93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90</w:t>
            </w:r>
          </w:p>
        </w:tc>
        <w:tc>
          <w:tcPr>
            <w:tcW w:w="93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78</w:t>
            </w:r>
          </w:p>
        </w:tc>
        <w:tc>
          <w:tcPr>
            <w:tcW w:w="93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72</w:t>
            </w:r>
          </w:p>
        </w:tc>
        <w:tc>
          <w:tcPr>
            <w:tcW w:w="93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68</w:t>
            </w:r>
          </w:p>
        </w:tc>
        <w:tc>
          <w:tcPr>
            <w:tcW w:w="9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70</w:t>
            </w:r>
          </w:p>
        </w:tc>
        <w:tc>
          <w:tcPr>
            <w:tcW w:w="95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55</w:t>
            </w:r>
          </w:p>
        </w:tc>
      </w:tr>
      <w:tr>
        <w:tblPrEx>
          <w:tblLayout w:type="fixed"/>
          <w:tblCellMar>
            <w:top w:w="0" w:type="dxa"/>
            <w:left w:w="10" w:type="dxa"/>
            <w:bottom w:w="0" w:type="dxa"/>
            <w:right w:w="10" w:type="dxa"/>
          </w:tblCellMar>
        </w:tblPrEx>
        <w:trPr>
          <w:trHeight w:val="293" w:hRule="exact"/>
          <w:jc w:val="center"/>
        </w:trPr>
        <w:tc>
          <w:tcPr>
            <w:tcW w:w="912"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结构</w:t>
            </w:r>
          </w:p>
        </w:tc>
        <w:tc>
          <w:tcPr>
            <w:tcW w:w="180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混凝振捣机</w:t>
            </w:r>
          </w:p>
        </w:tc>
        <w:tc>
          <w:tcPr>
            <w:tcW w:w="93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100</w:t>
            </w:r>
          </w:p>
        </w:tc>
        <w:tc>
          <w:tcPr>
            <w:tcW w:w="93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80</w:t>
            </w:r>
          </w:p>
        </w:tc>
        <w:tc>
          <w:tcPr>
            <w:tcW w:w="93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74</w:t>
            </w:r>
          </w:p>
        </w:tc>
        <w:tc>
          <w:tcPr>
            <w:tcW w:w="93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71</w:t>
            </w:r>
          </w:p>
        </w:tc>
        <w:tc>
          <w:tcPr>
            <w:tcW w:w="9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70</w:t>
            </w:r>
          </w:p>
        </w:tc>
        <w:tc>
          <w:tcPr>
            <w:tcW w:w="95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55</w:t>
            </w:r>
          </w:p>
        </w:tc>
      </w:tr>
      <w:tr>
        <w:tblPrEx>
          <w:tblLayout w:type="fixed"/>
          <w:tblCellMar>
            <w:top w:w="0" w:type="dxa"/>
            <w:left w:w="10" w:type="dxa"/>
            <w:bottom w:w="0" w:type="dxa"/>
            <w:right w:w="10" w:type="dxa"/>
          </w:tblCellMar>
        </w:tblPrEx>
        <w:trPr>
          <w:trHeight w:val="293" w:hRule="exact"/>
          <w:jc w:val="center"/>
        </w:trPr>
        <w:tc>
          <w:tcPr>
            <w:tcW w:w="912"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0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(电</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锯)木工机械</w:t>
            </w:r>
          </w:p>
        </w:tc>
        <w:tc>
          <w:tcPr>
            <w:tcW w:w="93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110</w:t>
            </w:r>
          </w:p>
        </w:tc>
        <w:tc>
          <w:tcPr>
            <w:tcW w:w="93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90</w:t>
            </w:r>
          </w:p>
        </w:tc>
        <w:tc>
          <w:tcPr>
            <w:tcW w:w="93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84</w:t>
            </w:r>
          </w:p>
        </w:tc>
        <w:tc>
          <w:tcPr>
            <w:tcW w:w="93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81</w:t>
            </w:r>
          </w:p>
        </w:tc>
        <w:tc>
          <w:tcPr>
            <w:tcW w:w="92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70</w:t>
            </w:r>
          </w:p>
        </w:tc>
        <w:tc>
          <w:tcPr>
            <w:tcW w:w="95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55</w:t>
            </w:r>
          </w:p>
        </w:tc>
      </w:tr>
      <w:tr>
        <w:tblPrEx>
          <w:tblLayout w:type="fixed"/>
          <w:tblCellMar>
            <w:top w:w="0" w:type="dxa"/>
            <w:left w:w="10" w:type="dxa"/>
            <w:bottom w:w="0" w:type="dxa"/>
            <w:right w:w="10" w:type="dxa"/>
          </w:tblCellMar>
        </w:tblPrEx>
        <w:trPr>
          <w:trHeight w:val="298" w:hRule="exact"/>
          <w:jc w:val="center"/>
        </w:trPr>
        <w:tc>
          <w:tcPr>
            <w:tcW w:w="912"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装修</w:t>
            </w:r>
          </w:p>
        </w:tc>
        <w:tc>
          <w:tcPr>
            <w:tcW w:w="1803"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轮胎吊</w:t>
            </w:r>
          </w:p>
        </w:tc>
        <w:tc>
          <w:tcPr>
            <w:tcW w:w="930"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90</w:t>
            </w:r>
          </w:p>
        </w:tc>
        <w:tc>
          <w:tcPr>
            <w:tcW w:w="930"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70</w:t>
            </w:r>
          </w:p>
        </w:tc>
        <w:tc>
          <w:tcPr>
            <w:tcW w:w="937"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64</w:t>
            </w:r>
          </w:p>
        </w:tc>
        <w:tc>
          <w:tcPr>
            <w:tcW w:w="938"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61</w:t>
            </w:r>
          </w:p>
        </w:tc>
        <w:tc>
          <w:tcPr>
            <w:tcW w:w="926"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70</w:t>
            </w:r>
          </w:p>
        </w:tc>
        <w:tc>
          <w:tcPr>
            <w:tcW w:w="9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55</w:t>
            </w:r>
          </w:p>
        </w:tc>
      </w:tr>
    </w:tbl>
    <w:p>
      <w:pPr>
        <w:keepNext w:val="0"/>
        <w:keepLines w:val="0"/>
        <w:pageBreakBefore w:val="0"/>
        <w:widowControl w:val="0"/>
        <w:shd w:val="clear" w:color="auto" w:fill="auto"/>
        <w:kinsoku/>
        <w:wordWrap/>
        <w:overflowPunct w:val="0"/>
        <w:topLinePunct w:val="0"/>
        <w:autoSpaceDE/>
        <w:autoSpaceDN/>
        <w:bidi w:val="0"/>
        <w:adjustRightInd/>
        <w:snapToGrid/>
        <w:spacing w:before="313" w:beforeLines="100"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由表</w:t>
      </w:r>
      <w:r>
        <w:rPr>
          <w:rFonts w:hint="eastAsia" w:eastAsia="宋体"/>
          <w:color w:val="000000" w:themeColor="text1"/>
          <w:sz w:val="24"/>
          <w:szCs w:val="24"/>
          <w:lang w:val="en-US" w:eastAsia="en-US"/>
          <w14:textFill>
            <w14:solidFill>
              <w14:schemeClr w14:val="tx1"/>
            </w14:solidFill>
          </w14:textFill>
        </w:rPr>
        <w:t>4. 3-2</w:t>
      </w:r>
      <w:r>
        <w:rPr>
          <w:rFonts w:hint="eastAsia" w:eastAsia="宋体"/>
          <w:color w:val="000000" w:themeColor="text1"/>
          <w:sz w:val="24"/>
          <w:szCs w:val="24"/>
          <w:lang w:val="en-US" w:eastAsia="zh-CN"/>
          <w14:textFill>
            <w14:solidFill>
              <w14:schemeClr w14:val="tx1"/>
            </w14:solidFill>
          </w14:textFill>
        </w:rPr>
        <w:t>可以看出，土石方和装修阶段，白天场界可以达标，但夜间超标。声级值在100dB</w:t>
      </w:r>
      <w:r>
        <w:rPr>
          <w:rFonts w:hint="eastAsia" w:eastAsia="宋体"/>
          <w:color w:val="000000" w:themeColor="text1"/>
          <w:sz w:val="24"/>
          <w:szCs w:val="24"/>
          <w:lang w:val="en-US" w:eastAsia="en-US"/>
          <w14:textFill>
            <w14:solidFill>
              <w14:schemeClr w14:val="tx1"/>
            </w14:solidFill>
          </w14:textFill>
        </w:rPr>
        <w:t xml:space="preserve"> (</w:t>
      </w:r>
      <w:r>
        <w:rPr>
          <w:rFonts w:hint="eastAsia" w:eastAsia="宋体"/>
          <w:color w:val="000000" w:themeColor="text1"/>
          <w:sz w:val="24"/>
          <w:szCs w:val="24"/>
          <w:lang w:val="en-US" w:eastAsia="zh-CN"/>
          <w14:textFill>
            <w14:solidFill>
              <w14:schemeClr w14:val="tx1"/>
            </w14:solidFill>
          </w14:textFill>
        </w:rPr>
        <w:t>A</w:t>
      </w:r>
      <w:r>
        <w:rPr>
          <w:rFonts w:hint="eastAsia" w:eastAsia="宋体"/>
          <w:color w:val="000000" w:themeColor="text1"/>
          <w:sz w:val="24"/>
          <w:szCs w:val="24"/>
          <w:lang w:val="en-US" w:eastAsia="en-US"/>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以上的设备在</w:t>
      </w:r>
      <w:r>
        <w:rPr>
          <w:rFonts w:hint="eastAsia" w:eastAsia="宋体"/>
          <w:color w:val="000000" w:themeColor="text1"/>
          <w:sz w:val="24"/>
          <w:szCs w:val="24"/>
          <w:lang w:val="en-US" w:eastAsia="en-US"/>
          <w14:textFill>
            <w14:solidFill>
              <w14:schemeClr w14:val="tx1"/>
            </w14:solidFill>
          </w14:textFill>
        </w:rPr>
        <w:t>30</w:t>
      </w:r>
      <w:r>
        <w:rPr>
          <w:rFonts w:hint="eastAsia" w:eastAsia="宋体"/>
          <w:color w:val="000000" w:themeColor="text1"/>
          <w:sz w:val="24"/>
          <w:szCs w:val="24"/>
          <w:lang w:val="en-US" w:eastAsia="zh-CN"/>
          <w14:textFill>
            <w14:solidFill>
              <w14:schemeClr w14:val="tx1"/>
            </w14:solidFill>
          </w14:textFill>
        </w:rPr>
        <w:t>m处仍不能满足场界施工期间噪声限值。</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根据现场调查，项目区周围无居民区，在建设过程中只有施工人员。因此，施工阶段对周围环境无大的不利影响。故施工阶段使用中高噪声机械设备，只要严格遵守当地环保管理部门制定的施工工地噪声作业规定及要求，并在午休时间和夜间休息时间停止施工，积极采取相应措施降低施工噪声，不会对自身人员造成噪声危害。</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4.3.3</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施工噪声防治措施</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为了减轻施工噪声对周边环境的影响，施工期应采取以下噪声防治措施：</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（1）制订施工计划时应避免同时使用大量高噪声设备施工，除此之外，高噪声机械施工时间要安排在日间，减少夜间施工量，禁止夜间打桩及限制车辆运输，白天车辆经过学校、医院时，尽量不鸣喇叭。</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2）合理布局施工现场，避免在同一地点安排大量动力机械设备，以防止局部声级过高。对一些施工位置相对固定的高噪施工设备，可以在棚内操作的尽量进入操作间，如搅拌机、木工机械、线材切割机等设备应远离厂内人群活动密集区域，必要时采取声屏障等措施。</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3）设备选型上应采用低噪声设备，如液压机械代替燃油机械，振捣器采用高频振捣器等。固定机械设备与挖土、运土机械(如挖土机、推土机等)可通过排气管消声器和隔离发动机振动部件的方法降低噪声；设备常因松动部件的振动或消声器的损坏而増加其工作时的噪声级。对动力机械设备进行定期的维修、养护。运输车辆进入现场应减速，并减少鸣笛。</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（4）尽量少用哨子、钟、笛等指挥作业，代之以现代化通讯设备，按规程操作机械设备，减少人为噪声。</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pPr>
      <w:bookmarkStart w:id="214" w:name="_Toc1452"/>
      <w:bookmarkStart w:id="215" w:name="bookmark30"/>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4.4</w:t>
      </w:r>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施工期固体废弃物影响分析及防治措施</w:t>
      </w:r>
      <w:bookmarkEnd w:id="214"/>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 xml:space="preserve"> </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4.4.</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1施工固体废物来源</w:t>
      </w:r>
      <w:bookmarkEnd w:id="215"/>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left="0" w:leftChars="0"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施工期固体废物主要来源于：</w:t>
      </w:r>
    </w:p>
    <w:p>
      <w:pPr>
        <w:keepNext w:val="0"/>
        <w:keepLines w:val="0"/>
        <w:pageBreakBefore w:val="0"/>
        <w:widowControl w:val="0"/>
        <w:numPr>
          <w:ilvl w:val="0"/>
          <w:numId w:val="6"/>
        </w:numPr>
        <w:shd w:val="clear" w:color="auto" w:fill="auto"/>
        <w:kinsoku/>
        <w:wordWrap/>
        <w:overflowPunct w:val="0"/>
        <w:topLinePunct w:val="0"/>
        <w:autoSpaceDE/>
        <w:autoSpaceDN/>
        <w:bidi w:val="0"/>
        <w:adjustRightInd/>
        <w:snapToGrid/>
        <w:spacing w:line="360" w:lineRule="auto"/>
        <w:ind w:left="0" w:leftChars="0"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施工活动产生的废弃建筑材料如砂石、石灰、混 凝土、废砖、土石方等；</w:t>
      </w:r>
    </w:p>
    <w:p>
      <w:pPr>
        <w:keepNext w:val="0"/>
        <w:keepLines w:val="0"/>
        <w:pageBreakBefore w:val="0"/>
        <w:widowControl w:val="0"/>
        <w:numPr>
          <w:ilvl w:val="0"/>
          <w:numId w:val="0"/>
        </w:numPr>
        <w:shd w:val="clear" w:color="auto" w:fill="auto"/>
        <w:kinsoku/>
        <w:wordWrap/>
        <w:overflowPunct w:val="0"/>
        <w:topLinePunct w:val="0"/>
        <w:autoSpaceDE/>
        <w:autoSpaceDN/>
        <w:bidi w:val="0"/>
        <w:adjustRightInd/>
        <w:snapToGrid/>
        <w:spacing w:line="360" w:lineRule="auto"/>
        <w:ind w:right="0" w:rightChars="0"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（2）施工人员工作和生活在施工现场，其日常生活将产生一定 数量的生活垃圾。</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216" w:name="bookmark31"/>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4.4.2</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施工固体废物影响分析</w:t>
      </w:r>
      <w:bookmarkEnd w:id="216"/>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根据施工期固体废物的来源及性质，起影响主要表现为：</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（1）建筑垃圾：建筑垃圾产生于厂房等建(构)筑物建设，分选后对土石方就地填方，金属木块等废物回收利用。如长时间堆存，在风力作用下易产生扬尘，造成二次污染。</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（2）施工人员的生活垃圾：生活垃圾主要为就餐后的废饭盒和办公区的少量日常办公垃圾，堆放期间长则腐烂变质，产生恶臭，夏季易滋生蚊蝇。及时收集、清理和转运，则不会对当地环境产生明显影响。</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217" w:name="bookmark32"/>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4. 4.3</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施工固体废物防治措施</w:t>
      </w:r>
      <w:bookmarkEnd w:id="217"/>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（1）施工生产废料处理</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首先应考虑废料的回收利用，对钢筋、钢板、木材等下角料可分类回收，交废物收购站处理；对建筑垃圾，如混凝土废料、废砖、含砖、石、砂的杂土应集中堆放，定时清运，以免影响施工和环境卫生。</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（2）施工生活垃圾处置</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生活垃圾：施工人员平均每天每人产生</w:t>
      </w:r>
      <w:r>
        <w:rPr>
          <w:rFonts w:hint="eastAsia" w:eastAsia="宋体"/>
          <w:color w:val="000000" w:themeColor="text1"/>
          <w:sz w:val="24"/>
          <w:szCs w:val="24"/>
          <w:lang w:val="en-US" w:eastAsia="en-US"/>
          <w14:textFill>
            <w14:solidFill>
              <w14:schemeClr w14:val="tx1"/>
            </w14:solidFill>
          </w14:textFill>
        </w:rPr>
        <w:t>0.5</w:t>
      </w:r>
      <w:r>
        <w:rPr>
          <w:rFonts w:hint="eastAsia" w:eastAsia="宋体"/>
          <w:color w:val="000000" w:themeColor="text1"/>
          <w:sz w:val="24"/>
          <w:szCs w:val="24"/>
          <w:lang w:val="en-US" w:eastAsia="zh-CN"/>
          <w14:textFill>
            <w14:solidFill>
              <w14:schemeClr w14:val="tx1"/>
            </w14:solidFill>
          </w14:textFill>
        </w:rPr>
        <w:t>kg左右的生活垃圾；生活垃圾的产生量和施工人数有很大关系。对施工人员产生的生活垃圾要统一收集，定期运往当地环卫部门指定的垃圾场进行卫生填埋处置后，不会对项目周围环境造成明显影响。</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（3）完工清场的固体废物处理处置</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工程完工后临时设施拆除时应防止扬尘、噪声及废弃物污染。搅拌场、储桨池等施工生产用地，应撤离所有设施和部件，四周溢流砂桨的泥土全部挖除。</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对各种车辆、设备使用的燃油、机油、润滑油等应加强管理，所有废弃油类均要集中处理，不得随意倾倒。</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firstLineChars="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pPr>
      <w:bookmarkStart w:id="218" w:name="_Toc2941"/>
      <w:bookmarkStart w:id="219" w:name="bookmark33"/>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4.5</w:t>
      </w:r>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施工期生态环境影响分析及措施</w:t>
      </w:r>
      <w:bookmarkEnd w:id="218"/>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 xml:space="preserve"> </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4.5.1</w:t>
      </w:r>
      <w:r>
        <w:rPr>
          <w:rFonts w:hint="default"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施工期生态环</w:t>
      </w:r>
      <w:r>
        <w:rPr>
          <w:rFonts w:hint="default" w:ascii="Times New Roman" w:hAnsi="Times New Roman" w:eastAsia="宋体" w:cs="Times New Roman"/>
          <w:color w:val="000000" w:themeColor="text1"/>
          <w:w w:val="100"/>
          <w:position w:val="0"/>
          <w:sz w:val="28"/>
          <w:szCs w:val="28"/>
          <w:lang w:val="zh-CN" w:eastAsia="zh-CN" w:bidi="zh-CN"/>
          <w14:textFill>
            <w14:solidFill>
              <w14:schemeClr w14:val="tx1"/>
            </w14:solidFill>
          </w14:textFill>
        </w:rPr>
        <w:t>境</w:t>
      </w:r>
      <w:r>
        <w:rPr>
          <w:rFonts w:hint="default"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影响</w:t>
      </w:r>
      <w:bookmarkEnd w:id="219"/>
      <w:r>
        <w:rPr>
          <w:rFonts w:hint="default"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分析</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本项目建设施工对生态环境的影响主要表现在工程占地及“三废”排放对项目区影响范围内土壤植被的影响；施工噪声对野生动物的影响；运输、人类活动对土壤植被及野生动物的影响。</w:t>
      </w:r>
    </w:p>
    <w:p>
      <w:pPr>
        <w:pStyle w:val="6"/>
        <w:keepNext/>
        <w:keepLines/>
        <w:pageBreakBefore w:val="0"/>
        <w:widowControl w:val="0"/>
        <w:shd w:val="clear" w:color="auto" w:fill="auto"/>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val="0"/>
          <w:color w:val="000000" w:themeColor="text1"/>
          <w:sz w:val="24"/>
          <w:szCs w:val="24"/>
          <w14:textFill>
            <w14:solidFill>
              <w14:schemeClr w14:val="tx1"/>
            </w14:solidFill>
          </w14:textFill>
        </w:rPr>
      </w:pP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b/>
          <w:bCs w:val="0"/>
          <w:color w:val="000000" w:themeColor="text1"/>
          <w:sz w:val="24"/>
          <w:szCs w:val="24"/>
          <w:lang w:val="en-US" w:eastAsia="en-US"/>
          <w14:textFill>
            <w14:solidFill>
              <w14:schemeClr w14:val="tx1"/>
            </w14:solidFill>
          </w14:textFill>
        </w:rPr>
        <w:t>5.1.</w:t>
      </w:r>
      <w:r>
        <w:rPr>
          <w:rFonts w:hint="eastAsia" w:ascii="Times New Roman" w:hAnsi="Times New Roman" w:eastAsia="宋体" w:cs="Times New Roman"/>
          <w:b/>
          <w:bCs w:val="0"/>
          <w:color w:val="000000" w:themeColor="text1"/>
          <w:sz w:val="24"/>
          <w:szCs w:val="24"/>
          <w14:textFill>
            <w14:solidFill>
              <w14:schemeClr w14:val="tx1"/>
            </w14:solidFill>
          </w14:textFill>
        </w:rPr>
        <w:t>1土地利用状况变化的影响分析</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目前，项目所在地现状为未利用地，土地处于未开发状态。项目建成后作为工业用地，彻底改变土地利用现状，也彻底改变项目所在地的生态环境状况，将一片未利用的荒地改造成为以工业用地。</w:t>
      </w:r>
    </w:p>
    <w:p>
      <w:pPr>
        <w:pStyle w:val="6"/>
        <w:keepNext/>
        <w:keepLines/>
        <w:pageBreakBefore w:val="0"/>
        <w:widowControl w:val="0"/>
        <w:shd w:val="clear" w:color="auto" w:fill="auto"/>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b/>
          <w:bCs w:val="0"/>
          <w:color w:val="000000" w:themeColor="text1"/>
          <w:sz w:val="24"/>
          <w:szCs w:val="24"/>
          <w:lang w:val="en-US" w:eastAsia="en-US"/>
          <w14:textFill>
            <w14:solidFill>
              <w14:schemeClr w14:val="tx1"/>
            </w14:solidFill>
          </w14:textFill>
        </w:rPr>
        <w:t>5.1.2</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施工对土壤植被的影响</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themeColor="text1"/>
          <w:spacing w:val="0"/>
          <w:w w:val="10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u w:val="none"/>
          <w:lang w:val="en-US" w:eastAsia="zh-CN" w:bidi="zh-CN"/>
          <w14:textFill>
            <w14:solidFill>
              <w14:schemeClr w14:val="tx1"/>
            </w14:solidFill>
          </w14:textFill>
        </w:rPr>
        <w:t>根据工程建设方案，工程建设内容包括厂区平整及设施建设。本工程厂区总占地为永久性占地，经过施工期的场地平整建设，改变了原有土壤结构和理化性质，使表土内有机质含量降低，并且使土壤的富集过程受阻，土壤生产力下降。同时工程建设不可避免地会对砾幕和土层造成破坏，每遇大风，便会沙尘飞扬，但随着厂区地面的硬化和绿化，这种影响将随着施工活动结束而终止。</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themeColor="text1"/>
          <w:spacing w:val="0"/>
          <w:w w:val="10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u w:val="none"/>
          <w:lang w:val="en-US" w:eastAsia="zh-CN" w:bidi="zh-CN"/>
          <w14:textFill>
            <w14:solidFill>
              <w14:schemeClr w14:val="tx1"/>
            </w14:solidFill>
          </w14:textFill>
        </w:rPr>
        <w:t>本项目厂址植被覆盖度小于5%，基本不对植被环境造成影响。施工建设过程人员本身产生的“三废”量较少，影响不大，但场地平整开挖土方量很大，要求全部在厂区内部平衡，避免在工程用地范围以外设立堆场等设施，控制对土壤植被的破坏。</w:t>
      </w:r>
    </w:p>
    <w:p>
      <w:pPr>
        <w:pStyle w:val="6"/>
        <w:keepNext/>
        <w:keepLines/>
        <w:pageBreakBefore w:val="0"/>
        <w:widowControl w:val="0"/>
        <w:shd w:val="clear" w:color="auto" w:fill="auto"/>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b/>
          <w:bCs w:val="0"/>
          <w:color w:val="000000" w:themeColor="text1"/>
          <w:sz w:val="24"/>
          <w:szCs w:val="24"/>
          <w:lang w:val="en-US" w:eastAsia="en-US"/>
          <w14:textFill>
            <w14:solidFill>
              <w14:schemeClr w14:val="tx1"/>
            </w14:solidFill>
          </w14:textFill>
        </w:rPr>
        <w:t>5.1.3</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工程对生态系统连续性、生物多样性的影响</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themeColor="text1"/>
          <w:spacing w:val="0"/>
          <w:w w:val="10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u w:val="none"/>
          <w:lang w:val="en-US" w:eastAsia="zh-CN" w:bidi="zh-CN"/>
          <w14:textFill>
            <w14:solidFill>
              <w14:schemeClr w14:val="tx1"/>
            </w14:solidFill>
          </w14:textFill>
        </w:rPr>
        <w:t>该项目所在区域主要是棕漠土类型，工程建设区为无植被裸地，属于干旱荒漠生态系统。建设项目建设临时性和永久性占地对土壤环境的影响主要是堆积、挖掘、辗压、践踏等开发活动对土壤结构的影响。这些活动严重的破坏了土壤的表层结构，造成地面裸露，表土温度变幅增大，对土壤的理化性质有不利影响。并且有机质分解强烈，使表土内有机质含量大幅度降低，不利于重新栽植其它植被，并且使土壤的富集过程受阻，土地生产力下降。所有这些影响都将改变部分区域原有的生态系统，使局部地区原本脆 弱的生态系统更易遭到破坏。</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000000" w:themeColor="text1"/>
          <w:spacing w:val="0"/>
          <w:w w:val="10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u w:val="none"/>
          <w:lang w:val="en-US" w:eastAsia="zh-CN" w:bidi="zh-CN"/>
          <w14:textFill>
            <w14:solidFill>
              <w14:schemeClr w14:val="tx1"/>
            </w14:solidFill>
          </w14:textFill>
        </w:rPr>
        <w:t>就整个评价区域来看，本项目建在未利用荒地上，由于人为的活动影响和改造，使生态系统结构的稳定性发生了一定的变化，虽然该改变了局部地带生态系统的完整性，但就整个区域来说，对生态系统的稳定性和完整性不产生明显影响。</w:t>
      </w:r>
    </w:p>
    <w:p>
      <w:pPr>
        <w:pStyle w:val="33"/>
        <w:keepNext w:val="0"/>
        <w:keepLines w:val="0"/>
        <w:pageBreakBefore w:val="0"/>
        <w:widowControl w:val="0"/>
        <w:shd w:val="clear" w:color="auto" w:fill="auto"/>
        <w:kinsoku/>
        <w:wordWrap/>
        <w:overflowPunct/>
        <w:topLinePunct w:val="0"/>
        <w:autoSpaceDE/>
        <w:autoSpaceDN/>
        <w:bidi w:val="0"/>
        <w:spacing w:before="0" w:after="0" w:line="360" w:lineRule="auto"/>
        <w:ind w:left="0" w:right="0" w:firstLine="480" w:firstLineChars="200"/>
        <w:jc w:val="both"/>
        <w:textAlignment w:val="auto"/>
        <w:rPr>
          <w:rFonts w:hint="eastAsia" w:ascii="Times New Roman" w:hAnsi="Times New Roman" w:eastAsia="宋体" w:cs="Times New Roman"/>
          <w:color w:val="000000" w:themeColor="text1"/>
          <w:spacing w:val="0"/>
          <w:w w:val="10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u w:val="none"/>
          <w:lang w:val="en-US" w:eastAsia="zh-CN" w:bidi="zh-CN"/>
          <w14:textFill>
            <w14:solidFill>
              <w14:schemeClr w14:val="tx1"/>
            </w14:solidFill>
          </w14:textFill>
        </w:rPr>
        <w:t>本项目工程建设占地基本全为裸地，项目的建成，在原本单一的生态系统中输入了新的组成部分，从而増加了生态系统的异质性。从生态系统的长期演替和发展考虑，异质性的增加有利于生态系统向顺行演替的方向发展。</w:t>
      </w:r>
    </w:p>
    <w:p>
      <w:pPr>
        <w:pStyle w:val="2"/>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eastAsia" w:ascii="Times New Roman" w:hAnsi="Times New Roman" w:eastAsia="宋体" w:cs="Times New Roman"/>
          <w:color w:val="000000" w:themeColor="text1"/>
          <w:spacing w:val="0"/>
          <w:w w:val="10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u w:val="none"/>
          <w:lang w:val="en-US" w:eastAsia="zh-CN" w:bidi="zh-CN"/>
          <w14:textFill>
            <w14:solidFill>
              <w14:schemeClr w14:val="tx1"/>
            </w14:solidFill>
          </w14:textFill>
        </w:rPr>
        <w:t>此外，本工程对野生动物的影响方式，就鸟类而言，由于施工范围内地表植被全部为草本植物，没有树木丛林，不存在因伐树减少栖息地所造成的直接影响，主要是施工过程惊吓造成的间接影响；施工对啮齿类和爬行类动物的影响主要在于施工挖沟会毁坏这些动物在施工地带的洞穴，同时，施工人员的活动和来往机械的运动也会使它们受到惊吓，其结果是迫使它们迀往别处。就与人类的关系而言，人们更喜欢留住那些能给环 境带来美感并无害于人类和环境的动物，如绝大部分鸟类，而不喜欢那些怵人耳目（蜥脚类）及有害于人类和环境的动物（如鼠类）。由以上分析可知，工程施工期会对生物种群正常生活造成一定的干扰，但由于施工区没有珍稀及濒危物种存在，不会对生物多样性造成不利影响。</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施工建设期间，施工噪声、人流物流将会影响野生动物的活动，使较敏感的野生动物远离施工区。由于拟定厂址区域目前野生动物已经较少，本项目对野生动物的影响有限。</w:t>
      </w:r>
    </w:p>
    <w:p>
      <w:pPr>
        <w:pStyle w:val="6"/>
        <w:keepNext/>
        <w:keepLines/>
        <w:pageBreakBefore w:val="0"/>
        <w:widowControl w:val="0"/>
        <w:shd w:val="clear" w:color="auto" w:fill="auto"/>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4"/>
          <w:lang w:val="en-US" w:eastAsia="en-US"/>
          <w14:textFill>
            <w14:solidFill>
              <w14:schemeClr w14:val="tx1"/>
            </w14:solidFill>
          </w14:textFill>
        </w:rPr>
        <w:t>4.5.1.</w:t>
      </w:r>
      <w:r>
        <w:rPr>
          <w:rFonts w:hint="eastAsia" w:ascii="Times New Roman" w:hAnsi="Times New Roman" w:eastAsia="宋体" w:cs="Times New Roman"/>
          <w:b/>
          <w:bCs w:val="0"/>
          <w:color w:val="000000" w:themeColor="text1"/>
          <w:sz w:val="24"/>
          <w:szCs w:val="24"/>
          <w:lang w:val="zh-CN" w:eastAsia="zh-CN"/>
          <w14:textFill>
            <w14:solidFill>
              <w14:schemeClr w14:val="tx1"/>
            </w14:solidFill>
          </w14:textFill>
        </w:rPr>
        <w:t>4</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水土流失的影响分析</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工程建设期剧烈扰动、破坏原地貌植被，使工程用地范围内原地貌植被所具有的水土保持功能迅速降低或丧失，项目建设伴随着场平、设施建设、临时土方的堆放等施工活动。这些活动都将占用土地，破坏原有地貌、毁坏植被，降低植被覆盖率；同时，裸露地表面积的增大和大量松散土体的存在，势必加大水土流失发生的可能性及危害程度。</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施工还会影响到项目周边区域，工业区场平过程中土方量较大，临时堆土遇到大风易产生扬尘，影响项目区周边环境。</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为保证主体工程的安全，主体工程设计中对水土流失严重的局部地区己采取了相应的防护措施，如厂区的绿化美化、道路广场的地面硬化等。根据水土流失预测分析的重点防治时段和区域，结合本项目施工特点和性质，本方案是在主体工程防护工程基础上，完善防治措施，即在各施工区内进行防护，以工程防护措施为主并辅以必要的植物防护措施，并加强建设期的临时防护工作，特别是厂区的水土流失防治。如厂区临时堆土场临时防护、砾石压盖、厂区绿化等措施。通过水土保持措施的实施，使工程的防治措施形成一个完整、有效的水土流失防治体系，在保证工程防治效果的同时保持生态，做到工程与环境的协调。</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220" w:name="bookmark34"/>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4.5.2</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施工期生态环境影响减缓措施</w:t>
      </w:r>
      <w:bookmarkEnd w:id="220"/>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建设项目施工期间对周围环境的影响，虽然时间短，但属毁灭性破坏，原生植被遭破坏后的第一个生长期将全部消失，需经过一定时间后，工程周围的原生植被才能逐渐得以恢复。施工中的弃土问题也是工程建设中常见的，它不仅破坏了原有的地表和植被，且弃土的堆存会占用土地，影响其原有功能，开挖处如不及时进行填方，遇到降水会发生地面塌陷，弃土如不及时运走，若遇降水，可能会引起水土流失，这些问题若不能及时处理，施工过程所产生的生态环境破坏将是明显的。</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因此，施工期前应先做好施工组织，做出详细的规划，首先修好道路，使拉运建筑材料和土石方的车辆在固定的道路上行驶，防止四处乱辗，扰动地表；划定好施工活动范围，包括材料的堆存范围、机械设备及运输车辆的行走路线、人员食宿及运动范围，尽量减少临时占地数量。</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在施工过程中需加强管理，严禁不按操作规程野蛮施工。施工监理部门和当地环保部门也应紧密合作，进行监督管理。施工结束后，须及时清理场地，恢复当地的植被。</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firstLineChars="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pPr>
      <w:bookmarkStart w:id="221" w:name="bookmark35"/>
      <w:bookmarkStart w:id="222" w:name="_Toc23980"/>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4.6</w:t>
      </w:r>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施工期社会环境影响分析</w:t>
      </w:r>
      <w:bookmarkEnd w:id="221"/>
      <w:bookmarkEnd w:id="222"/>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223" w:name="bookmark36"/>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4.6.</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1工程占地</w:t>
      </w:r>
      <w:bookmarkEnd w:id="223"/>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color w:val="000000" w:themeColor="text1"/>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项目拟建厂址占地为工业园区规划的三类工业用地，与规划在该区域的工业类型相符，对土地资源影响较小。</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224" w:name="bookmark37"/>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4.6.</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2移民搬迁安置</w:t>
      </w:r>
      <w:bookmarkEnd w:id="224"/>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本项目不涉及移民迀安与补偿问题，不存在新增移民搬迁安置社会问题。</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225" w:name="bookmark38"/>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4.6.3</w:t>
      </w:r>
      <w:r>
        <w:rPr>
          <w:rFonts w:hint="eastAsia" w:ascii="Times New Roman" w:hAnsi="Times New Roman" w:eastAsia="宋体" w:cs="Times New Roman"/>
          <w:b/>
          <w:bCs/>
          <w:color w:val="000000" w:themeColor="text1"/>
          <w:spacing w:val="0"/>
          <w:w w:val="100"/>
          <w:position w:val="0"/>
          <w:sz w:val="28"/>
          <w:szCs w:val="28"/>
          <w:u w:val="none"/>
          <w:lang w:val="zh-CN" w:eastAsia="zh-CN" w:bidi="zh-CN"/>
          <w14:textFill>
            <w14:solidFill>
              <w14:schemeClr w14:val="tx1"/>
            </w14:solidFill>
          </w14:textFill>
        </w:rPr>
        <w:t>其它影响</w:t>
      </w:r>
      <w:bookmarkEnd w:id="225"/>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施工期间对当地社会环境造成的其它的有利影响和不利影响。有利影响是施工期间可以安排当地居民就业，解决剩余劳动力问题，增加居民收入和施工人员的进驻，需要消耗大量食品及生活用品，有利于繁荣当地市场。不利影响是土地的开挖和建设产生的粉尘，影响居民健康；大型装载机及运输车辆频繁进出，加重当地道路负荷，会损坏当地道路，影响当地居民出行，并加大当地发生交通事故的隐患；地基开挖及道路铺设使用的机械噪声会影响附近居民的正常生活。</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firstLineChars="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pPr>
      <w:bookmarkStart w:id="226" w:name="_Toc19437"/>
      <w:bookmarkStart w:id="227" w:name="bookmark39"/>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4.7</w:t>
      </w:r>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施工期污染防治措施汇总及环境管理要求</w:t>
      </w:r>
      <w:bookmarkEnd w:id="226"/>
      <w:bookmarkEnd w:id="227"/>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项目施工影响分析结果来看，本建设项目施工扬尘、施工噪声、施工废水以及固体废物等均对外环境影响有一定的影响，本评价依据施工影响分析结果，按照国家现有的有关环境管理要求，结合项目区域自然环境实情，提出施工期的污染防治措施和环境管理要求。具体措施内容见表</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4.</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7-1。</w:t>
      </w:r>
    </w:p>
    <w:p>
      <w:pPr>
        <w:pStyle w:val="33"/>
        <w:keepNext w:val="0"/>
        <w:keepLines w:val="0"/>
        <w:widowControl w:val="0"/>
        <w:shd w:val="clear" w:color="auto" w:fill="auto"/>
        <w:bidi w:val="0"/>
        <w:spacing w:before="0" w:after="0"/>
        <w:ind w:left="0" w:right="0" w:firstLine="520"/>
        <w:jc w:val="both"/>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sectPr>
          <w:pgSz w:w="12105" w:h="17376"/>
          <w:pgMar w:top="1440" w:right="1800" w:bottom="1440" w:left="1800" w:header="0" w:footer="3" w:gutter="0"/>
          <w:pgNumType w:fmt="decimal"/>
          <w:cols w:space="720" w:num="1"/>
          <w:rtlGutter w:val="0"/>
          <w:docGrid w:linePitch="360" w:charSpace="0"/>
        </w:sectPr>
      </w:pPr>
    </w:p>
    <w:p>
      <w:pPr>
        <w:pStyle w:val="44"/>
        <w:keepNext w:val="0"/>
        <w:keepLines w:val="0"/>
        <w:pageBreakBefore w:val="0"/>
        <w:widowControl w:val="0"/>
        <w:shd w:val="clear" w:color="auto" w:fill="auto"/>
        <w:tabs>
          <w:tab w:val="left" w:pos="3710"/>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 xml:space="preserve">4.7-1    </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建设期环保措施及预期效果一览表</w:t>
      </w:r>
    </w:p>
    <w:tbl>
      <w:tblPr>
        <w:tblStyle w:val="21"/>
        <w:tblW w:w="8326" w:type="dxa"/>
        <w:jc w:val="center"/>
        <w:tblInd w:w="0" w:type="dxa"/>
        <w:tblLayout w:type="fixed"/>
        <w:tblCellMar>
          <w:top w:w="0" w:type="dxa"/>
          <w:left w:w="10" w:type="dxa"/>
          <w:bottom w:w="0" w:type="dxa"/>
          <w:right w:w="10" w:type="dxa"/>
        </w:tblCellMar>
      </w:tblPr>
      <w:tblGrid>
        <w:gridCol w:w="791"/>
        <w:gridCol w:w="2124"/>
        <w:gridCol w:w="962"/>
        <w:gridCol w:w="641"/>
        <w:gridCol w:w="979"/>
        <w:gridCol w:w="1021"/>
        <w:gridCol w:w="1808"/>
      </w:tblGrid>
      <w:tr>
        <w:tblPrEx>
          <w:tblLayout w:type="fixed"/>
          <w:tblCellMar>
            <w:top w:w="0" w:type="dxa"/>
            <w:left w:w="10" w:type="dxa"/>
            <w:bottom w:w="0" w:type="dxa"/>
            <w:right w:w="10" w:type="dxa"/>
          </w:tblCellMar>
        </w:tblPrEx>
        <w:trPr>
          <w:trHeight w:val="629" w:hRule="exact"/>
          <w:jc w:val="center"/>
        </w:trPr>
        <w:tc>
          <w:tcPr>
            <w:tcW w:w="79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项目</w:t>
            </w:r>
          </w:p>
        </w:tc>
        <w:tc>
          <w:tcPr>
            <w:tcW w:w="21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环保设施或措施要求</w:t>
            </w:r>
          </w:p>
        </w:tc>
        <w:tc>
          <w:tcPr>
            <w:tcW w:w="96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实施</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项目</w:t>
            </w:r>
          </w:p>
        </w:tc>
        <w:tc>
          <w:tcPr>
            <w:tcW w:w="64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实施</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时间</w:t>
            </w:r>
          </w:p>
        </w:tc>
        <w:tc>
          <w:tcPr>
            <w:tcW w:w="979"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保护</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对象</w:t>
            </w:r>
          </w:p>
        </w:tc>
        <w:tc>
          <w:tcPr>
            <w:tcW w:w="102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保护措施</w:t>
            </w:r>
          </w:p>
        </w:tc>
        <w:tc>
          <w:tcPr>
            <w:tcW w:w="1808"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预期效果</w:t>
            </w:r>
          </w:p>
        </w:tc>
      </w:tr>
      <w:tr>
        <w:tblPrEx>
          <w:tblLayout w:type="fixed"/>
          <w:tblCellMar>
            <w:top w:w="0" w:type="dxa"/>
            <w:left w:w="10" w:type="dxa"/>
            <w:bottom w:w="0" w:type="dxa"/>
            <w:right w:w="10" w:type="dxa"/>
          </w:tblCellMar>
        </w:tblPrEx>
        <w:trPr>
          <w:trHeight w:val="956" w:hRule="exact"/>
          <w:jc w:val="center"/>
        </w:trPr>
        <w:tc>
          <w:tcPr>
            <w:tcW w:w="791"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环境空</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气防治</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措施</w:t>
            </w:r>
          </w:p>
        </w:tc>
        <w:tc>
          <w:tcPr>
            <w:tcW w:w="21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采取遮盖、围挡措施， 清洗车辆泥土</w:t>
            </w:r>
          </w:p>
        </w:tc>
        <w:tc>
          <w:tcPr>
            <w:tcW w:w="96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运输车 辆、材料 堆场周围</w:t>
            </w:r>
          </w:p>
        </w:tc>
        <w:tc>
          <w:tcPr>
            <w:tcW w:w="641"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建</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设</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期</w:t>
            </w:r>
          </w:p>
        </w:tc>
        <w:tc>
          <w:tcPr>
            <w:tcW w:w="979"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施工场地 周围空气 环境、施 工人员及 周围植被</w:t>
            </w:r>
          </w:p>
        </w:tc>
        <w:tc>
          <w:tcPr>
            <w:tcW w:w="1021"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①建立环 境管理机 构，配备 专职或兼 职环保管 理人员② 制定相关 方环境管 理条例、</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质量管理 规定③加 强环境监 理人员经 常性检 查、监督， 并定期向 有关部门 作书面汇 报，发现 问题及时 解决。</w:t>
            </w:r>
          </w:p>
        </w:tc>
        <w:tc>
          <w:tcPr>
            <w:tcW w:w="1808" w:type="dxa"/>
            <w:vMerge w:val="restart"/>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周围环境空气质量 达到《环境空气质量 标准》</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GB</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3095-2012)</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二 级标准</w:t>
            </w:r>
          </w:p>
        </w:tc>
      </w:tr>
      <w:tr>
        <w:tblPrEx>
          <w:tblLayout w:type="fixed"/>
          <w:tblCellMar>
            <w:top w:w="0" w:type="dxa"/>
            <w:left w:w="10" w:type="dxa"/>
            <w:bottom w:w="0" w:type="dxa"/>
            <w:right w:w="10" w:type="dxa"/>
          </w:tblCellMar>
        </w:tblPrEx>
        <w:trPr>
          <w:trHeight w:val="976" w:hRule="exact"/>
          <w:jc w:val="center"/>
        </w:trPr>
        <w:tc>
          <w:tcPr>
            <w:tcW w:w="79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1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洒水、周围设围栏，临 时硬化和场地绿化</w:t>
            </w:r>
          </w:p>
        </w:tc>
        <w:tc>
          <w:tcPr>
            <w:tcW w:w="96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施工场地 及施工道 路</w:t>
            </w:r>
          </w:p>
        </w:tc>
        <w:tc>
          <w:tcPr>
            <w:tcW w:w="64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79"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2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08" w:type="dxa"/>
            <w:vMerge w:val="continue"/>
            <w:tcBorders>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787" w:hRule="exact"/>
          <w:jc w:val="center"/>
        </w:trPr>
        <w:tc>
          <w:tcPr>
            <w:tcW w:w="79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1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设置专门的堆场，且四 周有围栏结构</w:t>
            </w:r>
          </w:p>
        </w:tc>
        <w:tc>
          <w:tcPr>
            <w:tcW w:w="96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废弃物料 堆放处</w:t>
            </w:r>
          </w:p>
        </w:tc>
        <w:tc>
          <w:tcPr>
            <w:tcW w:w="64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79"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2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08" w:type="dxa"/>
            <w:vMerge w:val="continue"/>
            <w:tcBorders>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1568" w:hRule="exact"/>
          <w:jc w:val="center"/>
        </w:trPr>
        <w:tc>
          <w:tcPr>
            <w:tcW w:w="791"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施工噪</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声防治</w:t>
            </w:r>
          </w:p>
        </w:tc>
        <w:tc>
          <w:tcPr>
            <w:tcW w:w="21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numPr>
                <w:ilvl w:val="0"/>
                <w:numId w:val="0"/>
              </w:numPr>
              <w:shd w:val="clear" w:color="auto" w:fill="auto"/>
              <w:tabs>
                <w:tab w:val="left" w:pos="356"/>
              </w:tabs>
              <w:kinsoku/>
              <w:wordWrap/>
              <w:overflowPunct/>
              <w:topLinePunct w:val="0"/>
              <w:autoSpaceDE/>
              <w:autoSpaceDN/>
              <w:bidi w:val="0"/>
              <w:adjustRightInd/>
              <w:snapToGrid/>
              <w:spacing w:before="0" w:after="0" w:line="240" w:lineRule="auto"/>
              <w:ind w:leftChars="0" w:right="0" w:right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fldChar w:fldCharType="begin"/>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instrText xml:space="preserve"> = 1 \* GB3 \* MERGEFORMAT </w:instrTex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①</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fldChar w:fldCharType="end"/>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合理布置施工场地，选用低噪声设备</w:t>
            </w:r>
          </w:p>
          <w:p>
            <w:pPr>
              <w:pStyle w:val="33"/>
              <w:keepNext w:val="0"/>
              <w:keepLines w:val="0"/>
              <w:pageBreakBefore w:val="0"/>
              <w:widowControl w:val="0"/>
              <w:numPr>
                <w:ilvl w:val="0"/>
                <w:numId w:val="0"/>
              </w:numPr>
              <w:shd w:val="clear" w:color="auto" w:fill="auto"/>
              <w:tabs>
                <w:tab w:val="left" w:pos="356"/>
              </w:tabs>
              <w:kinsoku/>
              <w:wordWrap/>
              <w:overflowPunct/>
              <w:topLinePunct w:val="0"/>
              <w:autoSpaceDE/>
              <w:autoSpaceDN/>
              <w:bidi w:val="0"/>
              <w:adjustRightInd/>
              <w:snapToGrid/>
              <w:spacing w:before="0" w:after="0" w:line="240" w:lineRule="auto"/>
              <w:ind w:leftChars="0" w:right="140" w:right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fldChar w:fldCharType="begin"/>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instrText xml:space="preserve"> = 2 \* GB3 \* MERGEFORMAT </w:instrTex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②</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fldChar w:fldCharType="end"/>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采取有效的隔音、减振、消声措施，降低噪</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声级</w:t>
            </w:r>
          </w:p>
        </w:tc>
        <w:tc>
          <w:tcPr>
            <w:tcW w:w="96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强噪声设 备</w:t>
            </w:r>
          </w:p>
        </w:tc>
        <w:tc>
          <w:tcPr>
            <w:tcW w:w="64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工</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准</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备</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期</w:t>
            </w:r>
          </w:p>
        </w:tc>
        <w:tc>
          <w:tcPr>
            <w:tcW w:w="979"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施工人员 及施工场 地周围的 环境敏感 点</w:t>
            </w:r>
          </w:p>
        </w:tc>
        <w:tc>
          <w:tcPr>
            <w:tcW w:w="102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08" w:type="dxa"/>
            <w:vMerge w:val="restart"/>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 xml:space="preserve">施工厂界噪声符合 《建筑施工场界环 境噪声排放标准》 </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GB</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12523-2011)</w:t>
            </w:r>
          </w:p>
        </w:tc>
      </w:tr>
      <w:tr>
        <w:tblPrEx>
          <w:tblLayout w:type="fixed"/>
          <w:tblCellMar>
            <w:top w:w="0" w:type="dxa"/>
            <w:left w:w="10" w:type="dxa"/>
            <w:bottom w:w="0" w:type="dxa"/>
            <w:right w:w="10" w:type="dxa"/>
          </w:tblCellMar>
        </w:tblPrEx>
        <w:trPr>
          <w:trHeight w:val="1021" w:hRule="exact"/>
          <w:jc w:val="center"/>
        </w:trPr>
        <w:tc>
          <w:tcPr>
            <w:tcW w:w="79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1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调配工作频次，配备耳 塞或耳罩等防护品</w:t>
            </w:r>
          </w:p>
        </w:tc>
        <w:tc>
          <w:tcPr>
            <w:tcW w:w="96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强噪声设 备操作人 员</w:t>
            </w:r>
          </w:p>
        </w:tc>
        <w:tc>
          <w:tcPr>
            <w:tcW w:w="641"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全部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建设</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期</w:t>
            </w:r>
          </w:p>
        </w:tc>
        <w:tc>
          <w:tcPr>
            <w:tcW w:w="979"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2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08" w:type="dxa"/>
            <w:vMerge w:val="continue"/>
            <w:tcBorders>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976" w:hRule="exact"/>
          <w:jc w:val="center"/>
        </w:trPr>
        <w:tc>
          <w:tcPr>
            <w:tcW w:w="79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1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严格控制施工时段，避 免高噪声设备夜间作 业。</w:t>
            </w:r>
          </w:p>
        </w:tc>
        <w:tc>
          <w:tcPr>
            <w:tcW w:w="96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施工场地</w:t>
            </w:r>
          </w:p>
        </w:tc>
        <w:tc>
          <w:tcPr>
            <w:tcW w:w="64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79"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2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08" w:type="dxa"/>
            <w:vMerge w:val="continue"/>
            <w:tcBorders>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938" w:hRule="exact"/>
          <w:jc w:val="center"/>
        </w:trPr>
        <w:tc>
          <w:tcPr>
            <w:tcW w:w="791"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施工固</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体废物</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处置</w:t>
            </w:r>
          </w:p>
        </w:tc>
        <w:tc>
          <w:tcPr>
            <w:tcW w:w="21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设立生活垃圾箱，及时 清运到指定的垃圾处置 场</w:t>
            </w:r>
          </w:p>
        </w:tc>
        <w:tc>
          <w:tcPr>
            <w:tcW w:w="96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生活垃圾</w:t>
            </w:r>
          </w:p>
        </w:tc>
        <w:tc>
          <w:tcPr>
            <w:tcW w:w="641"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建</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设</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期</w:t>
            </w:r>
          </w:p>
        </w:tc>
        <w:tc>
          <w:tcPr>
            <w:tcW w:w="979"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施工场地 周围空气 环境、土 壤及植被</w:t>
            </w:r>
          </w:p>
        </w:tc>
        <w:tc>
          <w:tcPr>
            <w:tcW w:w="102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08" w:type="dxa"/>
            <w:vMerge w:val="restart"/>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施工废弃物全部合 理处置</w:t>
            </w:r>
          </w:p>
        </w:tc>
      </w:tr>
      <w:tr>
        <w:tblPrEx>
          <w:tblLayout w:type="fixed"/>
          <w:tblCellMar>
            <w:top w:w="0" w:type="dxa"/>
            <w:left w:w="10" w:type="dxa"/>
            <w:bottom w:w="0" w:type="dxa"/>
            <w:right w:w="10" w:type="dxa"/>
          </w:tblCellMar>
        </w:tblPrEx>
        <w:trPr>
          <w:trHeight w:val="980" w:hRule="exact"/>
          <w:jc w:val="center"/>
        </w:trPr>
        <w:tc>
          <w:tcPr>
            <w:tcW w:w="79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1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建筑垃圾分类处置、综 合利用后，剩余部分运 往指定的建筑垃圾场</w:t>
            </w:r>
          </w:p>
        </w:tc>
        <w:tc>
          <w:tcPr>
            <w:tcW w:w="96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建筑垃圾</w:t>
            </w:r>
          </w:p>
        </w:tc>
        <w:tc>
          <w:tcPr>
            <w:tcW w:w="64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79"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2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08" w:type="dxa"/>
            <w:vMerge w:val="continue"/>
            <w:tcBorders>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712" w:hRule="exact"/>
          <w:jc w:val="center"/>
        </w:trPr>
        <w:tc>
          <w:tcPr>
            <w:tcW w:w="791"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施工废</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水防止</w:t>
            </w:r>
          </w:p>
        </w:tc>
        <w:tc>
          <w:tcPr>
            <w:tcW w:w="21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建一座一体化污水处理 装置</w:t>
            </w:r>
          </w:p>
        </w:tc>
        <w:tc>
          <w:tcPr>
            <w:tcW w:w="96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生活污水</w:t>
            </w:r>
          </w:p>
        </w:tc>
        <w:tc>
          <w:tcPr>
            <w:tcW w:w="641"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建</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设</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期</w:t>
            </w:r>
          </w:p>
        </w:tc>
        <w:tc>
          <w:tcPr>
            <w:tcW w:w="979"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施工场地 附近水 体、土壤 及植被</w:t>
            </w:r>
          </w:p>
        </w:tc>
        <w:tc>
          <w:tcPr>
            <w:tcW w:w="102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08" w:type="dxa"/>
            <w:vMerge w:val="restart"/>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施工废水不外排</w:t>
            </w:r>
          </w:p>
        </w:tc>
      </w:tr>
      <w:tr>
        <w:tblPrEx>
          <w:tblLayout w:type="fixed"/>
          <w:tblCellMar>
            <w:top w:w="0" w:type="dxa"/>
            <w:left w:w="10" w:type="dxa"/>
            <w:bottom w:w="0" w:type="dxa"/>
            <w:right w:w="10" w:type="dxa"/>
          </w:tblCellMar>
        </w:tblPrEx>
        <w:trPr>
          <w:trHeight w:val="372" w:hRule="exact"/>
          <w:jc w:val="center"/>
        </w:trPr>
        <w:tc>
          <w:tcPr>
            <w:tcW w:w="79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1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沉淀池处理</w:t>
            </w:r>
          </w:p>
        </w:tc>
        <w:tc>
          <w:tcPr>
            <w:tcW w:w="96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洗漱水</w:t>
            </w:r>
          </w:p>
        </w:tc>
        <w:tc>
          <w:tcPr>
            <w:tcW w:w="64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79"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2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08" w:type="dxa"/>
            <w:vMerge w:val="continue"/>
            <w:tcBorders>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527" w:hRule="exact"/>
          <w:jc w:val="center"/>
        </w:trPr>
        <w:tc>
          <w:tcPr>
            <w:tcW w:w="79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124"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临时沉淀池处理后回用</w:t>
            </w:r>
          </w:p>
        </w:tc>
        <w:tc>
          <w:tcPr>
            <w:tcW w:w="96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施工废水</w:t>
            </w:r>
          </w:p>
        </w:tc>
        <w:tc>
          <w:tcPr>
            <w:tcW w:w="64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79"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21"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08" w:type="dxa"/>
            <w:vMerge w:val="continue"/>
            <w:tcBorders>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Layout w:type="fixed"/>
          <w:tblCellMar>
            <w:top w:w="0" w:type="dxa"/>
            <w:left w:w="10" w:type="dxa"/>
            <w:bottom w:w="0" w:type="dxa"/>
            <w:right w:w="10" w:type="dxa"/>
          </w:tblCellMar>
        </w:tblPrEx>
        <w:trPr>
          <w:trHeight w:val="1123" w:hRule="exact"/>
          <w:jc w:val="center"/>
        </w:trPr>
        <w:tc>
          <w:tcPr>
            <w:tcW w:w="791"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生态环</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境保护</w:t>
            </w:r>
          </w:p>
        </w:tc>
        <w:tc>
          <w:tcPr>
            <w:tcW w:w="3086" w:type="dxa"/>
            <w:gridSpan w:val="2"/>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10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①强化生态保护意识②加强管理、控制施工场地占地、及时恢复植被</w:t>
            </w:r>
          </w:p>
        </w:tc>
        <w:tc>
          <w:tcPr>
            <w:tcW w:w="641"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全部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建设</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期</w:t>
            </w:r>
          </w:p>
        </w:tc>
        <w:tc>
          <w:tcPr>
            <w:tcW w:w="979"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施工场地 周围土 壤、植被</w:t>
            </w:r>
          </w:p>
        </w:tc>
        <w:tc>
          <w:tcPr>
            <w:tcW w:w="1021" w:type="dxa"/>
            <w:vMerge w:val="continue"/>
            <w:tcBorders>
              <w:left w:val="single" w:color="auto" w:sz="4" w:space="0"/>
              <w:bottom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0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施工场地周围土壤、 植被不被破坏</w:t>
            </w:r>
          </w:p>
        </w:tc>
      </w:tr>
    </w:tbl>
    <w:p>
      <w:pPr>
        <w:pStyle w:val="2"/>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eastAsia" w:ascii="Times New Roman" w:hAnsi="Times New Roman" w:eastAsia="宋体" w:cs="Times New Roman"/>
          <w:color w:val="000000" w:themeColor="text1"/>
          <w:spacing w:val="0"/>
          <w:w w:val="100"/>
          <w:position w:val="0"/>
          <w:sz w:val="24"/>
          <w:szCs w:val="24"/>
          <w:u w:val="none"/>
          <w:lang w:val="en-US" w:eastAsia="en-US" w:bidi="zh-CN"/>
          <w14:textFill>
            <w14:solidFill>
              <w14:schemeClr w14:val="tx1"/>
            </w14:solidFill>
          </w14:textFill>
        </w:rPr>
      </w:pPr>
    </w:p>
    <w:p>
      <w:pP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0"/>
        <w:rPr>
          <w:rFonts w:hint="default" w:ascii="Times New Roman" w:hAnsi="Times New Roman" w:cs="Times New Roman"/>
          <w:bCs w:val="0"/>
          <w:color w:val="000000" w:themeColor="text1"/>
          <w:sz w:val="44"/>
          <w14:textFill>
            <w14:solidFill>
              <w14:schemeClr w14:val="tx1"/>
            </w14:solidFill>
          </w14:textFill>
        </w:rPr>
      </w:pPr>
      <w:bookmarkStart w:id="228" w:name="_Toc29174"/>
      <w:bookmarkStart w:id="229" w:name="_Toc24443"/>
      <w:bookmarkStart w:id="230" w:name="_Toc29112"/>
      <w:bookmarkStart w:id="231" w:name="_Toc26974_WPSOffice_Level1"/>
      <w:bookmarkStart w:id="232" w:name="_Toc25516"/>
      <w:bookmarkStart w:id="233" w:name="_Toc27574"/>
      <w:r>
        <w:rPr>
          <w:rFonts w:hint="default" w:ascii="Times New Roman" w:hAnsi="Times New Roman" w:cs="Times New Roman"/>
          <w:b/>
          <w:bCs/>
          <w:color w:val="000000" w:themeColor="text1"/>
          <w:sz w:val="44"/>
          <w14:textFill>
            <w14:solidFill>
              <w14:schemeClr w14:val="tx1"/>
            </w14:solidFill>
          </w14:textFill>
        </w:rPr>
        <w:t>5环境影响预测与评价</w:t>
      </w:r>
      <w:bookmarkEnd w:id="228"/>
      <w:bookmarkEnd w:id="229"/>
      <w:bookmarkEnd w:id="230"/>
      <w:bookmarkEnd w:id="231"/>
      <w:bookmarkEnd w:id="232"/>
      <w:bookmarkEnd w:id="233"/>
    </w:p>
    <w:p>
      <w:pPr>
        <w:pStyle w:val="4"/>
        <w:keepNext w:val="0"/>
        <w:keepLines w:val="0"/>
        <w:tabs>
          <w:tab w:val="left" w:pos="0"/>
        </w:tabs>
        <w:spacing w:before="0" w:after="0" w:line="360" w:lineRule="auto"/>
        <w:rPr>
          <w:rFonts w:hint="default" w:ascii="Times New Roman" w:hAnsi="Times New Roman" w:cs="Times New Roman"/>
          <w:color w:val="000000" w:themeColor="text1"/>
          <w14:textFill>
            <w14:solidFill>
              <w14:schemeClr w14:val="tx1"/>
            </w14:solidFill>
          </w14:textFill>
        </w:rPr>
      </w:pPr>
      <w:bookmarkStart w:id="234" w:name="_Toc538"/>
      <w:bookmarkStart w:id="235" w:name="_Toc19596"/>
      <w:bookmarkStart w:id="236" w:name="_Toc14326"/>
      <w:bookmarkStart w:id="237" w:name="_Toc1607"/>
      <w:bookmarkStart w:id="238" w:name="_Toc28290_WPSOffice_Level2"/>
      <w:bookmarkStart w:id="239" w:name="_Toc21353"/>
      <w:bookmarkStart w:id="240" w:name="_Toc431406173"/>
      <w:bookmarkStart w:id="241" w:name="_Toc456091018"/>
      <w:bookmarkStart w:id="242" w:name="_Toc428817478"/>
      <w:bookmarkStart w:id="243" w:name="_Toc491857678"/>
      <w:r>
        <w:rPr>
          <w:rFonts w:hint="default" w:ascii="Times New Roman" w:hAnsi="Times New Roman" w:cs="Times New Roman"/>
          <w:color w:val="000000" w:themeColor="text1"/>
          <w14:textFill>
            <w14:solidFill>
              <w14:schemeClr w14:val="tx1"/>
            </w14:solidFill>
          </w14:textFill>
        </w:rPr>
        <w:t xml:space="preserve">5.1 </w:t>
      </w:r>
      <w:r>
        <w:rPr>
          <w:rFonts w:hint="eastAsia" w:ascii="Times New Roman" w:hAnsi="Times New Roman" w:cs="Times New Roman"/>
          <w:color w:val="000000" w:themeColor="text1"/>
          <w:lang w:eastAsia="zh-CN"/>
          <w14:textFill>
            <w14:solidFill>
              <w14:schemeClr w14:val="tx1"/>
            </w14:solidFill>
          </w14:textFill>
        </w:rPr>
        <w:t>大气环境</w:t>
      </w:r>
      <w:r>
        <w:rPr>
          <w:rFonts w:hint="default" w:ascii="Times New Roman" w:hAnsi="Times New Roman" w:cs="Times New Roman"/>
          <w:color w:val="000000" w:themeColor="text1"/>
          <w14:textFill>
            <w14:solidFill>
              <w14:schemeClr w14:val="tx1"/>
            </w14:solidFill>
          </w14:textFill>
        </w:rPr>
        <w:t>影响预测与评价</w:t>
      </w:r>
      <w:bookmarkEnd w:id="234"/>
      <w:bookmarkEnd w:id="235"/>
      <w:bookmarkEnd w:id="236"/>
      <w:bookmarkEnd w:id="237"/>
      <w:bookmarkEnd w:id="238"/>
      <w:bookmarkEnd w:id="239"/>
    </w:p>
    <w:p>
      <w:pPr>
        <w:pStyle w:val="5"/>
        <w:keepNext w:val="0"/>
        <w:keepLines w:val="0"/>
        <w:overflowPunct w:val="0"/>
        <w:spacing w:before="0" w:after="0" w:line="360" w:lineRule="auto"/>
        <w:rPr>
          <w:rFonts w:hint="default" w:ascii="Times New Roman" w:hAnsi="Times New Roman" w:cs="Times New Roman"/>
          <w:bCs w:val="0"/>
          <w:color w:val="000000" w:themeColor="text1"/>
          <w:kern w:val="0"/>
          <w:sz w:val="28"/>
          <w:szCs w:val="28"/>
          <w:lang w:val="zh-CN"/>
          <w14:textFill>
            <w14:solidFill>
              <w14:schemeClr w14:val="tx1"/>
            </w14:solidFill>
          </w14:textFill>
        </w:rPr>
      </w:pPr>
      <w:bookmarkStart w:id="244" w:name="_Toc20636"/>
      <w:bookmarkStart w:id="245" w:name="_Toc12375"/>
      <w:r>
        <w:rPr>
          <w:rFonts w:hint="default" w:ascii="Times New Roman" w:hAnsi="Times New Roman" w:cs="Times New Roman"/>
          <w:bCs w:val="0"/>
          <w:color w:val="000000" w:themeColor="text1"/>
          <w:kern w:val="0"/>
          <w:sz w:val="28"/>
          <w:szCs w:val="28"/>
          <w:lang w:val="zh-CN"/>
          <w14:textFill>
            <w14:solidFill>
              <w14:schemeClr w14:val="tx1"/>
            </w14:solidFill>
          </w14:textFill>
        </w:rPr>
        <w:t xml:space="preserve">5.1.1 </w:t>
      </w:r>
      <w:bookmarkEnd w:id="240"/>
      <w:bookmarkEnd w:id="241"/>
      <w:bookmarkEnd w:id="242"/>
      <w:bookmarkEnd w:id="243"/>
      <w:bookmarkEnd w:id="244"/>
      <w:bookmarkEnd w:id="245"/>
      <w:r>
        <w:rPr>
          <w:rFonts w:hint="eastAsia" w:ascii="Times New Roman" w:hAnsi="Times New Roman" w:cs="Times New Roman"/>
          <w:bCs w:val="0"/>
          <w:color w:val="000000" w:themeColor="text1"/>
          <w:kern w:val="0"/>
          <w:sz w:val="28"/>
          <w:szCs w:val="28"/>
          <w:lang w:val="zh-CN"/>
          <w14:textFill>
            <w14:solidFill>
              <w14:schemeClr w14:val="tx1"/>
            </w14:solidFill>
          </w14:textFill>
        </w:rPr>
        <w:t>评价区域污染气象特征分析</w:t>
      </w:r>
    </w:p>
    <w:p>
      <w:pPr>
        <w:pStyle w:val="6"/>
        <w:snapToGrid w:val="0"/>
        <w:spacing w:beforeLines="50" w:after="0" w:line="360" w:lineRule="auto"/>
        <w:jc w:val="left"/>
        <w:textAlignment w:val="auto"/>
        <w:rPr>
          <w:rFonts w:hint="default" w:ascii="Times New Roman" w:hAnsi="Times New Roman" w:eastAsia="宋体" w:cs="Times New Roman"/>
          <w:bCs w:val="0"/>
          <w:color w:val="000000" w:themeColor="text1"/>
          <w:sz w:val="24"/>
          <w:lang w:val="zh-CN"/>
          <w14:textFill>
            <w14:solidFill>
              <w14:schemeClr w14:val="tx1"/>
            </w14:solidFill>
          </w14:textFill>
        </w:rPr>
      </w:pPr>
      <w:r>
        <w:rPr>
          <w:rFonts w:hint="default" w:ascii="Times New Roman" w:hAnsi="Times New Roman" w:eastAsia="宋体" w:cs="Times New Roman"/>
          <w:bCs w:val="0"/>
          <w:color w:val="000000" w:themeColor="text1"/>
          <w:sz w:val="24"/>
          <w14:textFill>
            <w14:solidFill>
              <w14:schemeClr w14:val="tx1"/>
            </w14:solidFill>
          </w14:textFill>
        </w:rPr>
        <w:t>5.</w:t>
      </w:r>
      <w:r>
        <w:rPr>
          <w:rFonts w:hint="default" w:ascii="Times New Roman" w:hAnsi="Times New Roman" w:eastAsia="宋体" w:cs="Times New Roman"/>
          <w:bCs w:val="0"/>
          <w:color w:val="000000" w:themeColor="text1"/>
          <w:sz w:val="24"/>
          <w:lang w:val="zh-CN"/>
          <w14:textFill>
            <w14:solidFill>
              <w14:schemeClr w14:val="tx1"/>
            </w14:solidFill>
          </w14:textFill>
        </w:rPr>
        <w:t>1.1</w:t>
      </w:r>
      <w:r>
        <w:rPr>
          <w:rFonts w:hint="default" w:ascii="Times New Roman" w:hAnsi="Times New Roman" w:eastAsia="宋体" w:cs="Times New Roman"/>
          <w:bCs w:val="0"/>
          <w:color w:val="000000" w:themeColor="text1"/>
          <w:sz w:val="24"/>
          <w14:textFill>
            <w14:solidFill>
              <w14:schemeClr w14:val="tx1"/>
            </w14:solidFill>
          </w14:textFill>
        </w:rPr>
        <w:t xml:space="preserve">.1 </w:t>
      </w:r>
      <w:r>
        <w:rPr>
          <w:rFonts w:hint="eastAsia" w:ascii="Times New Roman" w:hAnsi="Times New Roman" w:eastAsia="宋体" w:cs="Times New Roman"/>
          <w:bCs w:val="0"/>
          <w:color w:val="000000" w:themeColor="text1"/>
          <w:sz w:val="24"/>
          <w:lang w:val="zh-CN"/>
          <w14:textFill>
            <w14:solidFill>
              <w14:schemeClr w14:val="tx1"/>
            </w14:solidFill>
          </w14:textFill>
        </w:rPr>
        <w:t>污染气象</w:t>
      </w:r>
    </w:p>
    <w:p>
      <w:pPr>
        <w:pageBreakBefore w:val="0"/>
        <w:widowControl w:val="0"/>
        <w:kinsoku/>
        <w:wordWrap/>
        <w:overflowPunct w:val="0"/>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空气污染物在大气中的扩散迁移规律与当地的气象条件密切相关，影响大气扩散的主要气象因素有风向、风速、总云、低云和干球温度等</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根据本项目所在区域的气象条件及特征，环评选取克拉玛依市气象站的气象资料作为本项目的气象统计资料。克拉玛依市气象站位于克拉玛依市西北侧，地理坐标</w:t>
      </w:r>
      <w:r>
        <w:rPr>
          <w:rFonts w:hint="eastAsia" w:ascii="Times New Roman" w:hAnsi="Times New Roman" w:cs="Times New Roman"/>
          <w:color w:val="000000" w:themeColor="text1"/>
          <w:sz w:val="24"/>
          <w:szCs w:val="24"/>
          <w:lang w:val="en-US" w:eastAsia="zh-CN"/>
          <w14:textFill>
            <w14:solidFill>
              <w14:schemeClr w14:val="tx1"/>
            </w14:solidFill>
          </w14:textFill>
        </w:rPr>
        <w:t>45°36′N、84°52′E，观测场海拔高度为449.5m，该气象站与园区相距约10km。园区与克拉玛依市气象站均地处准噶尔盆地的西北缘，气候条件相似，故选用该站气象资料进行本工程的大气环境影响预测及评价具有代表性。</w:t>
      </w:r>
    </w:p>
    <w:p>
      <w:pPr>
        <w:pStyle w:val="6"/>
        <w:keepNext/>
        <w:keepLines/>
        <w:pageBreakBefore w:val="0"/>
        <w:widowControl w:val="0"/>
        <w:kinsoku/>
        <w:wordWrap/>
        <w:overflowPunct/>
        <w:topLinePunct w:val="0"/>
        <w:autoSpaceDE/>
        <w:autoSpaceDN/>
        <w:bidi w:val="0"/>
        <w:adjustRightInd w:val="0"/>
        <w:snapToGrid w:val="0"/>
        <w:spacing w:before="0" w:after="0" w:line="360" w:lineRule="auto"/>
        <w:jc w:val="left"/>
        <w:textAlignment w:val="auto"/>
        <w:rPr>
          <w:rFonts w:hint="eastAsia" w:ascii="Times New Roman" w:hAnsi="Times New Roman" w:eastAsia="宋体" w:cs="Times New Roman"/>
          <w:bCs w:val="0"/>
          <w:color w:val="000000" w:themeColor="text1"/>
          <w:sz w:val="24"/>
          <w:lang w:eastAsia="zh-CN"/>
          <w14:textFill>
            <w14:solidFill>
              <w14:schemeClr w14:val="tx1"/>
            </w14:solidFill>
          </w14:textFill>
        </w:rPr>
      </w:pPr>
      <w:r>
        <w:rPr>
          <w:rFonts w:hint="default" w:ascii="Times New Roman" w:hAnsi="Times New Roman" w:eastAsia="宋体" w:cs="Times New Roman"/>
          <w:bCs w:val="0"/>
          <w:color w:val="000000" w:themeColor="text1"/>
          <w:sz w:val="24"/>
          <w14:textFill>
            <w14:solidFill>
              <w14:schemeClr w14:val="tx1"/>
            </w14:solidFill>
          </w14:textFill>
        </w:rPr>
        <w:t xml:space="preserve">5.1.1.2 </w:t>
      </w:r>
      <w:r>
        <w:rPr>
          <w:rFonts w:hint="eastAsia" w:ascii="Times New Roman" w:hAnsi="Times New Roman" w:eastAsia="宋体" w:cs="Times New Roman"/>
          <w:bCs w:val="0"/>
          <w:color w:val="000000" w:themeColor="text1"/>
          <w:sz w:val="24"/>
          <w:lang w:eastAsia="zh-CN"/>
          <w14:textFill>
            <w14:solidFill>
              <w14:schemeClr w14:val="tx1"/>
            </w14:solidFill>
          </w14:textFill>
        </w:rPr>
        <w:t>气候特征</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5" w:h="16860"/>
          <w:pgMar w:top="1440" w:right="1803" w:bottom="1440" w:left="1803" w:header="862" w:footer="862" w:gutter="0"/>
          <w:pgBorders>
            <w:top w:val="none" w:sz="0" w:space="0"/>
            <w:left w:val="none" w:sz="0" w:space="0"/>
            <w:bottom w:val="none" w:sz="0" w:space="0"/>
            <w:right w:val="none" w:sz="0" w:space="0"/>
          </w:pgBorders>
          <w:pgNumType w:fmt="decimal"/>
          <w:cols w:space="720" w:num="1"/>
          <w:docGrid w:linePitch="326" w:charSpace="0"/>
        </w:sectPr>
      </w:pPr>
      <w:r>
        <w:rPr>
          <w:rFonts w:hint="eastAsia" w:ascii="Times New Roman" w:hAnsi="Times New Roman" w:cs="Times New Roman"/>
          <w:color w:val="000000" w:themeColor="text1"/>
          <w:sz w:val="24"/>
          <w:szCs w:val="24"/>
          <w:lang w:eastAsia="zh-CN"/>
          <w14:textFill>
            <w14:solidFill>
              <w14:schemeClr w14:val="tx1"/>
            </w14:solidFill>
          </w14:textFill>
        </w:rPr>
        <w:t>克拉玛依市地处欧亚大陆腹地，由于远离海洋且地处亚欧大陆中心地带准噶尔盆地的西北缘，具有典型大陆性干旱气候特征，其特点是：夏季酷热，冬季严寒，冬、夏两季时间漫长；春、秋季时间短，多大风。春季气温回升快，却不稳定；秋季受冷空气影响，气温下降迅速。克拉玛依市气象站近</w:t>
      </w:r>
      <w:r>
        <w:rPr>
          <w:rFonts w:hint="eastAsia" w:ascii="Times New Roman" w:hAnsi="Times New Roman" w:cs="Times New Roman"/>
          <w:color w:val="000000" w:themeColor="text1"/>
          <w:sz w:val="24"/>
          <w:szCs w:val="24"/>
          <w:lang w:val="en-US" w:eastAsia="zh-CN"/>
          <w14:textFill>
            <w14:solidFill>
              <w14:schemeClr w14:val="tx1"/>
            </w14:solidFill>
          </w14:textFill>
        </w:rPr>
        <w:t>20年气象要素实测资料统计，见表5.1-1。</w:t>
      </w:r>
    </w:p>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表5.1-1    克拉玛依气象站近20年气象要素统计</w:t>
      </w:r>
    </w:p>
    <w:tbl>
      <w:tblPr>
        <w:tblStyle w:val="22"/>
        <w:tblW w:w="141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9"/>
        <w:gridCol w:w="1056"/>
        <w:gridCol w:w="924"/>
        <w:gridCol w:w="828"/>
        <w:gridCol w:w="900"/>
        <w:gridCol w:w="960"/>
        <w:gridCol w:w="948"/>
        <w:gridCol w:w="924"/>
        <w:gridCol w:w="852"/>
        <w:gridCol w:w="840"/>
        <w:gridCol w:w="828"/>
        <w:gridCol w:w="840"/>
        <w:gridCol w:w="852"/>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489" w:type="dxa"/>
            <w:tcBorders>
              <w:tl2br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月</w:t>
            </w:r>
          </w:p>
          <w:p>
            <w:pPr>
              <w:keepNext w:val="0"/>
              <w:keepLines w:val="0"/>
              <w:pageBreakBefore w:val="0"/>
              <w:widowControl w:val="0"/>
              <w:kinsoku/>
              <w:wordWrap/>
              <w:overflowPunct w:val="0"/>
              <w:topLinePunct w:val="0"/>
              <w:autoSpaceDE/>
              <w:autoSpaceDN/>
              <w:bidi w:val="0"/>
              <w:adjustRightInd/>
              <w:snapToGrid/>
              <w:spacing w:line="360" w:lineRule="exact"/>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w:t>
            </w:r>
          </w:p>
        </w:tc>
        <w:tc>
          <w:tcPr>
            <w:tcW w:w="1056"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3</w:t>
            </w:r>
          </w:p>
        </w:tc>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4</w:t>
            </w:r>
          </w:p>
        </w:tc>
        <w:tc>
          <w:tcPr>
            <w:tcW w:w="96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5</w:t>
            </w:r>
          </w:p>
        </w:tc>
        <w:tc>
          <w:tcPr>
            <w:tcW w:w="94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6</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7</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8</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9</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10</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11</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12</w:t>
            </w:r>
          </w:p>
        </w:tc>
        <w:tc>
          <w:tcPr>
            <w:tcW w:w="955"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年平均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489"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平均气压</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（hpa）</w:t>
            </w:r>
          </w:p>
        </w:tc>
        <w:tc>
          <w:tcPr>
            <w:tcW w:w="1056"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977.3</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974.4</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970.4</w:t>
            </w:r>
          </w:p>
        </w:tc>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965.2</w:t>
            </w:r>
          </w:p>
        </w:tc>
        <w:tc>
          <w:tcPr>
            <w:tcW w:w="96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961.4</w:t>
            </w:r>
          </w:p>
        </w:tc>
        <w:tc>
          <w:tcPr>
            <w:tcW w:w="94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956.0</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953.8</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957.0</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963.5</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970.3</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974.2</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977.9</w:t>
            </w:r>
          </w:p>
        </w:tc>
        <w:tc>
          <w:tcPr>
            <w:tcW w:w="955"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489"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平均气温（℃）</w:t>
            </w:r>
          </w:p>
        </w:tc>
        <w:tc>
          <w:tcPr>
            <w:tcW w:w="1056"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-15.5</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-10.3</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1.4</w:t>
            </w:r>
          </w:p>
        </w:tc>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13.4</w:t>
            </w:r>
          </w:p>
        </w:tc>
        <w:tc>
          <w:tcPr>
            <w:tcW w:w="96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20.6</w:t>
            </w:r>
          </w:p>
        </w:tc>
        <w:tc>
          <w:tcPr>
            <w:tcW w:w="94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26.0</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27.7</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25.9</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19.6</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10.7</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-11.3</w:t>
            </w:r>
          </w:p>
        </w:tc>
        <w:tc>
          <w:tcPr>
            <w:tcW w:w="955"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489"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极端最高气温（℃）</w:t>
            </w:r>
          </w:p>
        </w:tc>
        <w:tc>
          <w:tcPr>
            <w:tcW w:w="1056"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4.1</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8.2</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24.2</w:t>
            </w:r>
          </w:p>
        </w:tc>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35.6</w:t>
            </w:r>
          </w:p>
        </w:tc>
        <w:tc>
          <w:tcPr>
            <w:tcW w:w="96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38.0</w:t>
            </w:r>
          </w:p>
        </w:tc>
        <w:tc>
          <w:tcPr>
            <w:tcW w:w="94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40.7</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44.0</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41.7</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39.1</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28.5</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20.2</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6.5</w:t>
            </w:r>
          </w:p>
        </w:tc>
        <w:tc>
          <w:tcPr>
            <w:tcW w:w="955"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489"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极端最低气温（℃）</w:t>
            </w:r>
          </w:p>
        </w:tc>
        <w:tc>
          <w:tcPr>
            <w:tcW w:w="1056"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-31.4</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-30.2</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-20.7</w:t>
            </w:r>
          </w:p>
        </w:tc>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-8.0</w:t>
            </w:r>
          </w:p>
        </w:tc>
        <w:tc>
          <w:tcPr>
            <w:tcW w:w="96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3.1</w:t>
            </w:r>
          </w:p>
        </w:tc>
        <w:tc>
          <w:tcPr>
            <w:tcW w:w="94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10.2</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12.3</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9.8</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2.0</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-7.0</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-21.3</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-28.9</w:t>
            </w:r>
          </w:p>
        </w:tc>
        <w:tc>
          <w:tcPr>
            <w:tcW w:w="955"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489"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降水量（mm）</w:t>
            </w:r>
          </w:p>
        </w:tc>
        <w:tc>
          <w:tcPr>
            <w:tcW w:w="1056"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5.2</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3.7</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3.8</w:t>
            </w:r>
          </w:p>
        </w:tc>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9.0</w:t>
            </w:r>
          </w:p>
        </w:tc>
        <w:tc>
          <w:tcPr>
            <w:tcW w:w="96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14.3</w:t>
            </w:r>
          </w:p>
        </w:tc>
        <w:tc>
          <w:tcPr>
            <w:tcW w:w="94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15.2</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25.9</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17.1</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7.1</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8.7</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5.2</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6.0</w:t>
            </w:r>
          </w:p>
        </w:tc>
        <w:tc>
          <w:tcPr>
            <w:tcW w:w="955"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489"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相对湿度（%）</w:t>
            </w:r>
          </w:p>
        </w:tc>
        <w:tc>
          <w:tcPr>
            <w:tcW w:w="1056"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78</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75</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55</w:t>
            </w:r>
          </w:p>
        </w:tc>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35</w:t>
            </w:r>
          </w:p>
        </w:tc>
        <w:tc>
          <w:tcPr>
            <w:tcW w:w="96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30</w:t>
            </w:r>
          </w:p>
        </w:tc>
        <w:tc>
          <w:tcPr>
            <w:tcW w:w="94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30</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34</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33</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34</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46</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63</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77</w:t>
            </w:r>
          </w:p>
        </w:tc>
        <w:tc>
          <w:tcPr>
            <w:tcW w:w="955"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489"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日照时数（h）</w:t>
            </w:r>
          </w:p>
        </w:tc>
        <w:tc>
          <w:tcPr>
            <w:tcW w:w="1056"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1316</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1520</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2226</w:t>
            </w:r>
          </w:p>
        </w:tc>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2608</w:t>
            </w:r>
          </w:p>
        </w:tc>
        <w:tc>
          <w:tcPr>
            <w:tcW w:w="96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3044</w:t>
            </w:r>
          </w:p>
        </w:tc>
        <w:tc>
          <w:tcPr>
            <w:tcW w:w="94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3041</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2974</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3000</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2665</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2275</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1386</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1033</w:t>
            </w:r>
          </w:p>
        </w:tc>
        <w:tc>
          <w:tcPr>
            <w:tcW w:w="955"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489"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蒸发量（mm）</w:t>
            </w:r>
          </w:p>
        </w:tc>
        <w:tc>
          <w:tcPr>
            <w:tcW w:w="1056"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68</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135</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677</w:t>
            </w:r>
          </w:p>
        </w:tc>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1652</w:t>
            </w:r>
          </w:p>
        </w:tc>
        <w:tc>
          <w:tcPr>
            <w:tcW w:w="96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2487</w:t>
            </w:r>
          </w:p>
        </w:tc>
        <w:tc>
          <w:tcPr>
            <w:tcW w:w="94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3036</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2980</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2687</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1863</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1003</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330</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81</w:t>
            </w:r>
          </w:p>
        </w:tc>
        <w:tc>
          <w:tcPr>
            <w:tcW w:w="955"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489"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降水日数（d）</w:t>
            </w:r>
          </w:p>
        </w:tc>
        <w:tc>
          <w:tcPr>
            <w:tcW w:w="1056"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6</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w:t>
            </w:r>
          </w:p>
        </w:tc>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w:t>
            </w:r>
          </w:p>
        </w:tc>
        <w:tc>
          <w:tcPr>
            <w:tcW w:w="96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5</w:t>
            </w:r>
          </w:p>
        </w:tc>
        <w:tc>
          <w:tcPr>
            <w:tcW w:w="94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10</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5</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10</w:t>
            </w:r>
          </w:p>
        </w:tc>
        <w:tc>
          <w:tcPr>
            <w:tcW w:w="955"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489"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暴雨日数（d）</w:t>
            </w:r>
          </w:p>
        </w:tc>
        <w:tc>
          <w:tcPr>
            <w:tcW w:w="1056"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w:t>
            </w:r>
          </w:p>
        </w:tc>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w:t>
            </w:r>
          </w:p>
        </w:tc>
        <w:tc>
          <w:tcPr>
            <w:tcW w:w="96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w:t>
            </w:r>
          </w:p>
        </w:tc>
        <w:tc>
          <w:tcPr>
            <w:tcW w:w="94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w:t>
            </w:r>
          </w:p>
        </w:tc>
        <w:tc>
          <w:tcPr>
            <w:tcW w:w="955"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489"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最大日降水量（mm）</w:t>
            </w:r>
          </w:p>
        </w:tc>
        <w:tc>
          <w:tcPr>
            <w:tcW w:w="1056"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36</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50</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152</w:t>
            </w:r>
          </w:p>
        </w:tc>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213</w:t>
            </w:r>
          </w:p>
        </w:tc>
        <w:tc>
          <w:tcPr>
            <w:tcW w:w="96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254</w:t>
            </w:r>
          </w:p>
        </w:tc>
        <w:tc>
          <w:tcPr>
            <w:tcW w:w="94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230</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405</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160</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90</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226</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96</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55</w:t>
            </w:r>
          </w:p>
        </w:tc>
        <w:tc>
          <w:tcPr>
            <w:tcW w:w="955"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489"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20年平均风速（m/s）</w:t>
            </w:r>
          </w:p>
        </w:tc>
        <w:tc>
          <w:tcPr>
            <w:tcW w:w="1056"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0.9</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1.2</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2.6</w:t>
            </w:r>
          </w:p>
        </w:tc>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w:t>
            </w:r>
          </w:p>
        </w:tc>
        <w:tc>
          <w:tcPr>
            <w:tcW w:w="96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4.1</w:t>
            </w:r>
          </w:p>
        </w:tc>
        <w:tc>
          <w:tcPr>
            <w:tcW w:w="94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4.1</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3.7</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3.5</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3.1</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2.7</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1.9</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1.1</w:t>
            </w:r>
          </w:p>
        </w:tc>
        <w:tc>
          <w:tcPr>
            <w:tcW w:w="955"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489"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5年平均风速（m/s）</w:t>
            </w:r>
          </w:p>
        </w:tc>
        <w:tc>
          <w:tcPr>
            <w:tcW w:w="1056"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1.1</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1.5</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2.6</w:t>
            </w:r>
          </w:p>
        </w:tc>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3.5</w:t>
            </w:r>
          </w:p>
        </w:tc>
        <w:tc>
          <w:tcPr>
            <w:tcW w:w="96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3.9</w:t>
            </w:r>
          </w:p>
        </w:tc>
        <w:tc>
          <w:tcPr>
            <w:tcW w:w="94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3.7</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3.2</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3.1</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2.9</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2.4</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1.9</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1.4</w:t>
            </w:r>
          </w:p>
        </w:tc>
        <w:tc>
          <w:tcPr>
            <w:tcW w:w="955"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489"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最大风速（m/s）</w:t>
            </w:r>
          </w:p>
        </w:tc>
        <w:tc>
          <w:tcPr>
            <w:tcW w:w="1056"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19.5</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27.6</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23.7</w:t>
            </w:r>
          </w:p>
        </w:tc>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26</w:t>
            </w:r>
          </w:p>
        </w:tc>
        <w:tc>
          <w:tcPr>
            <w:tcW w:w="96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25.1</w:t>
            </w:r>
          </w:p>
        </w:tc>
        <w:tc>
          <w:tcPr>
            <w:tcW w:w="94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18.5</w:t>
            </w:r>
          </w:p>
        </w:tc>
        <w:tc>
          <w:tcPr>
            <w:tcW w:w="924"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22.5</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24.8</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19.3</w:t>
            </w:r>
          </w:p>
        </w:tc>
        <w:tc>
          <w:tcPr>
            <w:tcW w:w="828"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22.6</w:t>
            </w: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23.9</w:t>
            </w:r>
          </w:p>
        </w:tc>
        <w:tc>
          <w:tcPr>
            <w:tcW w:w="852"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20.8</w:t>
            </w:r>
          </w:p>
        </w:tc>
        <w:tc>
          <w:tcPr>
            <w:tcW w:w="955" w:type="dxa"/>
            <w:vAlign w:val="center"/>
          </w:tcPr>
          <w:p>
            <w:pPr>
              <w:keepNext w:val="0"/>
              <w:keepLines w:val="0"/>
              <w:pageBreakBefore w:val="0"/>
              <w:widowControl w:val="0"/>
              <w:kinsoku/>
              <w:wordWrap/>
              <w:overflowPunct w:val="0"/>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27.6</w:t>
            </w:r>
          </w:p>
        </w:tc>
      </w:tr>
    </w:tbl>
    <w:p>
      <w:pPr>
        <w:pStyle w:val="4"/>
        <w:rPr>
          <w:rFonts w:hint="eastAsia"/>
          <w:color w:val="000000" w:themeColor="text1"/>
          <w:lang w:val="en-US" w:eastAsia="zh-CN"/>
          <w14:textFill>
            <w14:solidFill>
              <w14:schemeClr w14:val="tx1"/>
            </w14:solidFill>
          </w14:textFill>
        </w:rPr>
        <w:sectPr>
          <w:pgSz w:w="16860" w:h="11905" w:orient="landscape"/>
          <w:pgMar w:top="1803" w:right="1440" w:bottom="1803" w:left="1440" w:header="862" w:footer="862" w:gutter="0"/>
          <w:pgBorders>
            <w:top w:val="none" w:sz="0" w:space="0"/>
            <w:left w:val="none" w:sz="0" w:space="0"/>
            <w:bottom w:val="none" w:sz="0" w:space="0"/>
            <w:right w:val="none" w:sz="0" w:space="0"/>
          </w:pgBorders>
          <w:pgNumType w:fmt="decimal"/>
          <w:cols w:space="0" w:num="1"/>
          <w:rtlGutter w:val="0"/>
          <w:docGrid w:linePitch="326" w:charSpace="0"/>
        </w:sectPr>
      </w:pPr>
    </w:p>
    <w:p>
      <w:pPr>
        <w:pStyle w:val="6"/>
        <w:keepNext/>
        <w:keepLines/>
        <w:pageBreakBefore w:val="0"/>
        <w:widowControl w:val="0"/>
        <w:kinsoku/>
        <w:wordWrap/>
        <w:overflowPunct/>
        <w:topLinePunct w:val="0"/>
        <w:autoSpaceDE/>
        <w:autoSpaceDN/>
        <w:bidi w:val="0"/>
        <w:adjustRightInd w:val="0"/>
        <w:snapToGrid w:val="0"/>
        <w:spacing w:before="0" w:after="0" w:line="360" w:lineRule="auto"/>
        <w:jc w:val="left"/>
        <w:textAlignment w:val="auto"/>
        <w:rPr>
          <w:rFonts w:hint="eastAsia" w:ascii="Times New Roman" w:hAnsi="Times New Roman" w:eastAsia="宋体" w:cs="Times New Roman"/>
          <w:bCs w:val="0"/>
          <w:color w:val="000000" w:themeColor="text1"/>
          <w:sz w:val="24"/>
          <w:lang w:eastAsia="zh-CN"/>
          <w14:textFill>
            <w14:solidFill>
              <w14:schemeClr w14:val="tx1"/>
            </w14:solidFill>
          </w14:textFill>
        </w:rPr>
      </w:pPr>
      <w:r>
        <w:rPr>
          <w:rFonts w:hint="default" w:ascii="Times New Roman" w:hAnsi="Times New Roman" w:eastAsia="宋体" w:cs="Times New Roman"/>
          <w:bCs w:val="0"/>
          <w:color w:val="000000" w:themeColor="text1"/>
          <w:sz w:val="24"/>
          <w14:textFill>
            <w14:solidFill>
              <w14:schemeClr w14:val="tx1"/>
            </w14:solidFill>
          </w14:textFill>
        </w:rPr>
        <w:t>5.1.1.</w:t>
      </w:r>
      <w:r>
        <w:rPr>
          <w:rFonts w:hint="eastAsia" w:ascii="Times New Roman" w:hAnsi="Times New Roman" w:eastAsia="宋体" w:cs="Times New Roman"/>
          <w:bCs w:val="0"/>
          <w:color w:val="000000" w:themeColor="text1"/>
          <w:sz w:val="24"/>
          <w:lang w:val="en-US" w:eastAsia="zh-CN"/>
          <w14:textFill>
            <w14:solidFill>
              <w14:schemeClr w14:val="tx1"/>
            </w14:solidFill>
          </w14:textFill>
        </w:rPr>
        <w:t>3</w:t>
      </w:r>
      <w:r>
        <w:rPr>
          <w:rFonts w:hint="default" w:ascii="Times New Roman" w:hAnsi="Times New Roman" w:eastAsia="宋体" w:cs="Times New Roman"/>
          <w:bCs w:val="0"/>
          <w:color w:val="000000" w:themeColor="text1"/>
          <w:sz w:val="24"/>
          <w14:textFill>
            <w14:solidFill>
              <w14:schemeClr w14:val="tx1"/>
            </w14:solidFill>
          </w14:textFill>
        </w:rPr>
        <w:t xml:space="preserve"> </w:t>
      </w:r>
      <w:r>
        <w:rPr>
          <w:rFonts w:hint="eastAsia" w:ascii="Times New Roman" w:hAnsi="Times New Roman" w:eastAsia="宋体" w:cs="Times New Roman"/>
          <w:bCs w:val="0"/>
          <w:color w:val="000000" w:themeColor="text1"/>
          <w:sz w:val="24"/>
          <w:lang w:eastAsia="zh-CN"/>
          <w14:textFill>
            <w14:solidFill>
              <w14:schemeClr w14:val="tx1"/>
            </w14:solidFill>
          </w14:textFill>
        </w:rPr>
        <w:t>地面气象资料分析</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（1）温度</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根据克拉玛依气象站地面起量资料统计结果，本项目厂址所在地全年平均温度8.4℃，其中7月份气温最高，为26.9℃，2月份平均气温最低，为-14.4℃。全年平均温度的月变化情况，见表5.1-2，全年平均温度的月变化曲线图，见图5.1-1。</w:t>
      </w:r>
    </w:p>
    <w:p>
      <w:pPr>
        <w:keepNext w:val="0"/>
        <w:keepLines w:val="0"/>
        <w:pageBreakBefore w:val="0"/>
        <w:kinsoku/>
        <w:wordWrap/>
        <w:overflowPunct w:val="0"/>
        <w:topLinePunct w:val="0"/>
        <w:autoSpaceDE/>
        <w:autoSpaceDN/>
        <w:bidi w:val="0"/>
        <w:adjustRightInd/>
        <w:snapToGrid/>
        <w:spacing w:line="360" w:lineRule="exact"/>
        <w:jc w:val="center"/>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表5.1-2    平均温度月变化</w:t>
      </w:r>
    </w:p>
    <w:tbl>
      <w:tblPr>
        <w:tblStyle w:val="21"/>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90"/>
        <w:gridCol w:w="570"/>
        <w:gridCol w:w="562"/>
        <w:gridCol w:w="641"/>
        <w:gridCol w:w="641"/>
        <w:gridCol w:w="641"/>
        <w:gridCol w:w="640"/>
        <w:gridCol w:w="641"/>
        <w:gridCol w:w="641"/>
        <w:gridCol w:w="641"/>
        <w:gridCol w:w="640"/>
        <w:gridCol w:w="641"/>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88" w:hRule="atLeast"/>
        </w:trPr>
        <w:tc>
          <w:tcPr>
            <w:tcW w:w="790"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月份</w:t>
            </w:r>
          </w:p>
        </w:tc>
        <w:tc>
          <w:tcPr>
            <w:tcW w:w="570"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56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w:t>
            </w:r>
          </w:p>
        </w:tc>
        <w:tc>
          <w:tcPr>
            <w:tcW w:w="640"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w:t>
            </w:r>
          </w:p>
        </w:tc>
        <w:tc>
          <w:tcPr>
            <w:tcW w:w="640"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11</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8" w:hRule="atLeast"/>
        </w:trPr>
        <w:tc>
          <w:tcPr>
            <w:tcW w:w="790"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温度℃</w:t>
            </w:r>
          </w:p>
        </w:tc>
        <w:tc>
          <w:tcPr>
            <w:tcW w:w="570"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w:t>
            </w:r>
          </w:p>
        </w:tc>
        <w:tc>
          <w:tcPr>
            <w:tcW w:w="56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-14.4</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-4.1</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10.4</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19.4</w:t>
            </w:r>
          </w:p>
        </w:tc>
        <w:tc>
          <w:tcPr>
            <w:tcW w:w="640"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26.1</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26.9</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25.8</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20.4</w:t>
            </w:r>
          </w:p>
        </w:tc>
        <w:tc>
          <w:tcPr>
            <w:tcW w:w="640"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11.2</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2.3</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-9.7</w:t>
            </w:r>
          </w:p>
        </w:tc>
      </w:tr>
    </w:tbl>
    <w:p>
      <w:pPr>
        <w:overflowPunct w:val="0"/>
        <w:spacing w:line="360" w:lineRule="auto"/>
        <w:rPr>
          <w:rFonts w:hint="eastAsia" w:ascii="Times New Roman" w:hAnsi="Times New Roman" w:cs="Times New Roman"/>
          <w:color w:val="000000" w:themeColor="text1"/>
          <w:sz w:val="24"/>
          <w:szCs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9230" cy="2613660"/>
            <wp:effectExtent l="4445" t="4445" r="22225" b="10795"/>
            <wp:docPr id="1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overflowPunct w:val="0"/>
        <w:spacing w:line="360" w:lineRule="auto"/>
        <w:jc w:val="center"/>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黑体" w:hAnsi="黑体" w:eastAsia="黑体" w:cs="黑体"/>
          <w:b w:val="0"/>
          <w:bCs w:val="0"/>
          <w:color w:val="000000" w:themeColor="text1"/>
          <w:sz w:val="21"/>
          <w:szCs w:val="21"/>
          <w:lang w:val="en-US" w:eastAsia="zh-CN"/>
          <w14:textFill>
            <w14:solidFill>
              <w14:schemeClr w14:val="tx1"/>
            </w14:solidFill>
          </w14:textFill>
        </w:rPr>
        <w:t>图</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5.1-</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 xml:space="preserve">    平均温度月变化</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曲线图</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（2）风速</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根据克拉玛依市气象站地面气象数据统计结果，全年平均风速为2.3m/s，其中5月份平均风速最高，为3.3m/s，2月份平均风速最小为1.3m/s，全年平均风速的月变化情况，见表5.1-3，全年平均风速的月变化曲线图，见图5.1-3。</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全年季小时平均风速的日变化情况表，见表5.1-4，全年季小时平均风速的日变化曲线图，见图5.1-4。</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从克拉玛依市各季小时平均风速表5.1-4和各季小时平均风速日变化曲线图5.1-4可以看出，季小时平均日风速呈强弱的周期性变化：夜间风速较小，午后较大，风速日变化与温度的周期性日变化趋于一致。统计分析表明四季变化趋势基本一致，比较稳定，春季风速略大。</w:t>
      </w:r>
    </w:p>
    <w:p>
      <w:pPr>
        <w:keepNext w:val="0"/>
        <w:keepLines w:val="0"/>
        <w:pageBreakBefore w:val="0"/>
        <w:kinsoku/>
        <w:wordWrap/>
        <w:overflowPunct w:val="0"/>
        <w:topLinePunct w:val="0"/>
        <w:autoSpaceDE/>
        <w:autoSpaceDN/>
        <w:bidi w:val="0"/>
        <w:adjustRightInd/>
        <w:snapToGrid/>
        <w:spacing w:line="360" w:lineRule="exact"/>
        <w:jc w:val="center"/>
        <w:rPr>
          <w:rFonts w:hint="default" w:ascii="Times New Roman" w:hAnsi="Times New Roman" w:eastAsia="黑体" w:cs="Times New Roman"/>
          <w:color w:val="000000" w:themeColor="text1"/>
          <w:sz w:val="21"/>
          <w:szCs w:val="21"/>
          <w:lang w:val="en-US" w:eastAsia="zh-CN"/>
          <w14:textFill>
            <w14:solidFill>
              <w14:schemeClr w14:val="tx1"/>
            </w14:solidFill>
          </w14:textFill>
        </w:rPr>
      </w:pPr>
    </w:p>
    <w:p>
      <w:pPr>
        <w:keepNext w:val="0"/>
        <w:keepLines w:val="0"/>
        <w:pageBreakBefore w:val="0"/>
        <w:kinsoku/>
        <w:wordWrap/>
        <w:overflowPunct w:val="0"/>
        <w:topLinePunct w:val="0"/>
        <w:autoSpaceDE/>
        <w:autoSpaceDN/>
        <w:bidi w:val="0"/>
        <w:adjustRightInd/>
        <w:snapToGrid/>
        <w:spacing w:line="360" w:lineRule="exact"/>
        <w:jc w:val="center"/>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表5.1-</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 xml:space="preserve">    平均</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风速</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月变化</w:t>
      </w:r>
    </w:p>
    <w:tbl>
      <w:tblPr>
        <w:tblStyle w:val="21"/>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75"/>
        <w:gridCol w:w="507"/>
        <w:gridCol w:w="640"/>
        <w:gridCol w:w="641"/>
        <w:gridCol w:w="641"/>
        <w:gridCol w:w="641"/>
        <w:gridCol w:w="640"/>
        <w:gridCol w:w="641"/>
        <w:gridCol w:w="641"/>
        <w:gridCol w:w="641"/>
        <w:gridCol w:w="640"/>
        <w:gridCol w:w="641"/>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88" w:hRule="atLeast"/>
        </w:trPr>
        <w:tc>
          <w:tcPr>
            <w:tcW w:w="775"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月份</w:t>
            </w:r>
          </w:p>
        </w:tc>
        <w:tc>
          <w:tcPr>
            <w:tcW w:w="507"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640"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w:t>
            </w:r>
          </w:p>
        </w:tc>
        <w:tc>
          <w:tcPr>
            <w:tcW w:w="640"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w:t>
            </w:r>
          </w:p>
        </w:tc>
        <w:tc>
          <w:tcPr>
            <w:tcW w:w="640"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11</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8" w:hRule="atLeast"/>
        </w:trPr>
        <w:tc>
          <w:tcPr>
            <w:tcW w:w="775"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lang w:val="en-US"/>
                <w14:textFill>
                  <w14:solidFill>
                    <w14:schemeClr w14:val="tx1"/>
                  </w14:solidFill>
                </w14:textFill>
              </w:rPr>
            </w:pP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风速m/s</w:t>
            </w:r>
          </w:p>
        </w:tc>
        <w:tc>
          <w:tcPr>
            <w:tcW w:w="507"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lang w:val="en-US"/>
                <w14:textFill>
                  <w14:solidFill>
                    <w14:schemeClr w14:val="tx1"/>
                  </w14:solidFill>
                </w14:textFill>
              </w:rPr>
            </w:pP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1.5</w:t>
            </w:r>
          </w:p>
        </w:tc>
        <w:tc>
          <w:tcPr>
            <w:tcW w:w="640"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lang w:val="en-US"/>
                <w14:textFill>
                  <w14:solidFill>
                    <w14:schemeClr w14:val="tx1"/>
                  </w14:solidFill>
                </w14:textFill>
              </w:rPr>
            </w:pP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1.3</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lang w:val="en-US"/>
                <w14:textFill>
                  <w14:solidFill>
                    <w14:schemeClr w14:val="tx1"/>
                  </w14:solidFill>
                </w14:textFill>
              </w:rPr>
            </w:pP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2.4</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i w:val="0"/>
                <w:color w:val="000000" w:themeColor="text1"/>
                <w:sz w:val="21"/>
                <w:szCs w:val="21"/>
                <w:u w:val="none"/>
                <w:lang w:val="en-US" w:eastAsia="zh-CN"/>
                <w14:textFill>
                  <w14:solidFill>
                    <w14:schemeClr w14:val="tx1"/>
                  </w14:solidFill>
                </w14:textFill>
              </w:rPr>
              <w:t>2.7</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lang w:val="en-US"/>
                <w14:textFill>
                  <w14:solidFill>
                    <w14:schemeClr w14:val="tx1"/>
                  </w14:solidFill>
                </w14:textFill>
              </w:rPr>
            </w:pP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3.3</w:t>
            </w:r>
          </w:p>
        </w:tc>
        <w:tc>
          <w:tcPr>
            <w:tcW w:w="640"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lang w:val="en-US"/>
                <w14:textFill>
                  <w14:solidFill>
                    <w14:schemeClr w14:val="tx1"/>
                  </w14:solidFill>
                </w14:textFill>
              </w:rPr>
            </w:pP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2.8</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lang w:val="en-US"/>
                <w14:textFill>
                  <w14:solidFill>
                    <w14:schemeClr w14:val="tx1"/>
                  </w14:solidFill>
                </w14:textFill>
              </w:rPr>
            </w:pP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2.6</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lang w:val="en-US"/>
                <w14:textFill>
                  <w14:solidFill>
                    <w14:schemeClr w14:val="tx1"/>
                  </w14:solidFill>
                </w14:textFill>
              </w:rPr>
            </w:pP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2.8</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lang w:val="en-US"/>
                <w14:textFill>
                  <w14:solidFill>
                    <w14:schemeClr w14:val="tx1"/>
                  </w14:solidFill>
                </w14:textFill>
              </w:rPr>
            </w:pP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2.4</w:t>
            </w:r>
          </w:p>
        </w:tc>
        <w:tc>
          <w:tcPr>
            <w:tcW w:w="640"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lang w:val="en-US"/>
                <w14:textFill>
                  <w14:solidFill>
                    <w14:schemeClr w14:val="tx1"/>
                  </w14:solidFill>
                </w14:textFill>
              </w:rPr>
            </w:pP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1.8</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lang w:val="en-US"/>
                <w14:textFill>
                  <w14:solidFill>
                    <w14:schemeClr w14:val="tx1"/>
                  </w14:solidFill>
                </w14:textFill>
              </w:rPr>
            </w:pP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1.8</w:t>
            </w:r>
          </w:p>
        </w:tc>
        <w:tc>
          <w:tcPr>
            <w:tcW w:w="641"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themeColor="text1"/>
                <w:sz w:val="21"/>
                <w:szCs w:val="21"/>
                <w:u w:val="none"/>
                <w:lang w:val="en-US"/>
                <w14:textFill>
                  <w14:solidFill>
                    <w14:schemeClr w14:val="tx1"/>
                  </w14:solidFill>
                </w14:textFill>
              </w:rPr>
            </w:pP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1.7</w:t>
            </w:r>
          </w:p>
        </w:tc>
      </w:tr>
    </w:tbl>
    <w:p>
      <w:pPr>
        <w:overflowPunct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95265" cy="2698115"/>
            <wp:effectExtent l="4445" t="4445" r="15240" b="21590"/>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keepNext w:val="0"/>
        <w:keepLines w:val="0"/>
        <w:pageBreakBefore w:val="0"/>
        <w:kinsoku/>
        <w:wordWrap/>
        <w:overflowPunct w:val="0"/>
        <w:topLinePunct w:val="0"/>
        <w:autoSpaceDE/>
        <w:autoSpaceDN/>
        <w:bidi w:val="0"/>
        <w:adjustRightInd/>
        <w:snapToGrid/>
        <w:spacing w:line="360" w:lineRule="exact"/>
        <w:jc w:val="center"/>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lang w:val="en-US" w:eastAsia="zh-CN"/>
          <w14:textFill>
            <w14:solidFill>
              <w14:schemeClr w14:val="tx1"/>
            </w14:solidFill>
          </w14:textFill>
        </w:rPr>
        <w:t>图</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5.1-2    平均</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风速</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月变化</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曲线</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全年季小时平均风速的日变化情况见表5.1-4，全年季小时平均风速的日变化曲线见图5.1-3。</w:t>
      </w:r>
    </w:p>
    <w:p>
      <w:pPr>
        <w:keepNext w:val="0"/>
        <w:keepLines w:val="0"/>
        <w:pageBreakBefore w:val="0"/>
        <w:kinsoku/>
        <w:wordWrap/>
        <w:overflowPunct w:val="0"/>
        <w:topLinePunct w:val="0"/>
        <w:autoSpaceDE/>
        <w:autoSpaceDN/>
        <w:bidi w:val="0"/>
        <w:adjustRightInd/>
        <w:snapToGrid/>
        <w:spacing w:line="360" w:lineRule="exact"/>
        <w:jc w:val="center"/>
        <w:rPr>
          <w:rFonts w:hint="default"/>
          <w:color w:val="000000" w:themeColor="text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表5.1-</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ab/>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全年季小时平均风速日变化</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 xml:space="preserve">     单位：m/s</w:t>
      </w:r>
    </w:p>
    <w:tbl>
      <w:tblPr>
        <w:tblStyle w:val="21"/>
        <w:tblW w:w="83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297"/>
        <w:gridCol w:w="696"/>
        <w:gridCol w:w="672"/>
        <w:gridCol w:w="648"/>
        <w:gridCol w:w="576"/>
        <w:gridCol w:w="636"/>
        <w:gridCol w:w="624"/>
        <w:gridCol w:w="516"/>
        <w:gridCol w:w="564"/>
        <w:gridCol w:w="552"/>
        <w:gridCol w:w="456"/>
        <w:gridCol w:w="588"/>
        <w:gridCol w:w="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89" w:hRule="atLeast"/>
          <w:jc w:val="center"/>
        </w:trPr>
        <w:tc>
          <w:tcPr>
            <w:tcW w:w="1297" w:type="dxa"/>
            <w:tcBorders>
              <w:tl2br w:val="single" w:color="auto" w:sz="4" w:space="0"/>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i w:val="0"/>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i w:val="0"/>
                <w:color w:val="000000" w:themeColor="text1"/>
                <w:sz w:val="21"/>
                <w:szCs w:val="21"/>
                <w:u w:val="none"/>
                <w:lang w:val="en-US" w:eastAsia="zh-CN"/>
                <w14:textFill>
                  <w14:solidFill>
                    <w14:schemeClr w14:val="tx1"/>
                  </w14:solidFill>
                </w14:textFill>
              </w:rPr>
              <w:t xml:space="preserve">      </w:t>
            </w:r>
            <w:r>
              <w:rPr>
                <w:rFonts w:hint="eastAsia" w:ascii="Times New Roman" w:hAnsi="Times New Roman" w:eastAsia="宋体" w:cs="Times New Roman"/>
                <w:i w:val="0"/>
                <w:color w:val="000000" w:themeColor="text1"/>
                <w:sz w:val="21"/>
                <w:szCs w:val="21"/>
                <w:u w:val="none"/>
                <w:lang w:eastAsia="zh-CN"/>
                <w14:textFill>
                  <w14:solidFill>
                    <w14:schemeClr w14:val="tx1"/>
                  </w14:solidFill>
                </w14:textFill>
              </w:rPr>
              <w:t>小时</w:t>
            </w:r>
          </w:p>
          <w:p>
            <w:pPr>
              <w:keepNext w:val="0"/>
              <w:keepLines w:val="0"/>
              <w:pageBreakBefore w:val="0"/>
              <w:kinsoku/>
              <w:wordWrap/>
              <w:overflowPunct/>
              <w:topLinePunct w:val="0"/>
              <w:autoSpaceDE/>
              <w:autoSpaceDN/>
              <w:bidi w:val="0"/>
              <w:adjustRightInd/>
              <w:snapToGrid/>
              <w:jc w:val="both"/>
              <w:rPr>
                <w:rFonts w:hint="eastAsia" w:ascii="Times New Roman" w:hAnsi="Times New Roman" w:eastAsia="宋体" w:cs="Times New Roman"/>
                <w:i w:val="0"/>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i w:val="0"/>
                <w:color w:val="000000" w:themeColor="text1"/>
                <w:sz w:val="21"/>
                <w:szCs w:val="21"/>
                <w:u w:val="none"/>
                <w:lang w:eastAsia="zh-CN"/>
                <w14:textFill>
                  <w14:solidFill>
                    <w14:schemeClr w14:val="tx1"/>
                  </w14:solidFill>
                </w14:textFill>
              </w:rPr>
              <w:t>风速</w:t>
            </w:r>
          </w:p>
        </w:tc>
        <w:tc>
          <w:tcPr>
            <w:tcW w:w="69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67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w:t>
            </w:r>
          </w:p>
        </w:tc>
        <w:tc>
          <w:tcPr>
            <w:tcW w:w="64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w:t>
            </w:r>
          </w:p>
        </w:tc>
        <w:tc>
          <w:tcPr>
            <w:tcW w:w="57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w:t>
            </w:r>
          </w:p>
        </w:tc>
        <w:tc>
          <w:tcPr>
            <w:tcW w:w="63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w:t>
            </w:r>
          </w:p>
        </w:tc>
        <w:tc>
          <w:tcPr>
            <w:tcW w:w="62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w:t>
            </w:r>
          </w:p>
        </w:tc>
        <w:tc>
          <w:tcPr>
            <w:tcW w:w="51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w:t>
            </w:r>
          </w:p>
        </w:tc>
        <w:tc>
          <w:tcPr>
            <w:tcW w:w="56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w:t>
            </w:r>
          </w:p>
        </w:tc>
        <w:tc>
          <w:tcPr>
            <w:tcW w:w="55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w:t>
            </w:r>
          </w:p>
        </w:tc>
        <w:tc>
          <w:tcPr>
            <w:tcW w:w="45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w:t>
            </w:r>
          </w:p>
        </w:tc>
        <w:tc>
          <w:tcPr>
            <w:tcW w:w="58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11</w:t>
            </w:r>
          </w:p>
        </w:tc>
        <w:tc>
          <w:tcPr>
            <w:tcW w:w="505"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9" w:hRule="atLeast"/>
          <w:jc w:val="center"/>
        </w:trPr>
        <w:tc>
          <w:tcPr>
            <w:tcW w:w="1297"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春季</w:t>
            </w:r>
          </w:p>
        </w:tc>
        <w:tc>
          <w:tcPr>
            <w:tcW w:w="69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2.9</w:t>
            </w:r>
          </w:p>
        </w:tc>
        <w:tc>
          <w:tcPr>
            <w:tcW w:w="67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2.8</w:t>
            </w:r>
          </w:p>
        </w:tc>
        <w:tc>
          <w:tcPr>
            <w:tcW w:w="64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2.6</w:t>
            </w:r>
          </w:p>
        </w:tc>
        <w:tc>
          <w:tcPr>
            <w:tcW w:w="57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2.6</w:t>
            </w:r>
          </w:p>
        </w:tc>
        <w:tc>
          <w:tcPr>
            <w:tcW w:w="63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2.3</w:t>
            </w:r>
          </w:p>
        </w:tc>
        <w:tc>
          <w:tcPr>
            <w:tcW w:w="62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2.4</w:t>
            </w:r>
          </w:p>
        </w:tc>
        <w:tc>
          <w:tcPr>
            <w:tcW w:w="51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2.1</w:t>
            </w:r>
          </w:p>
        </w:tc>
        <w:tc>
          <w:tcPr>
            <w:tcW w:w="56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w:t>
            </w:r>
          </w:p>
        </w:tc>
        <w:tc>
          <w:tcPr>
            <w:tcW w:w="55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w:t>
            </w:r>
          </w:p>
        </w:tc>
        <w:tc>
          <w:tcPr>
            <w:tcW w:w="45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w:t>
            </w:r>
          </w:p>
        </w:tc>
        <w:tc>
          <w:tcPr>
            <w:tcW w:w="58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w:t>
            </w:r>
          </w:p>
        </w:tc>
        <w:tc>
          <w:tcPr>
            <w:tcW w:w="505"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9" w:hRule="atLeast"/>
          <w:jc w:val="center"/>
        </w:trPr>
        <w:tc>
          <w:tcPr>
            <w:tcW w:w="1297"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夏季</w:t>
            </w:r>
          </w:p>
        </w:tc>
        <w:tc>
          <w:tcPr>
            <w:tcW w:w="69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2.4</w:t>
            </w:r>
          </w:p>
        </w:tc>
        <w:tc>
          <w:tcPr>
            <w:tcW w:w="67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w:t>
            </w:r>
          </w:p>
        </w:tc>
        <w:tc>
          <w:tcPr>
            <w:tcW w:w="64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2.6</w:t>
            </w:r>
          </w:p>
        </w:tc>
        <w:tc>
          <w:tcPr>
            <w:tcW w:w="57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2.8</w:t>
            </w:r>
          </w:p>
        </w:tc>
        <w:tc>
          <w:tcPr>
            <w:tcW w:w="63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2.7</w:t>
            </w:r>
          </w:p>
        </w:tc>
        <w:tc>
          <w:tcPr>
            <w:tcW w:w="62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w:t>
            </w:r>
          </w:p>
        </w:tc>
        <w:tc>
          <w:tcPr>
            <w:tcW w:w="51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2.3</w:t>
            </w:r>
          </w:p>
        </w:tc>
        <w:tc>
          <w:tcPr>
            <w:tcW w:w="56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w:t>
            </w:r>
          </w:p>
        </w:tc>
        <w:tc>
          <w:tcPr>
            <w:tcW w:w="55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w:t>
            </w:r>
          </w:p>
        </w:tc>
        <w:tc>
          <w:tcPr>
            <w:tcW w:w="45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2.1</w:t>
            </w:r>
          </w:p>
        </w:tc>
        <w:tc>
          <w:tcPr>
            <w:tcW w:w="58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w:t>
            </w:r>
          </w:p>
        </w:tc>
        <w:tc>
          <w:tcPr>
            <w:tcW w:w="505"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9" w:hRule="atLeast"/>
          <w:jc w:val="center"/>
        </w:trPr>
        <w:tc>
          <w:tcPr>
            <w:tcW w:w="1297"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秋季</w:t>
            </w:r>
          </w:p>
        </w:tc>
        <w:tc>
          <w:tcPr>
            <w:tcW w:w="69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2.3</w:t>
            </w:r>
          </w:p>
        </w:tc>
        <w:tc>
          <w:tcPr>
            <w:tcW w:w="67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w:t>
            </w:r>
          </w:p>
        </w:tc>
        <w:tc>
          <w:tcPr>
            <w:tcW w:w="64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w:t>
            </w:r>
          </w:p>
        </w:tc>
        <w:tc>
          <w:tcPr>
            <w:tcW w:w="57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w:t>
            </w:r>
          </w:p>
        </w:tc>
        <w:tc>
          <w:tcPr>
            <w:tcW w:w="63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w:t>
            </w:r>
          </w:p>
        </w:tc>
        <w:tc>
          <w:tcPr>
            <w:tcW w:w="62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w:t>
            </w:r>
          </w:p>
        </w:tc>
        <w:tc>
          <w:tcPr>
            <w:tcW w:w="51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w:t>
            </w:r>
          </w:p>
        </w:tc>
        <w:tc>
          <w:tcPr>
            <w:tcW w:w="56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w:t>
            </w:r>
          </w:p>
        </w:tc>
        <w:tc>
          <w:tcPr>
            <w:tcW w:w="55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w:t>
            </w:r>
          </w:p>
        </w:tc>
        <w:tc>
          <w:tcPr>
            <w:tcW w:w="45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1.6</w:t>
            </w:r>
          </w:p>
        </w:tc>
        <w:tc>
          <w:tcPr>
            <w:tcW w:w="58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w:t>
            </w:r>
          </w:p>
        </w:tc>
        <w:tc>
          <w:tcPr>
            <w:tcW w:w="505"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9" w:hRule="atLeast"/>
          <w:jc w:val="center"/>
        </w:trPr>
        <w:tc>
          <w:tcPr>
            <w:tcW w:w="1297"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冬季</w:t>
            </w:r>
          </w:p>
        </w:tc>
        <w:tc>
          <w:tcPr>
            <w:tcW w:w="69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1.4</w:t>
            </w:r>
          </w:p>
        </w:tc>
        <w:tc>
          <w:tcPr>
            <w:tcW w:w="67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1.4</w:t>
            </w:r>
          </w:p>
        </w:tc>
        <w:tc>
          <w:tcPr>
            <w:tcW w:w="64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w:t>
            </w:r>
          </w:p>
        </w:tc>
        <w:tc>
          <w:tcPr>
            <w:tcW w:w="57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w:t>
            </w:r>
          </w:p>
        </w:tc>
        <w:tc>
          <w:tcPr>
            <w:tcW w:w="63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1.5</w:t>
            </w:r>
          </w:p>
        </w:tc>
        <w:tc>
          <w:tcPr>
            <w:tcW w:w="62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w:t>
            </w:r>
          </w:p>
        </w:tc>
        <w:tc>
          <w:tcPr>
            <w:tcW w:w="51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1.2</w:t>
            </w:r>
          </w:p>
        </w:tc>
        <w:tc>
          <w:tcPr>
            <w:tcW w:w="56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w:t>
            </w:r>
          </w:p>
        </w:tc>
        <w:tc>
          <w:tcPr>
            <w:tcW w:w="55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w:t>
            </w:r>
          </w:p>
        </w:tc>
        <w:tc>
          <w:tcPr>
            <w:tcW w:w="45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1.1</w:t>
            </w:r>
          </w:p>
        </w:tc>
        <w:tc>
          <w:tcPr>
            <w:tcW w:w="58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1.4</w:t>
            </w:r>
          </w:p>
        </w:tc>
        <w:tc>
          <w:tcPr>
            <w:tcW w:w="505"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9" w:hRule="atLeast"/>
          <w:jc w:val="center"/>
        </w:trPr>
        <w:tc>
          <w:tcPr>
            <w:tcW w:w="1297" w:type="dxa"/>
            <w:tcBorders>
              <w:tl2br w:val="single" w:color="auto" w:sz="4" w:space="0"/>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i w:val="0"/>
                <w:color w:val="000000" w:themeColor="text1"/>
                <w:sz w:val="21"/>
                <w:szCs w:val="21"/>
                <w:u w:val="none"/>
                <w:lang w:eastAsia="zh-CN"/>
                <w14:textFill>
                  <w14:solidFill>
                    <w14:schemeClr w14:val="tx1"/>
                  </w14:solidFill>
                </w14:textFill>
              </w:rPr>
            </w:pPr>
            <w:r>
              <w:rPr>
                <w:rFonts w:hint="eastAsia" w:ascii="Times New Roman" w:hAnsi="Times New Roman" w:cs="Times New Roman"/>
                <w:i w:val="0"/>
                <w:color w:val="000000" w:themeColor="text1"/>
                <w:sz w:val="21"/>
                <w:szCs w:val="21"/>
                <w:u w:val="none"/>
                <w:lang w:val="en-US" w:eastAsia="zh-CN"/>
                <w14:textFill>
                  <w14:solidFill>
                    <w14:schemeClr w14:val="tx1"/>
                  </w14:solidFill>
                </w14:textFill>
              </w:rPr>
              <w:t xml:space="preserve">      </w:t>
            </w:r>
            <w:r>
              <w:rPr>
                <w:rFonts w:hint="eastAsia" w:ascii="Times New Roman" w:hAnsi="Times New Roman" w:eastAsia="宋体" w:cs="Times New Roman"/>
                <w:i w:val="0"/>
                <w:color w:val="000000" w:themeColor="text1"/>
                <w:sz w:val="21"/>
                <w:szCs w:val="21"/>
                <w:u w:val="none"/>
                <w:lang w:eastAsia="zh-CN"/>
                <w14:textFill>
                  <w14:solidFill>
                    <w14:schemeClr w14:val="tx1"/>
                  </w14:solidFill>
                </w14:textFill>
              </w:rPr>
              <w:t>小时</w:t>
            </w:r>
          </w:p>
          <w:p>
            <w:pPr>
              <w:keepNext w:val="0"/>
              <w:keepLines w:val="0"/>
              <w:pageBreakBefore w:val="0"/>
              <w:kinsoku/>
              <w:wordWrap/>
              <w:overflowPunct/>
              <w:topLinePunct w:val="0"/>
              <w:autoSpaceDE/>
              <w:autoSpaceDN/>
              <w:bidi w:val="0"/>
              <w:adjustRightInd/>
              <w:snapToGrid/>
              <w:jc w:val="both"/>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color w:val="000000" w:themeColor="text1"/>
                <w:sz w:val="21"/>
                <w:szCs w:val="21"/>
                <w:u w:val="none"/>
                <w:lang w:eastAsia="zh-CN"/>
                <w14:textFill>
                  <w14:solidFill>
                    <w14:schemeClr w14:val="tx1"/>
                  </w14:solidFill>
                </w14:textFill>
              </w:rPr>
              <w:t>风速</w:t>
            </w:r>
          </w:p>
        </w:tc>
        <w:tc>
          <w:tcPr>
            <w:tcW w:w="69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w:t>
            </w:r>
          </w:p>
        </w:tc>
        <w:tc>
          <w:tcPr>
            <w:tcW w:w="67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14</w:t>
            </w:r>
          </w:p>
        </w:tc>
        <w:tc>
          <w:tcPr>
            <w:tcW w:w="64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15</w:t>
            </w:r>
          </w:p>
        </w:tc>
        <w:tc>
          <w:tcPr>
            <w:tcW w:w="57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16</w:t>
            </w:r>
          </w:p>
        </w:tc>
        <w:tc>
          <w:tcPr>
            <w:tcW w:w="63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17</w:t>
            </w:r>
          </w:p>
        </w:tc>
        <w:tc>
          <w:tcPr>
            <w:tcW w:w="62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w:t>
            </w:r>
          </w:p>
        </w:tc>
        <w:tc>
          <w:tcPr>
            <w:tcW w:w="51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w:t>
            </w:r>
          </w:p>
        </w:tc>
        <w:tc>
          <w:tcPr>
            <w:tcW w:w="56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20</w:t>
            </w:r>
          </w:p>
        </w:tc>
        <w:tc>
          <w:tcPr>
            <w:tcW w:w="55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21</w:t>
            </w:r>
          </w:p>
        </w:tc>
        <w:tc>
          <w:tcPr>
            <w:tcW w:w="45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w:t>
            </w:r>
          </w:p>
        </w:tc>
        <w:tc>
          <w:tcPr>
            <w:tcW w:w="58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23</w:t>
            </w:r>
          </w:p>
        </w:tc>
        <w:tc>
          <w:tcPr>
            <w:tcW w:w="505"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9" w:hRule="atLeast"/>
          <w:jc w:val="center"/>
        </w:trPr>
        <w:tc>
          <w:tcPr>
            <w:tcW w:w="1297"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春季</w:t>
            </w:r>
          </w:p>
        </w:tc>
        <w:tc>
          <w:tcPr>
            <w:tcW w:w="69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3.1</w:t>
            </w:r>
          </w:p>
        </w:tc>
        <w:tc>
          <w:tcPr>
            <w:tcW w:w="67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3.2</w:t>
            </w:r>
          </w:p>
        </w:tc>
        <w:tc>
          <w:tcPr>
            <w:tcW w:w="64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w:t>
            </w:r>
          </w:p>
        </w:tc>
        <w:tc>
          <w:tcPr>
            <w:tcW w:w="57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3.7</w:t>
            </w:r>
          </w:p>
        </w:tc>
        <w:tc>
          <w:tcPr>
            <w:tcW w:w="63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3.5</w:t>
            </w:r>
          </w:p>
        </w:tc>
        <w:tc>
          <w:tcPr>
            <w:tcW w:w="62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3.5</w:t>
            </w:r>
          </w:p>
        </w:tc>
        <w:tc>
          <w:tcPr>
            <w:tcW w:w="51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w:t>
            </w:r>
          </w:p>
        </w:tc>
        <w:tc>
          <w:tcPr>
            <w:tcW w:w="56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3.2</w:t>
            </w:r>
          </w:p>
        </w:tc>
        <w:tc>
          <w:tcPr>
            <w:tcW w:w="55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3.1</w:t>
            </w:r>
          </w:p>
        </w:tc>
        <w:tc>
          <w:tcPr>
            <w:tcW w:w="45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2.9</w:t>
            </w:r>
          </w:p>
        </w:tc>
        <w:tc>
          <w:tcPr>
            <w:tcW w:w="58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2.8</w:t>
            </w:r>
          </w:p>
        </w:tc>
        <w:tc>
          <w:tcPr>
            <w:tcW w:w="505"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9" w:hRule="atLeast"/>
          <w:jc w:val="center"/>
        </w:trPr>
        <w:tc>
          <w:tcPr>
            <w:tcW w:w="1297"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夏季</w:t>
            </w:r>
          </w:p>
        </w:tc>
        <w:tc>
          <w:tcPr>
            <w:tcW w:w="69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2.7</w:t>
            </w:r>
          </w:p>
        </w:tc>
        <w:tc>
          <w:tcPr>
            <w:tcW w:w="67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2.9</w:t>
            </w:r>
          </w:p>
        </w:tc>
        <w:tc>
          <w:tcPr>
            <w:tcW w:w="64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3.2</w:t>
            </w:r>
          </w:p>
        </w:tc>
        <w:tc>
          <w:tcPr>
            <w:tcW w:w="57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3.1</w:t>
            </w:r>
          </w:p>
        </w:tc>
        <w:tc>
          <w:tcPr>
            <w:tcW w:w="63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3.3</w:t>
            </w:r>
          </w:p>
        </w:tc>
        <w:tc>
          <w:tcPr>
            <w:tcW w:w="62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w:t>
            </w:r>
          </w:p>
        </w:tc>
        <w:tc>
          <w:tcPr>
            <w:tcW w:w="51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3.5</w:t>
            </w:r>
          </w:p>
        </w:tc>
        <w:tc>
          <w:tcPr>
            <w:tcW w:w="56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3.6</w:t>
            </w:r>
          </w:p>
        </w:tc>
        <w:tc>
          <w:tcPr>
            <w:tcW w:w="55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3.2</w:t>
            </w:r>
          </w:p>
        </w:tc>
        <w:tc>
          <w:tcPr>
            <w:tcW w:w="45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2.7</w:t>
            </w:r>
          </w:p>
        </w:tc>
        <w:tc>
          <w:tcPr>
            <w:tcW w:w="58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w:t>
            </w:r>
          </w:p>
        </w:tc>
        <w:tc>
          <w:tcPr>
            <w:tcW w:w="505"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9" w:hRule="atLeast"/>
          <w:jc w:val="center"/>
        </w:trPr>
        <w:tc>
          <w:tcPr>
            <w:tcW w:w="1297"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秋季</w:t>
            </w:r>
          </w:p>
        </w:tc>
        <w:tc>
          <w:tcPr>
            <w:tcW w:w="69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2.3</w:t>
            </w:r>
          </w:p>
        </w:tc>
        <w:tc>
          <w:tcPr>
            <w:tcW w:w="67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2.4</w:t>
            </w:r>
          </w:p>
        </w:tc>
        <w:tc>
          <w:tcPr>
            <w:tcW w:w="64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w:t>
            </w:r>
          </w:p>
        </w:tc>
        <w:tc>
          <w:tcPr>
            <w:tcW w:w="57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w:t>
            </w:r>
          </w:p>
        </w:tc>
        <w:tc>
          <w:tcPr>
            <w:tcW w:w="63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2.3</w:t>
            </w:r>
          </w:p>
        </w:tc>
        <w:tc>
          <w:tcPr>
            <w:tcW w:w="62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w:t>
            </w:r>
          </w:p>
        </w:tc>
        <w:tc>
          <w:tcPr>
            <w:tcW w:w="51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w:t>
            </w:r>
          </w:p>
        </w:tc>
        <w:tc>
          <w:tcPr>
            <w:tcW w:w="56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w:t>
            </w:r>
          </w:p>
        </w:tc>
        <w:tc>
          <w:tcPr>
            <w:tcW w:w="55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1.6</w:t>
            </w:r>
          </w:p>
        </w:tc>
        <w:tc>
          <w:tcPr>
            <w:tcW w:w="45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w:t>
            </w:r>
          </w:p>
        </w:tc>
        <w:tc>
          <w:tcPr>
            <w:tcW w:w="58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w:t>
            </w:r>
          </w:p>
        </w:tc>
        <w:tc>
          <w:tcPr>
            <w:tcW w:w="505"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9" w:hRule="atLeast"/>
          <w:jc w:val="center"/>
        </w:trPr>
        <w:tc>
          <w:tcPr>
            <w:tcW w:w="1297"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冬季</w:t>
            </w:r>
          </w:p>
        </w:tc>
        <w:tc>
          <w:tcPr>
            <w:tcW w:w="69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1.7</w:t>
            </w:r>
          </w:p>
        </w:tc>
        <w:tc>
          <w:tcPr>
            <w:tcW w:w="67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w:t>
            </w:r>
          </w:p>
        </w:tc>
        <w:tc>
          <w:tcPr>
            <w:tcW w:w="64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w:t>
            </w:r>
          </w:p>
        </w:tc>
        <w:tc>
          <w:tcPr>
            <w:tcW w:w="57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w:t>
            </w:r>
          </w:p>
        </w:tc>
        <w:tc>
          <w:tcPr>
            <w:tcW w:w="63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w:t>
            </w:r>
          </w:p>
        </w:tc>
        <w:tc>
          <w:tcPr>
            <w:tcW w:w="62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w:t>
            </w:r>
          </w:p>
        </w:tc>
        <w:tc>
          <w:tcPr>
            <w:tcW w:w="51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1.5</w:t>
            </w:r>
          </w:p>
        </w:tc>
        <w:tc>
          <w:tcPr>
            <w:tcW w:w="564"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1.4</w:t>
            </w:r>
          </w:p>
        </w:tc>
        <w:tc>
          <w:tcPr>
            <w:tcW w:w="552"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1.4</w:t>
            </w:r>
          </w:p>
        </w:tc>
        <w:tc>
          <w:tcPr>
            <w:tcW w:w="456"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1.4</w:t>
            </w:r>
          </w:p>
        </w:tc>
        <w:tc>
          <w:tcPr>
            <w:tcW w:w="588"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1.4</w:t>
            </w:r>
          </w:p>
        </w:tc>
        <w:tc>
          <w:tcPr>
            <w:tcW w:w="505" w:type="dxa"/>
            <w:tcBorders>
              <w:tl2br w:val="nil"/>
              <w:tr2bl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1.4</w:t>
            </w:r>
          </w:p>
        </w:tc>
      </w:tr>
    </w:tbl>
    <w:p>
      <w:pPr>
        <w:overflowPunct w:val="0"/>
        <w:spacing w:line="360" w:lineRule="auto"/>
        <w:rPr>
          <w:rFonts w:hint="eastAsia" w:ascii="Times New Roman" w:hAnsi="Times New Roman" w:eastAsia="黑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73675" cy="2724150"/>
            <wp:effectExtent l="4445" t="4445" r="17780" b="14605"/>
            <wp:docPr id="50"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overflowPunct w:val="0"/>
        <w:spacing w:line="360" w:lineRule="auto"/>
        <w:jc w:val="cente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lang w:val="en-US" w:eastAsia="zh-CN"/>
          <w14:textFill>
            <w14:solidFill>
              <w14:schemeClr w14:val="tx1"/>
            </w14:solidFill>
          </w14:textFill>
        </w:rPr>
        <w:t>图</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 xml:space="preserve">5.1-3    </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ab/>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全年季小时平均风速日变化</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 xml:space="preserve">曲线图 </w:t>
      </w:r>
    </w:p>
    <w:p>
      <w:pPr>
        <w:overflowPunct w:val="0"/>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从克拉玛依市全年季小时叛军风速表5.1-4和其曲线图5.1-3可以看出，季小时平均日风速呈强弱的周期性变化：夜间风速较小，午后较大。风速日变化与温度的周期性日变化趋于一致。统计分析表明四季变化趋势基本一致，比较稳定，春季风速略大。</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（3）风向、风频</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克拉玛依市各月、各季及全年各风向的出现频率见表5.1-5，各季与年的风向频率玫瑰见图5.1-4。</w:t>
      </w:r>
    </w:p>
    <w:p>
      <w:pPr>
        <w:overflowPunct w:val="0"/>
        <w:spacing w:line="360" w:lineRule="auto"/>
        <w:rPr>
          <w:rFonts w:hint="eastAsia" w:ascii="Times New Roman" w:hAnsi="Times New Roman" w:cs="Times New Roman"/>
          <w:color w:val="000000" w:themeColor="text1"/>
          <w:sz w:val="24"/>
          <w:szCs w:val="24"/>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kinsoku/>
        <w:wordWrap/>
        <w:overflowPunct w:val="0"/>
        <w:topLinePunct w:val="0"/>
        <w:autoSpaceDE/>
        <w:autoSpaceDN/>
        <w:bidi w:val="0"/>
        <w:adjustRightInd/>
        <w:snapToGrid/>
        <w:spacing w:line="36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表5.1-</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ab/>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克拉玛依市各月、各季及全年各风向的出现频率</w:t>
      </w:r>
    </w:p>
    <w:tbl>
      <w:tblPr>
        <w:tblStyle w:val="21"/>
        <w:tblW w:w="13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77"/>
        <w:gridCol w:w="777"/>
        <w:gridCol w:w="777"/>
        <w:gridCol w:w="777"/>
        <w:gridCol w:w="778"/>
        <w:gridCol w:w="777"/>
        <w:gridCol w:w="777"/>
        <w:gridCol w:w="777"/>
        <w:gridCol w:w="777"/>
        <w:gridCol w:w="777"/>
        <w:gridCol w:w="777"/>
        <w:gridCol w:w="777"/>
        <w:gridCol w:w="777"/>
        <w:gridCol w:w="778"/>
        <w:gridCol w:w="777"/>
        <w:gridCol w:w="777"/>
        <w:gridCol w:w="777"/>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月份</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N</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NNE</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NE</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ENE</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E</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ESE</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SE</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SSE</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S</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SSW</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SW</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WSW</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W</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WNW</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NW</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NNW</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静风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一月</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7.12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3.23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5.24</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18.28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10.75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1.75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1.75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0.81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2.15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7.39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11.29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5.78</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4.57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6.99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二月</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7.89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4.32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5.21</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9.52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0.89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0.45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1.04</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16.52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8.63</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3.13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4.91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7.29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三月</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6.85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2.96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7.12</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17.74</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11.42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2.02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3.63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6.18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6.32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5.51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3.76</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6.45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6.32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5.78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四月</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5.69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2.08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8.06</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12.36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9.86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5.83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4.03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4.86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5.97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4.58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1.67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2.78</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2.08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6.11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16.81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7.08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五月</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3.23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3.49</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6.59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4.44</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3.63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6.18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6.59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1.48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2.42</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3.63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12.23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25.13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9.01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六月</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4.44</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2.08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3.33</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5.14</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7.36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4.58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7.36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6.39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5.42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2.78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1.94</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2.92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6.81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24.17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11.25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七月</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2.96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2.69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2.42</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4.44</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6.05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5.78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6.32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8.33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7.53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4.03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2.69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1.75</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3.36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5.78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24.73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9.81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八月</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4.17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2.69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3.49</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5.51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5.91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5.11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7.93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6.85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5.24</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3.36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2.28</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11.29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21.1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6.99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九月</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5.56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3.06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3.06</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5.83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9.72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5.56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4.58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5.97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3.61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2.08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1.53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2.22</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6.39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26.11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11.25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十月</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2.96</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7.93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9.95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7.53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3.63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2.96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3.76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1.21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0.67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1.61</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2.69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4.44</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29.44</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11.16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十一月</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5.56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3.19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3.33</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10.69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7.64</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3.33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3.61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3.33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3.61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2.78</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3.89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22.36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11.11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十二月</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6.99</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15.46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11.42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2.69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0.94</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1.21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7.39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4.57</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4.03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9.81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10.48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全年</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5.47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2.96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4.55</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10.67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8.66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3.98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3.77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4.14</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4.52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4.71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3.34</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3.39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6.4</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18.22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8.82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春季</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5.34</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2.76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6.2</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12.23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8.56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4.17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4.39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6.25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2.99</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3.22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8.29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16.08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7.29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夏季</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3.85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2.49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3.08</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5.03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6.43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7.52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6.39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4.26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1.99</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7.97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23.32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9.33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秋季</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4.99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2.93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3.11</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8.15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9.11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5.49</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3.71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3.66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3.02</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5.27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26.01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11.17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冬季</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7.73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3.66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5.83</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17.41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0.88</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1.71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5.56</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11.57</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6.25</w:t>
            </w:r>
          </w:p>
        </w:tc>
        <w:tc>
          <w:tcPr>
            <w:tcW w:w="778"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3.94</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4.03</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7.31</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7.5</w:t>
            </w:r>
          </w:p>
        </w:tc>
        <w:tc>
          <w:tcPr>
            <w:tcW w:w="777"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3.15</w:t>
            </w:r>
          </w:p>
        </w:tc>
      </w:tr>
    </w:tbl>
    <w:p>
      <w:pPr>
        <w:overflowPunct w:val="0"/>
        <w:spacing w:line="360" w:lineRule="auto"/>
        <w:rPr>
          <w:rFonts w:hint="eastAsia" w:ascii="Times New Roman" w:hAnsi="Times New Roman" w:cs="Times New Roman"/>
          <w:color w:val="000000" w:themeColor="text1"/>
          <w:sz w:val="24"/>
          <w:szCs w:val="24"/>
          <w:lang w:val="en-US" w:eastAsia="zh-CN"/>
          <w14:textFill>
            <w14:solidFill>
              <w14:schemeClr w14:val="tx1"/>
            </w14:solidFill>
          </w14:textFill>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overflowPunct w:val="0"/>
        <w:spacing w:line="360" w:lineRule="auto"/>
        <w:jc w:val="center"/>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drawing>
          <wp:inline distT="0" distB="0" distL="114300" distR="114300">
            <wp:extent cx="5274310" cy="7528560"/>
            <wp:effectExtent l="0" t="0" r="2540" b="15240"/>
            <wp:docPr id="51" name="图片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
                    <pic:cNvPicPr>
                      <a:picLocks noChangeAspect="1"/>
                    </pic:cNvPicPr>
                  </pic:nvPicPr>
                  <pic:blipFill>
                    <a:blip r:embed="rId39"/>
                    <a:stretch>
                      <a:fillRect/>
                    </a:stretch>
                  </pic:blipFill>
                  <pic:spPr>
                    <a:xfrm>
                      <a:off x="0" y="0"/>
                      <a:ext cx="5274310" cy="7528560"/>
                    </a:xfrm>
                    <a:prstGeom prst="rect">
                      <a:avLst/>
                    </a:prstGeom>
                  </pic:spPr>
                </pic:pic>
              </a:graphicData>
            </a:graphic>
          </wp:inline>
        </w:drawing>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 xml:space="preserve">图5.1-4 </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克拉玛依市各月、各季及全年</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风频玫瑰图</w:t>
      </w:r>
    </w:p>
    <w:p>
      <w:pPr>
        <w:overflowPunct w:val="0"/>
        <w:spacing w:line="360" w:lineRule="auto"/>
        <w:rPr>
          <w:rFonts w:hint="eastAsia" w:ascii="Times New Roman" w:hAnsi="Times New Roman" w:cs="Times New Roman"/>
          <w:color w:val="000000" w:themeColor="text1"/>
          <w:sz w:val="24"/>
          <w:szCs w:val="24"/>
          <w:lang w:val="en-US" w:eastAsia="zh-CN"/>
          <w14:textFill>
            <w14:solidFill>
              <w14:schemeClr w14:val="tx1"/>
            </w14:solidFill>
          </w14:textFill>
        </w:rPr>
      </w:pPr>
    </w:p>
    <w:p>
      <w:pPr>
        <w:rPr>
          <w:rFonts w:hint="default" w:ascii="Times New Roman" w:hAnsi="Times New Roman" w:cs="Times New Roman"/>
          <w:bCs w:val="0"/>
          <w:color w:val="000000" w:themeColor="text1"/>
          <w:kern w:val="0"/>
          <w:sz w:val="28"/>
          <w:szCs w:val="28"/>
          <w:lang w:val="en-US" w:eastAsia="zh-CN"/>
          <w14:textFill>
            <w14:solidFill>
              <w14:schemeClr w14:val="tx1"/>
            </w14:solidFill>
          </w14:textFill>
        </w:rPr>
      </w:pPr>
      <w:r>
        <w:rPr>
          <w:rFonts w:hint="default" w:ascii="Times New Roman" w:hAnsi="Times New Roman" w:cs="Times New Roman"/>
          <w:bCs w:val="0"/>
          <w:color w:val="000000" w:themeColor="text1"/>
          <w:kern w:val="0"/>
          <w:sz w:val="28"/>
          <w:szCs w:val="28"/>
          <w:lang w:val="en-US" w:eastAsia="zh-CN"/>
          <w14:textFill>
            <w14:solidFill>
              <w14:schemeClr w14:val="tx1"/>
            </w14:solidFill>
          </w14:textFill>
        </w:rPr>
        <w:br w:type="page"/>
      </w:r>
    </w:p>
    <w:p>
      <w:pPr>
        <w:pStyle w:val="5"/>
        <w:keepNext w:val="0"/>
        <w:keepLines w:val="0"/>
        <w:pageBreakBefore w:val="0"/>
        <w:widowControl w:val="0"/>
        <w:kinsoku/>
        <w:wordWrap/>
        <w:overflowPunct w:val="0"/>
        <w:topLinePunct w:val="0"/>
        <w:autoSpaceDE/>
        <w:autoSpaceDN/>
        <w:bidi w:val="0"/>
        <w:adjustRightInd/>
        <w:snapToGrid/>
        <w:spacing w:before="0" w:after="0" w:line="360" w:lineRule="auto"/>
        <w:textAlignment w:val="auto"/>
        <w:rPr>
          <w:rFonts w:hint="default" w:ascii="Times New Roman" w:hAnsi="Times New Roman" w:cs="Times New Roman"/>
          <w:bCs w:val="0"/>
          <w:color w:val="000000" w:themeColor="text1"/>
          <w:kern w:val="0"/>
          <w:sz w:val="28"/>
          <w:szCs w:val="28"/>
          <w:lang w:val="en-US" w:eastAsia="zh-CN"/>
          <w14:textFill>
            <w14:solidFill>
              <w14:schemeClr w14:val="tx1"/>
            </w14:solidFill>
          </w14:textFill>
        </w:rPr>
      </w:pPr>
      <w:r>
        <w:rPr>
          <w:rFonts w:hint="default" w:ascii="Times New Roman" w:hAnsi="Times New Roman" w:cs="Times New Roman"/>
          <w:bCs w:val="0"/>
          <w:color w:val="000000" w:themeColor="text1"/>
          <w:kern w:val="0"/>
          <w:sz w:val="28"/>
          <w:szCs w:val="28"/>
          <w:lang w:val="en-US" w:eastAsia="zh-CN"/>
          <w14:textFill>
            <w14:solidFill>
              <w14:schemeClr w14:val="tx1"/>
            </w14:solidFill>
          </w14:textFill>
        </w:rPr>
        <w:t>5.1.2</w:t>
      </w:r>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达标区判定</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14:textFill>
            <w14:solidFill>
              <w14:schemeClr w14:val="tx1"/>
            </w14:solidFill>
          </w14:textFill>
        </w:rPr>
      </w:pPr>
      <w:bookmarkStart w:id="246" w:name="_Hlk534721695"/>
      <w:r>
        <w:rPr>
          <w:rFonts w:hint="default" w:ascii="Times New Roman" w:hAnsi="Times New Roman" w:cs="Times New Roman"/>
          <w:color w:val="000000" w:themeColor="text1"/>
          <w:sz w:val="24"/>
          <w:szCs w:val="24"/>
          <w:lang w:eastAsia="zh-CN"/>
          <w14:textFill>
            <w14:solidFill>
              <w14:schemeClr w14:val="tx1"/>
            </w14:solidFill>
          </w14:textFill>
        </w:rPr>
        <w:t>本项目位于</w:t>
      </w:r>
      <w:r>
        <w:rPr>
          <w:rFonts w:hint="eastAsia" w:ascii="Times New Roman" w:hAnsi="Times New Roman" w:cs="Times New Roman"/>
          <w:color w:val="000000" w:themeColor="text1"/>
          <w:sz w:val="24"/>
          <w:szCs w:val="24"/>
          <w:lang w:eastAsia="zh-CN"/>
          <w14:textFill>
            <w14:solidFill>
              <w14:schemeClr w14:val="tx1"/>
            </w14:solidFill>
          </w14:textFill>
        </w:rPr>
        <w:t>克拉玛依高新技术产业开发区内，隶属于</w:t>
      </w:r>
      <w:r>
        <w:rPr>
          <w:rFonts w:hint="default" w:ascii="Times New Roman" w:hAnsi="Times New Roman" w:cs="Times New Roman"/>
          <w:color w:val="000000" w:themeColor="text1"/>
          <w:sz w:val="24"/>
          <w:szCs w:val="24"/>
          <w14:textFill>
            <w14:solidFill>
              <w14:schemeClr w14:val="tx1"/>
            </w14:solidFill>
          </w14:textFill>
        </w:rPr>
        <w:t>克拉玛依白碱滩区</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本评价采用标准指数法，</w:t>
      </w:r>
      <w:r>
        <w:rPr>
          <w:rFonts w:hint="default" w:ascii="Times New Roman" w:hAnsi="Times New Roman" w:cs="Times New Roman"/>
          <w:color w:val="000000" w:themeColor="text1"/>
          <w:sz w:val="24"/>
          <w:szCs w:val="24"/>
          <w14:textFill>
            <w14:solidFill>
              <w14:schemeClr w14:val="tx1"/>
            </w14:solidFill>
          </w14:textFill>
        </w:rPr>
        <w:t>各项常规监测因子选用克拉玛依白碱滩区环境空气监测站监测数据SO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、NO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2.5</w:t>
      </w:r>
      <w:r>
        <w:rPr>
          <w:rFonts w:hint="default" w:ascii="Times New Roman" w:hAnsi="Times New Roman" w:cs="Times New Roman"/>
          <w:color w:val="000000" w:themeColor="text1"/>
          <w:sz w:val="24"/>
          <w:szCs w:val="24"/>
          <w14:textFill>
            <w14:solidFill>
              <w14:schemeClr w14:val="tx1"/>
            </w14:solidFill>
          </w14:textFill>
        </w:rPr>
        <w:t>、CO、O</w:t>
      </w:r>
      <w:r>
        <w:rPr>
          <w:rFonts w:hint="default" w:ascii="Times New Roman" w:hAnsi="Times New Roman" w:cs="Times New Roman"/>
          <w:color w:val="000000" w:themeColor="text1"/>
          <w:sz w:val="24"/>
          <w:szCs w:val="24"/>
          <w:vertAlign w:val="sub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评价标准执行《环境空气质量标准》(GB3095-2012)二级标准。</w:t>
      </w:r>
      <w:r>
        <w:rPr>
          <w:rFonts w:hint="eastAsia" w:ascii="Times New Roman" w:hAnsi="Times New Roman" w:cs="Times New Roman"/>
          <w:color w:val="000000" w:themeColor="text1"/>
          <w:sz w:val="24"/>
          <w:lang w:eastAsia="zh-CN"/>
          <w14:textFill>
            <w14:solidFill>
              <w14:schemeClr w14:val="tx1"/>
            </w14:solidFill>
          </w14:textFill>
        </w:rPr>
        <w:t>的</w:t>
      </w:r>
      <w:r>
        <w:rPr>
          <w:rFonts w:hint="default" w:ascii="Times New Roman" w:hAnsi="Times New Roman" w:cs="Times New Roman"/>
          <w:color w:val="000000" w:themeColor="text1"/>
          <w:sz w:val="24"/>
          <w:szCs w:val="24"/>
          <w14:textFill>
            <w14:solidFill>
              <w14:schemeClr w14:val="tx1"/>
            </w14:solidFill>
          </w14:textFill>
        </w:rPr>
        <w:t>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、NO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2.5</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年平均值分别为</w:t>
      </w:r>
      <w:r>
        <w:rPr>
          <w:rFonts w:hint="eastAsia" w:ascii="Times New Roman" w:hAnsi="Times New Roman" w:cs="Times New Roman"/>
          <w:color w:val="000000" w:themeColor="text1"/>
          <w:sz w:val="24"/>
          <w:szCs w:val="24"/>
          <w:lang w:val="en-US" w:eastAsia="zh-CN"/>
          <w14:textFill>
            <w14:solidFill>
              <w14:schemeClr w14:val="tx1"/>
            </w14:solidFill>
          </w14:textFill>
        </w:rPr>
        <w:t>5.6</w:t>
      </w:r>
      <w:r>
        <w:rPr>
          <w:rFonts w:hint="default" w:ascii="Times New Roman" w:hAnsi="Times New Roman" w:cs="Times New Roman"/>
          <w:color w:val="000000" w:themeColor="text1"/>
          <w:kern w:val="0"/>
          <w:sz w:val="24"/>
          <w:szCs w:val="24"/>
          <w14:textFill>
            <w14:solidFill>
              <w14:schemeClr w14:val="tx1"/>
            </w14:solidFill>
          </w14:textFill>
        </w:rPr>
        <w:t>μg/m</w:t>
      </w:r>
      <w:r>
        <w:rPr>
          <w:rFonts w:hint="default" w:ascii="Times New Roman" w:hAnsi="Times New Roman" w:cs="Times New Roman"/>
          <w:color w:val="000000" w:themeColor="text1"/>
          <w:kern w:val="0"/>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、6.7</w:t>
      </w:r>
      <w:r>
        <w:rPr>
          <w:rFonts w:hint="default" w:ascii="Times New Roman" w:hAnsi="Times New Roman" w:cs="Times New Roman"/>
          <w:color w:val="000000" w:themeColor="text1"/>
          <w:kern w:val="0"/>
          <w:sz w:val="24"/>
          <w:szCs w:val="24"/>
          <w14:textFill>
            <w14:solidFill>
              <w14:schemeClr w14:val="tx1"/>
            </w14:solidFill>
          </w14:textFill>
        </w:rPr>
        <w:t>μg/m</w:t>
      </w:r>
      <w:r>
        <w:rPr>
          <w:rFonts w:hint="default" w:ascii="Times New Roman" w:hAnsi="Times New Roman" w:cs="Times New Roman"/>
          <w:color w:val="000000" w:themeColor="text1"/>
          <w:kern w:val="0"/>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、67.7</w:t>
      </w:r>
      <w:r>
        <w:rPr>
          <w:rFonts w:hint="default" w:ascii="Times New Roman" w:hAnsi="Times New Roman" w:cs="Times New Roman"/>
          <w:color w:val="000000" w:themeColor="text1"/>
          <w:kern w:val="0"/>
          <w:sz w:val="24"/>
          <w:szCs w:val="24"/>
          <w14:textFill>
            <w14:solidFill>
              <w14:schemeClr w14:val="tx1"/>
            </w14:solidFill>
          </w14:textFill>
        </w:rPr>
        <w:t>μg/m</w:t>
      </w:r>
      <w:r>
        <w:rPr>
          <w:rFonts w:hint="default" w:ascii="Times New Roman" w:hAnsi="Times New Roman" w:cs="Times New Roman"/>
          <w:color w:val="000000" w:themeColor="text1"/>
          <w:kern w:val="0"/>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、31.1</w:t>
      </w:r>
      <w:r>
        <w:rPr>
          <w:rFonts w:hint="default" w:ascii="Times New Roman" w:hAnsi="Times New Roman" w:cs="Times New Roman"/>
          <w:color w:val="000000" w:themeColor="text1"/>
          <w:kern w:val="0"/>
          <w:sz w:val="24"/>
          <w:szCs w:val="24"/>
          <w14:textFill>
            <w14:solidFill>
              <w14:schemeClr w14:val="tx1"/>
            </w14:solidFill>
          </w14:textFill>
        </w:rPr>
        <w:t>μg/m</w:t>
      </w:r>
      <w:r>
        <w:rPr>
          <w:rFonts w:hint="default" w:ascii="Times New Roman" w:hAnsi="Times New Roman" w:cs="Times New Roman"/>
          <w:color w:val="000000" w:themeColor="text1"/>
          <w:kern w:val="0"/>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CO</w:t>
      </w:r>
      <w:r>
        <w:rPr>
          <w:rFonts w:hint="eastAsia" w:ascii="Times New Roman" w:hAnsi="Times New Roman" w:cs="Times New Roman"/>
          <w:color w:val="000000" w:themeColor="text1"/>
          <w:sz w:val="24"/>
          <w:szCs w:val="24"/>
          <w:lang w:val="en-US" w:eastAsia="zh-CN"/>
          <w14:textFill>
            <w14:solidFill>
              <w14:schemeClr w14:val="tx1"/>
            </w14:solidFill>
          </w14:textFill>
        </w:rPr>
        <w:t>24小时平均第95百分位数浓度为1.508</w:t>
      </w:r>
      <w:r>
        <w:rPr>
          <w:rFonts w:hint="default" w:ascii="Times New Roman" w:hAnsi="Times New Roman" w:cs="Times New Roman"/>
          <w:color w:val="000000" w:themeColor="text1"/>
          <w:kern w:val="0"/>
          <w:sz w:val="24"/>
          <w:szCs w:val="24"/>
          <w14:textFill>
            <w14:solidFill>
              <w14:schemeClr w14:val="tx1"/>
            </w14:solidFill>
          </w14:textFill>
        </w:rPr>
        <w:t>mg/m</w:t>
      </w:r>
      <w:r>
        <w:rPr>
          <w:rFonts w:hint="default" w:ascii="Times New Roman" w:hAnsi="Times New Roman" w:cs="Times New Roman"/>
          <w:color w:val="000000" w:themeColor="text1"/>
          <w:kern w:val="0"/>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O</w:t>
      </w:r>
      <w:r>
        <w:rPr>
          <w:rFonts w:hint="default" w:ascii="Times New Roman" w:hAnsi="Times New Roman" w:cs="Times New Roman"/>
          <w:color w:val="000000" w:themeColor="text1"/>
          <w:sz w:val="24"/>
          <w:szCs w:val="24"/>
          <w:vertAlign w:val="sub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最大</w:t>
      </w:r>
      <w:r>
        <w:rPr>
          <w:rFonts w:hint="eastAsia" w:ascii="Times New Roman" w:hAnsi="Times New Roman" w:cs="Times New Roman"/>
          <w:color w:val="000000" w:themeColor="text1"/>
          <w:sz w:val="24"/>
          <w:szCs w:val="24"/>
          <w:lang w:val="en-US" w:eastAsia="zh-CN"/>
          <w14:textFill>
            <w14:solidFill>
              <w14:schemeClr w14:val="tx1"/>
            </w14:solidFill>
          </w14:textFill>
        </w:rPr>
        <w:t>8小时浓度为123</w:t>
      </w:r>
      <w:r>
        <w:rPr>
          <w:rFonts w:hint="default" w:ascii="Times New Roman" w:hAnsi="Times New Roman" w:cs="Times New Roman"/>
          <w:color w:val="000000" w:themeColor="text1"/>
          <w:kern w:val="0"/>
          <w:sz w:val="24"/>
          <w:szCs w:val="24"/>
          <w14:textFill>
            <w14:solidFill>
              <w14:schemeClr w14:val="tx1"/>
            </w14:solidFill>
          </w14:textFill>
        </w:rPr>
        <w:t>μg/m</w:t>
      </w:r>
      <w:r>
        <w:rPr>
          <w:rFonts w:hint="default" w:ascii="Times New Roman" w:hAnsi="Times New Roman" w:cs="Times New Roman"/>
          <w:color w:val="000000" w:themeColor="text1"/>
          <w:kern w:val="0"/>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占标率分别为9.3%、16.8%、96.7%、88.9%、37.0%、76.9%，均</w:t>
      </w:r>
      <w:r>
        <w:rPr>
          <w:rFonts w:hint="default" w:ascii="Times New Roman" w:hAnsi="Times New Roman" w:cs="Times New Roman"/>
          <w:color w:val="000000" w:themeColor="text1"/>
          <w:sz w:val="24"/>
          <w:szCs w:val="24"/>
          <w:lang w:eastAsia="zh-CN"/>
          <w14:textFill>
            <w14:solidFill>
              <w14:schemeClr w14:val="tx1"/>
            </w14:solidFill>
          </w14:textFill>
        </w:rPr>
        <w:t>满足《环境空气质量标准》（GB3095-2012）的二级标准要求，</w:t>
      </w:r>
      <w:r>
        <w:rPr>
          <w:rFonts w:hint="default" w:ascii="Times New Roman" w:hAnsi="Times New Roman" w:cs="Times New Roman"/>
          <w:color w:val="000000" w:themeColor="text1"/>
          <w:sz w:val="24"/>
          <w:szCs w:val="24"/>
          <w14:textFill>
            <w14:solidFill>
              <w14:schemeClr w14:val="tx1"/>
            </w14:solidFill>
          </w14:textFill>
        </w:rPr>
        <w:t>达标</w:t>
      </w:r>
      <w:bookmarkEnd w:id="246"/>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因此，判定项目所在区域属于达标区。</w:t>
      </w:r>
    </w:p>
    <w:p>
      <w:pPr>
        <w:pStyle w:val="5"/>
        <w:keepNext w:val="0"/>
        <w:keepLines w:val="0"/>
        <w:overflowPunct w:val="0"/>
        <w:spacing w:before="0" w:after="0" w:line="360" w:lineRule="auto"/>
        <w:rPr>
          <w:rFonts w:hint="default" w:ascii="Times New Roman" w:hAnsi="Times New Roman" w:cs="Times New Roman"/>
          <w:bCs w:val="0"/>
          <w:color w:val="000000" w:themeColor="text1"/>
          <w:kern w:val="0"/>
          <w:sz w:val="28"/>
          <w:szCs w:val="28"/>
          <w:lang w:val="zh-CN"/>
          <w14:textFill>
            <w14:solidFill>
              <w14:schemeClr w14:val="tx1"/>
            </w14:solidFill>
          </w14:textFill>
        </w:rPr>
      </w:pPr>
      <w:bookmarkStart w:id="247" w:name="_Toc6322"/>
      <w:bookmarkStart w:id="248" w:name="_Toc18030"/>
      <w:bookmarkStart w:id="249" w:name="_Toc28654"/>
      <w:bookmarkStart w:id="250" w:name="_Toc22271"/>
      <w:r>
        <w:rPr>
          <w:rFonts w:hint="default" w:ascii="Times New Roman" w:hAnsi="Times New Roman" w:cs="Times New Roman"/>
          <w:bCs w:val="0"/>
          <w:color w:val="000000" w:themeColor="text1"/>
          <w:kern w:val="0"/>
          <w:sz w:val="28"/>
          <w:szCs w:val="28"/>
          <w:lang w:val="zh-CN"/>
          <w14:textFill>
            <w14:solidFill>
              <w14:schemeClr w14:val="tx1"/>
            </w14:solidFill>
          </w14:textFill>
        </w:rPr>
        <w:t>5.1.3 大气环境影响</w:t>
      </w:r>
      <w:bookmarkEnd w:id="247"/>
      <w:bookmarkEnd w:id="248"/>
      <w:r>
        <w:rPr>
          <w:rFonts w:hint="default" w:ascii="Times New Roman" w:hAnsi="Times New Roman" w:cs="Times New Roman"/>
          <w:bCs w:val="0"/>
          <w:color w:val="000000" w:themeColor="text1"/>
          <w:kern w:val="0"/>
          <w:sz w:val="28"/>
          <w:szCs w:val="28"/>
          <w:lang w:val="zh-CN"/>
          <w14:textFill>
            <w14:solidFill>
              <w14:schemeClr w14:val="tx1"/>
            </w14:solidFill>
          </w14:textFill>
        </w:rPr>
        <w:t>估算及评价</w:t>
      </w:r>
    </w:p>
    <w:p>
      <w:pPr>
        <w:pStyle w:val="6"/>
        <w:snapToGrid w:val="0"/>
        <w:spacing w:beforeLines="50" w:after="0" w:line="360" w:lineRule="auto"/>
        <w:jc w:val="left"/>
        <w:textAlignment w:val="auto"/>
        <w:rPr>
          <w:rFonts w:hint="default" w:ascii="Times New Roman" w:hAnsi="Times New Roman" w:eastAsia="宋体" w:cs="Times New Roman"/>
          <w:bCs w:val="0"/>
          <w:color w:val="000000" w:themeColor="text1"/>
          <w:sz w:val="24"/>
          <w:lang w:eastAsia="zh-CN"/>
          <w14:textFill>
            <w14:solidFill>
              <w14:schemeClr w14:val="tx1"/>
            </w14:solidFill>
          </w14:textFill>
        </w:rPr>
      </w:pPr>
      <w:bookmarkStart w:id="251" w:name="_Toc517195139"/>
      <w:r>
        <w:rPr>
          <w:rFonts w:hint="default" w:ascii="Times New Roman" w:hAnsi="Times New Roman" w:eastAsia="宋体" w:cs="Times New Roman"/>
          <w:bCs w:val="0"/>
          <w:color w:val="000000" w:themeColor="text1"/>
          <w:sz w:val="24"/>
          <w14:textFill>
            <w14:solidFill>
              <w14:schemeClr w14:val="tx1"/>
            </w14:solidFill>
          </w14:textFill>
        </w:rPr>
        <w:t xml:space="preserve">5.1.3.1 </w:t>
      </w:r>
      <w:r>
        <w:rPr>
          <w:rFonts w:hint="default" w:ascii="Times New Roman" w:hAnsi="Times New Roman" w:eastAsia="宋体" w:cs="Times New Roman"/>
          <w:bCs w:val="0"/>
          <w:color w:val="000000" w:themeColor="text1"/>
          <w:sz w:val="24"/>
          <w:lang w:eastAsia="zh-CN"/>
          <w14:textFill>
            <w14:solidFill>
              <w14:schemeClr w14:val="tx1"/>
            </w14:solidFill>
          </w14:textFill>
        </w:rPr>
        <w:t>大气等级评定计算过程</w:t>
      </w:r>
    </w:p>
    <w:p>
      <w:pPr>
        <w:overflowPunct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overflowPunct w:val="0"/>
        <w:spacing w:line="360" w:lineRule="auto"/>
        <w:ind w:firstLine="480" w:firstLineChars="200"/>
        <w:rPr>
          <w:rFonts w:hint="default" w:ascii="Times New Roman" w:hAnsi="Times New Roman" w:eastAsia="宋体" w:cs="Times New Roman"/>
          <w:color w:val="000000" w:themeColor="text1"/>
          <w:kern w:val="18"/>
          <w:sz w:val="24"/>
          <w:szCs w:val="24"/>
          <w:lang w:val="en-US" w:eastAsia="zh-CN"/>
          <w14:textFill>
            <w14:solidFill>
              <w14:schemeClr w14:val="tx1"/>
            </w14:solidFill>
          </w14:textFill>
        </w:rPr>
      </w:pPr>
      <w:r>
        <w:rPr>
          <w:rFonts w:hint="default" w:ascii="Times New Roman" w:hAnsi="Times New Roman" w:cs="Times New Roman"/>
          <w:color w:val="000000" w:themeColor="text1"/>
          <w:kern w:val="18"/>
          <w:sz w:val="24"/>
          <w:szCs w:val="24"/>
          <w:lang w:eastAsia="zh-CN"/>
          <w14:textFill>
            <w14:solidFill>
              <w14:schemeClr w14:val="tx1"/>
            </w14:solidFill>
          </w14:textFill>
        </w:rPr>
        <w:t>主要污染源参数及估算模型参数见</w:t>
      </w:r>
      <w:r>
        <w:rPr>
          <w:rFonts w:hint="eastAsia" w:ascii="Times New Roman" w:hAnsi="Times New Roman" w:cs="Times New Roman"/>
          <w:color w:val="000000" w:themeColor="text1"/>
          <w:kern w:val="18"/>
          <w:sz w:val="24"/>
          <w:szCs w:val="24"/>
          <w:lang w:val="en-US" w:eastAsia="zh-CN"/>
          <w14:textFill>
            <w14:solidFill>
              <w14:schemeClr w14:val="tx1"/>
            </w14:solidFill>
          </w14:textFill>
        </w:rPr>
        <w:t>1.3.1</w:t>
      </w:r>
      <w:r>
        <w:rPr>
          <w:rFonts w:hint="default" w:ascii="Times New Roman" w:hAnsi="Times New Roman" w:cs="Times New Roman"/>
          <w:color w:val="000000" w:themeColor="text1"/>
          <w:kern w:val="18"/>
          <w:sz w:val="24"/>
          <w:szCs w:val="24"/>
          <w:lang w:val="en-US" w:eastAsia="zh-CN"/>
          <w14:textFill>
            <w14:solidFill>
              <w14:schemeClr w14:val="tx1"/>
            </w14:solidFill>
          </w14:textFill>
        </w:rPr>
        <w:t>大气环境影响评价等级判定章节，</w:t>
      </w:r>
      <w:r>
        <w:rPr>
          <w:rFonts w:hint="default" w:ascii="Times New Roman" w:hAnsi="Times New Roman" w:eastAsia="宋体" w:cs="Times New Roman"/>
          <w:color w:val="000000" w:themeColor="text1"/>
          <w:kern w:val="18"/>
          <w:sz w:val="24"/>
          <w:szCs w:val="24"/>
          <w:lang w:eastAsia="zh-CN"/>
          <w14:textFill>
            <w14:solidFill>
              <w14:schemeClr w14:val="tx1"/>
            </w14:solidFill>
          </w14:textFill>
        </w:rPr>
        <w:t>本项目所有污染源的正常排放的污染物的P</w:t>
      </w:r>
      <w:r>
        <w:rPr>
          <w:rFonts w:hint="default" w:ascii="Times New Roman" w:hAnsi="Times New Roman" w:eastAsia="宋体" w:cs="Times New Roman"/>
          <w:color w:val="000000" w:themeColor="text1"/>
          <w:kern w:val="18"/>
          <w:sz w:val="24"/>
          <w:szCs w:val="24"/>
          <w:vertAlign w:val="subscript"/>
          <w:lang w:eastAsia="zh-CN"/>
          <w14:textFill>
            <w14:solidFill>
              <w14:schemeClr w14:val="tx1"/>
            </w14:solidFill>
          </w14:textFill>
        </w:rPr>
        <w:t>max</w:t>
      </w:r>
      <w:r>
        <w:rPr>
          <w:rFonts w:hint="default" w:ascii="Times New Roman" w:hAnsi="Times New Roman" w:eastAsia="宋体" w:cs="Times New Roman"/>
          <w:color w:val="000000" w:themeColor="text1"/>
          <w:kern w:val="18"/>
          <w:sz w:val="24"/>
          <w:szCs w:val="24"/>
          <w:lang w:eastAsia="zh-CN"/>
          <w14:textFill>
            <w14:solidFill>
              <w14:schemeClr w14:val="tx1"/>
            </w14:solidFill>
          </w14:textFill>
        </w:rPr>
        <w:t>和D</w:t>
      </w:r>
      <w:r>
        <w:rPr>
          <w:rFonts w:hint="default" w:ascii="Times New Roman" w:hAnsi="Times New Roman" w:eastAsia="宋体" w:cs="Times New Roman"/>
          <w:color w:val="000000" w:themeColor="text1"/>
          <w:kern w:val="18"/>
          <w:sz w:val="24"/>
          <w:szCs w:val="24"/>
          <w:vertAlign w:val="subscript"/>
          <w:lang w:eastAsia="zh-CN"/>
          <w14:textFill>
            <w14:solidFill>
              <w14:schemeClr w14:val="tx1"/>
            </w14:solidFill>
          </w14:textFill>
        </w:rPr>
        <w:t>10%</w:t>
      </w:r>
      <w:r>
        <w:rPr>
          <w:rFonts w:hint="default" w:ascii="Times New Roman" w:hAnsi="Times New Roman" w:eastAsia="宋体" w:cs="Times New Roman"/>
          <w:color w:val="000000" w:themeColor="text1"/>
          <w:kern w:val="18"/>
          <w:sz w:val="24"/>
          <w:szCs w:val="24"/>
          <w:lang w:eastAsia="zh-CN"/>
          <w14:textFill>
            <w14:solidFill>
              <w14:schemeClr w14:val="tx1"/>
            </w14:solidFill>
          </w14:textFill>
        </w:rPr>
        <w:t>预测结果</w:t>
      </w:r>
      <w:r>
        <w:rPr>
          <w:rFonts w:hint="default" w:ascii="Times New Roman" w:hAnsi="Times New Roman" w:cs="Times New Roman"/>
          <w:color w:val="000000" w:themeColor="text1"/>
          <w:kern w:val="18"/>
          <w:sz w:val="24"/>
          <w:szCs w:val="24"/>
          <w:lang w:eastAsia="zh-CN"/>
          <w14:textFill>
            <w14:solidFill>
              <w14:schemeClr w14:val="tx1"/>
            </w14:solidFill>
          </w14:textFill>
        </w:rPr>
        <w:t>，见表</w:t>
      </w:r>
      <w:r>
        <w:rPr>
          <w:rFonts w:hint="default" w:ascii="Times New Roman" w:hAnsi="Times New Roman" w:cs="Times New Roman"/>
          <w:color w:val="000000" w:themeColor="text1"/>
          <w:kern w:val="18"/>
          <w:sz w:val="24"/>
          <w:szCs w:val="24"/>
          <w:lang w:val="en-US" w:eastAsia="zh-CN"/>
          <w14:textFill>
            <w14:solidFill>
              <w14:schemeClr w14:val="tx1"/>
            </w14:solidFill>
          </w14:textFill>
        </w:rPr>
        <w:t>5.1-</w:t>
      </w:r>
      <w:r>
        <w:rPr>
          <w:rFonts w:hint="eastAsia" w:ascii="Times New Roman" w:hAnsi="Times New Roman" w:cs="Times New Roman"/>
          <w:color w:val="000000" w:themeColor="text1"/>
          <w:kern w:val="18"/>
          <w:sz w:val="24"/>
          <w:szCs w:val="24"/>
          <w:lang w:val="en-US" w:eastAsia="zh-CN"/>
          <w14:textFill>
            <w14:solidFill>
              <w14:schemeClr w14:val="tx1"/>
            </w14:solidFill>
          </w14:textFill>
        </w:rPr>
        <w:t>6</w:t>
      </w:r>
      <w:r>
        <w:rPr>
          <w:rFonts w:hint="default" w:ascii="Times New Roman" w:hAnsi="Times New Roman" w:cs="Times New Roman"/>
          <w:color w:val="000000" w:themeColor="text1"/>
          <w:kern w:val="18"/>
          <w:sz w:val="24"/>
          <w:szCs w:val="24"/>
          <w:lang w:val="en-US" w:eastAsia="zh-CN"/>
          <w14:textFill>
            <w14:solidFill>
              <w14:schemeClr w14:val="tx1"/>
            </w14:solidFill>
          </w14:textFill>
        </w:rPr>
        <w:t>，点源结果表，见表5.1-</w:t>
      </w:r>
      <w:r>
        <w:rPr>
          <w:rFonts w:hint="eastAsia" w:ascii="Times New Roman" w:hAnsi="Times New Roman" w:cs="Times New Roman"/>
          <w:color w:val="000000" w:themeColor="text1"/>
          <w:kern w:val="18"/>
          <w:sz w:val="24"/>
          <w:szCs w:val="24"/>
          <w:lang w:val="en-US" w:eastAsia="zh-CN"/>
          <w14:textFill>
            <w14:solidFill>
              <w14:schemeClr w14:val="tx1"/>
            </w14:solidFill>
          </w14:textFill>
        </w:rPr>
        <w:t>7</w:t>
      </w:r>
      <w:r>
        <w:rPr>
          <w:rFonts w:hint="default" w:ascii="Times New Roman" w:hAnsi="Times New Roman" w:cs="Times New Roman"/>
          <w:color w:val="000000" w:themeColor="text1"/>
          <w:kern w:val="18"/>
          <w:sz w:val="24"/>
          <w:szCs w:val="24"/>
          <w:lang w:val="en-US" w:eastAsia="zh-CN"/>
          <w14:textFill>
            <w14:solidFill>
              <w14:schemeClr w14:val="tx1"/>
            </w14:solidFill>
          </w14:textFill>
        </w:rPr>
        <w:t>。</w:t>
      </w:r>
    </w:p>
    <w:p>
      <w:pPr>
        <w:keepNext w:val="0"/>
        <w:keepLines w:val="0"/>
        <w:pageBreakBefore w:val="0"/>
        <w:widowControl w:val="0"/>
        <w:shd w:val="clear" w:color="auto" w:fill="auto"/>
        <w:kinsoku/>
        <w:wordWrap/>
        <w:overflowPunct/>
        <w:topLinePunct w:val="0"/>
        <w:autoSpaceDE/>
        <w:autoSpaceDN/>
        <w:bidi w:val="0"/>
        <w:adjustRightInd/>
        <w:snapToGrid/>
        <w:spacing w:before="164" w:beforeLines="50" w:line="240" w:lineRule="auto"/>
        <w:jc w:val="center"/>
        <w:textAlignment w:val="auto"/>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t>表5.1-</w:t>
      </w:r>
      <w:r>
        <w:rPr>
          <w:rFonts w:hint="eastAsia" w:ascii="Times New Roman" w:hAnsi="Times New Roman" w:eastAsia="黑体" w:cs="Times New Roman"/>
          <w:color w:val="000000" w:themeColor="text1"/>
          <w:kern w:val="2"/>
          <w:sz w:val="21"/>
          <w:szCs w:val="22"/>
          <w:lang w:val="en-US" w:eastAsia="zh-CN" w:bidi="ar-SA"/>
          <w14:textFill>
            <w14:solidFill>
              <w14:schemeClr w14:val="tx1"/>
            </w14:solidFill>
          </w14:textFill>
        </w:rPr>
        <w:t>6</w:t>
      </w:r>
      <w:r>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t xml:space="preserve">     Pmax和D10%预测和计算结果一览表</w:t>
      </w:r>
    </w:p>
    <w:tbl>
      <w:tblPr>
        <w:tblStyle w:val="22"/>
        <w:tblW w:w="8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185"/>
        <w:gridCol w:w="1768"/>
        <w:gridCol w:w="1577"/>
        <w:gridCol w:w="1575"/>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1306"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污染源名称</w:t>
            </w:r>
          </w:p>
        </w:tc>
        <w:tc>
          <w:tcPr>
            <w:tcW w:w="1185"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评价因子</w:t>
            </w:r>
          </w:p>
        </w:tc>
        <w:tc>
          <w:tcPr>
            <w:tcW w:w="1768"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评价标准(μg/m</w:t>
            </w:r>
            <w:r>
              <w:rPr>
                <w:rFonts w:hint="default" w:ascii="Times New Roman" w:hAnsi="Times New Roman" w:eastAsia="宋体" w:cs="Times New Roman"/>
                <w:color w:val="000000" w:themeColor="text1"/>
                <w:kern w:val="18"/>
                <w:sz w:val="21"/>
                <w:szCs w:val="2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w:t>
            </w:r>
          </w:p>
        </w:tc>
        <w:tc>
          <w:tcPr>
            <w:tcW w:w="1577"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Cmax(μg/m</w:t>
            </w:r>
            <w:r>
              <w:rPr>
                <w:rFonts w:hint="default" w:ascii="Times New Roman" w:hAnsi="Times New Roman" w:eastAsia="宋体" w:cs="Times New Roman"/>
                <w:color w:val="000000" w:themeColor="text1"/>
                <w:kern w:val="18"/>
                <w:sz w:val="21"/>
                <w:szCs w:val="2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w:t>
            </w:r>
          </w:p>
        </w:tc>
        <w:tc>
          <w:tcPr>
            <w:tcW w:w="1575"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Pmax(%)</w:t>
            </w:r>
          </w:p>
        </w:tc>
        <w:tc>
          <w:tcPr>
            <w:tcW w:w="1104"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D10%(m)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306" w:type="dxa"/>
            <w:vMerge w:val="restart"/>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cs="Times New Roman"/>
                <w:color w:val="000000" w:themeColor="text1"/>
                <w:kern w:val="18"/>
                <w:sz w:val="21"/>
                <w:szCs w:val="21"/>
                <w:lang w:val="en-US" w:eastAsia="zh-CN"/>
                <w14:textFill>
                  <w14:solidFill>
                    <w14:schemeClr w14:val="tx1"/>
                  </w14:solidFill>
                </w14:textFill>
              </w:rPr>
              <w:t>烟囱</w:t>
            </w:r>
          </w:p>
        </w:tc>
        <w:tc>
          <w:tcPr>
            <w:tcW w:w="1185"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default" w:ascii="Times New Roman" w:hAnsi="Times New Roman" w:cs="Times New Roman"/>
                <w:color w:val="000000" w:themeColor="text1"/>
                <w:kern w:val="18"/>
                <w:sz w:val="21"/>
                <w:szCs w:val="21"/>
                <w:lang w:val="en-US" w:eastAsia="zh-CN"/>
                <w14:textFill>
                  <w14:solidFill>
                    <w14:schemeClr w14:val="tx1"/>
                  </w14:solidFill>
                </w14:textFill>
              </w:rPr>
              <w:t>NO</w:t>
            </w:r>
            <w:r>
              <w:rPr>
                <w:rFonts w:hint="default" w:ascii="Times New Roman" w:hAnsi="Times New Roman" w:cs="Times New Roman"/>
                <w:color w:val="000000" w:themeColor="text1"/>
                <w:kern w:val="18"/>
                <w:sz w:val="21"/>
                <w:szCs w:val="21"/>
                <w:vertAlign w:val="subscript"/>
                <w:lang w:val="en-US" w:eastAsia="zh-CN"/>
                <w14:textFill>
                  <w14:solidFill>
                    <w14:schemeClr w14:val="tx1"/>
                  </w14:solidFill>
                </w14:textFill>
              </w:rPr>
              <w:t>x</w:t>
            </w:r>
          </w:p>
        </w:tc>
        <w:tc>
          <w:tcPr>
            <w:tcW w:w="1768"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default" w:ascii="Times New Roman" w:hAnsi="Times New Roman" w:cs="Times New Roman"/>
                <w:color w:val="000000" w:themeColor="text1"/>
                <w:kern w:val="18"/>
                <w:sz w:val="21"/>
                <w:szCs w:val="21"/>
                <w:lang w:val="en-US" w:eastAsia="zh-CN"/>
                <w14:textFill>
                  <w14:solidFill>
                    <w14:schemeClr w14:val="tx1"/>
                  </w14:solidFill>
                </w14:textFill>
              </w:rPr>
              <w:t>2</w:t>
            </w:r>
            <w:r>
              <w:rPr>
                <w:rFonts w:hint="eastAsia" w:ascii="Times New Roman" w:hAnsi="Times New Roman" w:cs="Times New Roman"/>
                <w:color w:val="000000" w:themeColor="text1"/>
                <w:kern w:val="18"/>
                <w:sz w:val="21"/>
                <w:szCs w:val="21"/>
                <w:lang w:val="en-US" w:eastAsia="zh-CN"/>
                <w14:textFill>
                  <w14:solidFill>
                    <w14:schemeClr w14:val="tx1"/>
                  </w14:solidFill>
                </w14:textFill>
              </w:rPr>
              <w:t>50</w:t>
            </w:r>
            <w:r>
              <w:rPr>
                <w:rFonts w:hint="default" w:ascii="Times New Roman" w:hAnsi="Times New Roman" w:cs="Times New Roman"/>
                <w:color w:val="000000" w:themeColor="text1"/>
                <w:kern w:val="18"/>
                <w:sz w:val="21"/>
                <w:szCs w:val="21"/>
                <w:lang w:val="en-US" w:eastAsia="zh-CN"/>
                <w14:textFill>
                  <w14:solidFill>
                    <w14:schemeClr w14:val="tx1"/>
                  </w14:solidFill>
                </w14:textFill>
              </w:rPr>
              <w:t>.0</w:t>
            </w:r>
          </w:p>
        </w:tc>
        <w:tc>
          <w:tcPr>
            <w:tcW w:w="1577"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1</w:t>
            </w:r>
            <w:r>
              <w:rPr>
                <w:rFonts w:hint="eastAsia" w:cs="Times New Roman"/>
                <w:color w:val="000000" w:themeColor="text1"/>
                <w:kern w:val="18"/>
                <w:sz w:val="21"/>
                <w:szCs w:val="21"/>
                <w:lang w:val="en-US" w:eastAsia="zh-CN"/>
                <w14:textFill>
                  <w14:solidFill>
                    <w14:schemeClr w14:val="tx1"/>
                  </w14:solidFill>
                </w14:textFill>
              </w:rPr>
              <w:t>3</w:t>
            </w:r>
            <w:r>
              <w:rPr>
                <w:rFonts w:hint="default" w:ascii="Times New Roman" w:hAnsi="Times New Roman" w:cs="Times New Roman"/>
                <w:color w:val="000000" w:themeColor="text1"/>
                <w:kern w:val="18"/>
                <w:sz w:val="21"/>
                <w:szCs w:val="21"/>
                <w:lang w:val="en-US" w:eastAsia="zh-CN"/>
                <w14:textFill>
                  <w14:solidFill>
                    <w14:schemeClr w14:val="tx1"/>
                  </w14:solidFill>
                </w14:textFill>
              </w:rPr>
              <w:t>.0</w:t>
            </w:r>
          </w:p>
        </w:tc>
        <w:tc>
          <w:tcPr>
            <w:tcW w:w="1575"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cs="Times New Roman"/>
                <w:color w:val="000000" w:themeColor="text1"/>
                <w:kern w:val="18"/>
                <w:sz w:val="21"/>
                <w:szCs w:val="21"/>
                <w:lang w:val="en-US" w:eastAsia="zh-CN"/>
                <w14:textFill>
                  <w14:solidFill>
                    <w14:schemeClr w14:val="tx1"/>
                  </w14:solidFill>
                </w14:textFill>
              </w:rPr>
              <w:t>5</w:t>
            </w:r>
            <w:r>
              <w:rPr>
                <w:rFonts w:hint="default" w:ascii="Times New Roman" w:hAnsi="Times New Roman" w:cs="Times New Roman"/>
                <w:color w:val="000000" w:themeColor="text1"/>
                <w:kern w:val="18"/>
                <w:sz w:val="21"/>
                <w:szCs w:val="21"/>
                <w:lang w:val="en-US" w:eastAsia="zh-CN"/>
                <w14:textFill>
                  <w14:solidFill>
                    <w14:schemeClr w14:val="tx1"/>
                  </w14:solidFill>
                </w14:textFill>
              </w:rPr>
              <w:t>.0</w:t>
            </w:r>
          </w:p>
        </w:tc>
        <w:tc>
          <w:tcPr>
            <w:tcW w:w="1104"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306"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eastAsia="zh-CN"/>
                <w14:textFill>
                  <w14:solidFill>
                    <w14:schemeClr w14:val="tx1"/>
                  </w14:solidFill>
                </w14:textFill>
              </w:rPr>
            </w:pPr>
          </w:p>
        </w:tc>
        <w:tc>
          <w:tcPr>
            <w:tcW w:w="1185"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SO</w:t>
            </w:r>
            <w:r>
              <w:rPr>
                <w:rFonts w:hint="default" w:ascii="Times New Roman" w:hAnsi="Times New Roman" w:eastAsia="宋体" w:cs="Times New Roman"/>
                <w:color w:val="000000" w:themeColor="text1"/>
                <w:kern w:val="18"/>
                <w:sz w:val="21"/>
                <w:szCs w:val="21"/>
                <w:vertAlign w:val="subscript"/>
                <w:lang w:eastAsia="zh-CN"/>
                <w14:textFill>
                  <w14:solidFill>
                    <w14:schemeClr w14:val="tx1"/>
                  </w14:solidFill>
                </w14:textFill>
              </w:rPr>
              <w:t>2</w:t>
            </w:r>
          </w:p>
        </w:tc>
        <w:tc>
          <w:tcPr>
            <w:tcW w:w="1768"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50</w:t>
            </w:r>
            <w:r>
              <w:rPr>
                <w:rFonts w:hint="eastAsia" w:ascii="Times New Roman" w:hAnsi="Times New Roman" w:cs="Times New Roman"/>
                <w:color w:val="000000" w:themeColor="text1"/>
                <w:kern w:val="18"/>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.0</w:t>
            </w:r>
          </w:p>
        </w:tc>
        <w:tc>
          <w:tcPr>
            <w:tcW w:w="1577"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eastAsia="zh-CN"/>
                <w14:textFill>
                  <w14:solidFill>
                    <w14:schemeClr w14:val="tx1"/>
                  </w14:solidFill>
                </w14:textFill>
              </w:rPr>
            </w:pPr>
            <w:r>
              <w:rPr>
                <w:rFonts w:hint="eastAsia" w:cs="Times New Roman"/>
                <w:color w:val="000000" w:themeColor="text1"/>
                <w:kern w:val="18"/>
                <w:sz w:val="21"/>
                <w:szCs w:val="21"/>
                <w:lang w:val="en-US" w:eastAsia="zh-CN"/>
                <w14:textFill>
                  <w14:solidFill>
                    <w14:schemeClr w14:val="tx1"/>
                  </w14:solidFill>
                </w14:textFill>
              </w:rPr>
              <w:t>23</w:t>
            </w: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.0</w:t>
            </w:r>
          </w:p>
        </w:tc>
        <w:tc>
          <w:tcPr>
            <w:tcW w:w="1575"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eastAsia="zh-CN"/>
                <w14:textFill>
                  <w14:solidFill>
                    <w14:schemeClr w14:val="tx1"/>
                  </w14:solidFill>
                </w14:textFill>
              </w:rPr>
            </w:pPr>
            <w:r>
              <w:rPr>
                <w:rFonts w:hint="eastAsia" w:cs="Times New Roman"/>
                <w:color w:val="000000" w:themeColor="text1"/>
                <w:kern w:val="18"/>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.0</w:t>
            </w:r>
          </w:p>
        </w:tc>
        <w:tc>
          <w:tcPr>
            <w:tcW w:w="1104"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306" w:type="dxa"/>
            <w:vMerge w:val="continue"/>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eastAsia="zh-CN"/>
                <w14:textFill>
                  <w14:solidFill>
                    <w14:schemeClr w14:val="tx1"/>
                  </w14:solidFill>
                </w14:textFill>
              </w:rPr>
            </w:pPr>
          </w:p>
        </w:tc>
        <w:tc>
          <w:tcPr>
            <w:tcW w:w="1185"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PM</w:t>
            </w:r>
            <w:r>
              <w:rPr>
                <w:rFonts w:hint="eastAsia" w:ascii="Times New Roman" w:hAnsi="Times New Roman" w:cs="Times New Roman"/>
                <w:color w:val="000000" w:themeColor="text1"/>
                <w:kern w:val="18"/>
                <w:sz w:val="21"/>
                <w:szCs w:val="21"/>
                <w:vertAlign w:val="subscript"/>
                <w:lang w:val="en-US" w:eastAsia="zh-CN"/>
                <w14:textFill>
                  <w14:solidFill>
                    <w14:schemeClr w14:val="tx1"/>
                  </w14:solidFill>
                </w14:textFill>
              </w:rPr>
              <w:t>10</w:t>
            </w:r>
          </w:p>
        </w:tc>
        <w:tc>
          <w:tcPr>
            <w:tcW w:w="1768"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150</w:t>
            </w: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.0</w:t>
            </w:r>
          </w:p>
        </w:tc>
        <w:tc>
          <w:tcPr>
            <w:tcW w:w="1577"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eastAsia="zh-CN"/>
                <w14:textFill>
                  <w14:solidFill>
                    <w14:schemeClr w14:val="tx1"/>
                  </w14:solidFill>
                </w14:textFill>
              </w:rPr>
            </w:pPr>
            <w:r>
              <w:rPr>
                <w:rFonts w:hint="eastAsia" w:cs="Times New Roman"/>
                <w:color w:val="000000" w:themeColor="text1"/>
                <w:kern w:val="18"/>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.0</w:t>
            </w:r>
          </w:p>
        </w:tc>
        <w:tc>
          <w:tcPr>
            <w:tcW w:w="1575"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.0</w:t>
            </w:r>
          </w:p>
        </w:tc>
        <w:tc>
          <w:tcPr>
            <w:tcW w:w="1104"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18"/>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before="164" w:beforeLines="50" w:line="240" w:lineRule="auto"/>
        <w:jc w:val="center"/>
        <w:textAlignment w:val="auto"/>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t>表5.1-</w:t>
      </w:r>
      <w:r>
        <w:rPr>
          <w:rFonts w:hint="eastAsia" w:eastAsia="黑体" w:cs="Times New Roman"/>
          <w:color w:val="000000" w:themeColor="text1"/>
          <w:kern w:val="2"/>
          <w:sz w:val="21"/>
          <w:szCs w:val="22"/>
          <w:lang w:val="en-US" w:eastAsia="zh-CN" w:bidi="ar-SA"/>
          <w14:textFill>
            <w14:solidFill>
              <w14:schemeClr w14:val="tx1"/>
            </w14:solidFill>
          </w14:textFill>
        </w:rPr>
        <w:t>7</w:t>
      </w:r>
      <w:r>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t xml:space="preserve">   点源结果表</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320"/>
        <w:gridCol w:w="1090"/>
        <w:gridCol w:w="1350"/>
        <w:gridCol w:w="1221"/>
        <w:gridCol w:w="1220"/>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trPr>
        <w:tc>
          <w:tcPr>
            <w:tcW w:w="1211" w:type="dxa"/>
            <w:vMerge w:val="restart"/>
            <w:noWrap w:val="0"/>
            <w:vAlign w:val="center"/>
          </w:tcPr>
          <w:p>
            <w:pPr>
              <w:pStyle w:val="134"/>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下方向距离(m)</w:t>
            </w:r>
          </w:p>
        </w:tc>
        <w:tc>
          <w:tcPr>
            <w:tcW w:w="7311" w:type="dxa"/>
            <w:gridSpan w:val="6"/>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121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4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kern w:val="18"/>
                <w:sz w:val="21"/>
                <w:szCs w:val="21"/>
                <w:lang w:val="en-US" w:eastAsia="zh-CN"/>
                <w14:textFill>
                  <w14:solidFill>
                    <w14:schemeClr w14:val="tx1"/>
                  </w14:solidFill>
                </w14:textFill>
              </w:rPr>
              <w:t>NO</w:t>
            </w:r>
            <w:r>
              <w:rPr>
                <w:rFonts w:hint="default" w:ascii="Times New Roman" w:hAnsi="Times New Roman" w:cs="Times New Roman"/>
                <w:color w:val="000000" w:themeColor="text1"/>
                <w:kern w:val="18"/>
                <w:sz w:val="21"/>
                <w:szCs w:val="21"/>
                <w:vertAlign w:val="subscript"/>
                <w:lang w:val="en-US" w:eastAsia="zh-CN"/>
                <w14:textFill>
                  <w14:solidFill>
                    <w14:schemeClr w14:val="tx1"/>
                  </w14:solidFill>
                </w14:textFill>
              </w:rPr>
              <w:t>x</w:t>
            </w:r>
          </w:p>
        </w:tc>
        <w:tc>
          <w:tcPr>
            <w:tcW w:w="257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18"/>
                <w:sz w:val="21"/>
                <w:szCs w:val="21"/>
                <w:lang w:eastAsia="zh-CN"/>
                <w14:textFill>
                  <w14:solidFill>
                    <w14:schemeClr w14:val="tx1"/>
                  </w14:solidFill>
                </w14:textFill>
              </w:rPr>
              <w:t>SO</w:t>
            </w:r>
            <w:r>
              <w:rPr>
                <w:rFonts w:hint="default" w:ascii="Times New Roman" w:hAnsi="Times New Roman" w:eastAsia="宋体" w:cs="Times New Roman"/>
                <w:color w:val="000000" w:themeColor="text1"/>
                <w:kern w:val="18"/>
                <w:sz w:val="21"/>
                <w:szCs w:val="21"/>
                <w:vertAlign w:val="subscript"/>
                <w:lang w:eastAsia="zh-CN"/>
                <w14:textFill>
                  <w14:solidFill>
                    <w14:schemeClr w14:val="tx1"/>
                  </w14:solidFill>
                </w14:textFill>
              </w:rPr>
              <w:t>2</w:t>
            </w:r>
          </w:p>
        </w:tc>
        <w:tc>
          <w:tcPr>
            <w:tcW w:w="23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PM</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121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浓度ug/m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占标率%</w:t>
            </w:r>
          </w:p>
        </w:tc>
        <w:tc>
          <w:tcPr>
            <w:tcW w:w="135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浓度ug/m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22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占标率%</w:t>
            </w:r>
          </w:p>
        </w:tc>
        <w:tc>
          <w:tcPr>
            <w:tcW w:w="122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浓度</w:t>
            </w:r>
            <w:r>
              <w:rPr>
                <w:rFonts w:hint="default" w:ascii="Times New Roman" w:hAnsi="Times New Roman" w:cs="Times New Roman"/>
                <w:color w:val="000000" w:themeColor="text1"/>
                <w:sz w:val="21"/>
                <w:szCs w:val="21"/>
                <w14:textFill>
                  <w14:solidFill>
                    <w14:schemeClr w14:val="tx1"/>
                  </w14:solidFill>
                </w14:textFill>
              </w:rPr>
              <w:t>ug/m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p>
        </w:tc>
        <w:tc>
          <w:tcPr>
            <w:tcW w:w="135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p>
        </w:tc>
        <w:tc>
          <w:tcPr>
            <w:tcW w:w="122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0.0</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.0</w:t>
            </w:r>
          </w:p>
        </w:tc>
        <w:tc>
          <w:tcPr>
            <w:tcW w:w="135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cs="Times New Roman"/>
                <w:color w:val="000000" w:themeColor="text1"/>
                <w:sz w:val="21"/>
                <w:szCs w:val="21"/>
                <w14:textFill>
                  <w14:solidFill>
                    <w14:schemeClr w14:val="tx1"/>
                  </w14:solidFill>
                </w14:textFill>
              </w:rPr>
              <w:t>.0</w:t>
            </w:r>
          </w:p>
        </w:tc>
        <w:tc>
          <w:tcPr>
            <w:tcW w:w="122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.0</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1.0</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.0</w:t>
            </w:r>
          </w:p>
        </w:tc>
        <w:tc>
          <w:tcPr>
            <w:tcW w:w="135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12</w:t>
            </w:r>
            <w:r>
              <w:rPr>
                <w:rFonts w:hint="default" w:ascii="Times New Roman" w:hAnsi="Times New Roman" w:cs="Times New Roman"/>
                <w:color w:val="000000" w:themeColor="text1"/>
                <w:sz w:val="21"/>
                <w:szCs w:val="21"/>
                <w14:textFill>
                  <w14:solidFill>
                    <w14:schemeClr w14:val="tx1"/>
                  </w14:solidFill>
                </w14:textFill>
              </w:rPr>
              <w:t>.0</w:t>
            </w:r>
          </w:p>
        </w:tc>
        <w:tc>
          <w:tcPr>
            <w:tcW w:w="122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.0</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2.0</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300</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.0</w:t>
            </w:r>
          </w:p>
        </w:tc>
        <w:tc>
          <w:tcPr>
            <w:tcW w:w="135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.0</w:t>
            </w:r>
          </w:p>
        </w:tc>
        <w:tc>
          <w:tcPr>
            <w:tcW w:w="122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.0</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2.0</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400</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.0</w:t>
            </w:r>
          </w:p>
        </w:tc>
        <w:tc>
          <w:tcPr>
            <w:tcW w:w="135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12.0</w:t>
            </w:r>
          </w:p>
        </w:tc>
        <w:tc>
          <w:tcPr>
            <w:tcW w:w="1221"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2.0</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2.0</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cs="Times New Roman"/>
                <w:color w:val="000000" w:themeColor="text1"/>
                <w:sz w:val="21"/>
                <w:szCs w:val="21"/>
                <w14:textFill>
                  <w14:solidFill>
                    <w14:schemeClr w14:val="tx1"/>
                  </w14:solidFill>
                </w14:textFill>
              </w:rPr>
              <w:t>.0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.0</w:t>
            </w:r>
          </w:p>
        </w:tc>
        <w:tc>
          <w:tcPr>
            <w:tcW w:w="135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16.0</w:t>
            </w:r>
          </w:p>
        </w:tc>
        <w:tc>
          <w:tcPr>
            <w:tcW w:w="1221"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3.0</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2.0</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600</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.0</w:t>
            </w:r>
          </w:p>
        </w:tc>
        <w:tc>
          <w:tcPr>
            <w:tcW w:w="135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18.0</w:t>
            </w:r>
          </w:p>
        </w:tc>
        <w:tc>
          <w:tcPr>
            <w:tcW w:w="1221"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4.0</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3.0</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700</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.0</w:t>
            </w:r>
          </w:p>
        </w:tc>
        <w:tc>
          <w:tcPr>
            <w:tcW w:w="135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18.0</w:t>
            </w:r>
          </w:p>
        </w:tc>
        <w:tc>
          <w:tcPr>
            <w:tcW w:w="1221"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4.0</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3.0</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800</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.0</w:t>
            </w:r>
          </w:p>
        </w:tc>
        <w:tc>
          <w:tcPr>
            <w:tcW w:w="135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18.0</w:t>
            </w:r>
          </w:p>
        </w:tc>
        <w:tc>
          <w:tcPr>
            <w:tcW w:w="1221"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4.0</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3.0</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900</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.0</w:t>
            </w:r>
          </w:p>
        </w:tc>
        <w:tc>
          <w:tcPr>
            <w:tcW w:w="135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17.0</w:t>
            </w:r>
          </w:p>
        </w:tc>
        <w:tc>
          <w:tcPr>
            <w:tcW w:w="1221"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3.0</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3.0</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1000</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.0</w:t>
            </w:r>
          </w:p>
        </w:tc>
        <w:tc>
          <w:tcPr>
            <w:tcW w:w="135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18.0</w:t>
            </w:r>
          </w:p>
        </w:tc>
        <w:tc>
          <w:tcPr>
            <w:tcW w:w="1221"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4.0</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3.0</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1500</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.0</w:t>
            </w:r>
          </w:p>
        </w:tc>
        <w:tc>
          <w:tcPr>
            <w:tcW w:w="135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22.0</w:t>
            </w:r>
          </w:p>
        </w:tc>
        <w:tc>
          <w:tcPr>
            <w:tcW w:w="1221"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4.0</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3.0</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1800</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13.0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5.0</w:t>
            </w:r>
          </w:p>
        </w:tc>
        <w:tc>
          <w:tcPr>
            <w:tcW w:w="135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23.0</w:t>
            </w:r>
          </w:p>
        </w:tc>
        <w:tc>
          <w:tcPr>
            <w:tcW w:w="1221"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5.0</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3.0</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2000</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.0</w:t>
            </w:r>
          </w:p>
        </w:tc>
        <w:tc>
          <w:tcPr>
            <w:tcW w:w="135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23.0</w:t>
            </w:r>
          </w:p>
        </w:tc>
        <w:tc>
          <w:tcPr>
            <w:tcW w:w="1221"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5.0</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3.0</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2500</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.0</w:t>
            </w:r>
          </w:p>
        </w:tc>
        <w:tc>
          <w:tcPr>
            <w:tcW w:w="135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21.0</w:t>
            </w:r>
          </w:p>
        </w:tc>
        <w:tc>
          <w:tcPr>
            <w:tcW w:w="1221"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4.0</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3.0</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下风向最大浓度</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.0</w:t>
            </w:r>
          </w:p>
        </w:tc>
        <w:tc>
          <w:tcPr>
            <w:tcW w:w="135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23</w:t>
            </w:r>
            <w:r>
              <w:rPr>
                <w:rFonts w:hint="default" w:ascii="Times New Roman" w:hAnsi="Times New Roman" w:cs="Times New Roman"/>
                <w:color w:val="000000" w:themeColor="text1"/>
                <w:sz w:val="21"/>
                <w:szCs w:val="21"/>
                <w14:textFill>
                  <w14:solidFill>
                    <w14:schemeClr w14:val="tx1"/>
                  </w14:solidFill>
                </w14:textFill>
              </w:rPr>
              <w:t>.0</w:t>
            </w:r>
          </w:p>
        </w:tc>
        <w:tc>
          <w:tcPr>
            <w:tcW w:w="122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.0</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3.0</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下风向最大浓度出现距离</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eastAsia="宋体" w:cs="Times New Roman"/>
                <w:color w:val="000000" w:themeColor="text1"/>
                <w:sz w:val="21"/>
                <w:szCs w:val="21"/>
                <w:lang w:val="en-US" w:eastAsia="zh-CN"/>
                <w14:textFill>
                  <w14:solidFill>
                    <w14:schemeClr w14:val="tx1"/>
                  </w14:solidFill>
                </w14:textFill>
              </w:rPr>
              <w:t>850.</w:t>
            </w:r>
            <w:r>
              <w:rPr>
                <w:rFonts w:hint="default" w:ascii="Times New Roman" w:hAnsi="Times New Roman" w:cs="Times New Roman"/>
                <w:color w:val="000000" w:themeColor="text1"/>
                <w:sz w:val="21"/>
                <w:szCs w:val="21"/>
                <w14:textFill>
                  <w14:solidFill>
                    <w14:schemeClr w14:val="tx1"/>
                  </w14:solidFill>
                </w14:textFill>
              </w:rPr>
              <w:t>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eastAsia="宋体" w:cs="Times New Roman"/>
                <w:color w:val="000000" w:themeColor="text1"/>
                <w:sz w:val="21"/>
                <w:szCs w:val="21"/>
                <w:lang w:val="en-US" w:eastAsia="zh-CN"/>
                <w14:textFill>
                  <w14:solidFill>
                    <w14:schemeClr w14:val="tx1"/>
                  </w14:solidFill>
                </w14:textFill>
              </w:rPr>
              <w:t>850</w:t>
            </w:r>
            <w:r>
              <w:rPr>
                <w:rFonts w:hint="default" w:ascii="Times New Roman" w:hAnsi="Times New Roman" w:cs="Times New Roman"/>
                <w:color w:val="000000" w:themeColor="text1"/>
                <w:sz w:val="21"/>
                <w:szCs w:val="21"/>
                <w14:textFill>
                  <w14:solidFill>
                    <w14:schemeClr w14:val="tx1"/>
                  </w14:solidFill>
                </w14:textFill>
              </w:rPr>
              <w:t>.0</w:t>
            </w:r>
          </w:p>
        </w:tc>
        <w:tc>
          <w:tcPr>
            <w:tcW w:w="135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1850.0</w:t>
            </w:r>
          </w:p>
        </w:tc>
        <w:tc>
          <w:tcPr>
            <w:tcW w:w="1221"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1850.0</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1850.0</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1850.0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11"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D10%最远距离</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350" w:type="dxa"/>
            <w:noWrap w:val="0"/>
            <w:vAlign w:val="center"/>
          </w:tcPr>
          <w:p>
            <w:pPr>
              <w:ind w:left="0" w:leftChars="0" w:right="0" w:rightChars="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21" w:type="dxa"/>
            <w:noWrap w:val="0"/>
            <w:vAlign w:val="center"/>
          </w:tcPr>
          <w:p>
            <w:pPr>
              <w:ind w:left="0" w:leftChars="0" w:right="0" w:rightChars="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2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w:t>
            </w:r>
          </w:p>
        </w:tc>
        <w:tc>
          <w:tcPr>
            <w:tcW w:w="1110" w:type="dxa"/>
            <w:noWrap w:val="0"/>
            <w:vAlign w:val="center"/>
          </w:tcPr>
          <w:p>
            <w:pPr>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w:t>
            </w:r>
          </w:p>
        </w:tc>
      </w:tr>
    </w:tbl>
    <w:p>
      <w:pPr>
        <w:keepNext w:val="0"/>
        <w:keepLines w:val="0"/>
        <w:pageBreakBefore w:val="0"/>
        <w:widowControl w:val="0"/>
        <w:kinsoku/>
        <w:wordWrap/>
        <w:overflowPunct w:val="0"/>
        <w:topLinePunct w:val="0"/>
        <w:autoSpaceDE/>
        <w:autoSpaceDN/>
        <w:bidi w:val="0"/>
        <w:adjustRightInd/>
        <w:snapToGrid/>
        <w:spacing w:before="327" w:beforeLines="100" w:line="360" w:lineRule="auto"/>
        <w:ind w:firstLine="480" w:firstLineChars="200"/>
        <w:textAlignment w:val="auto"/>
        <w:rPr>
          <w:rFonts w:hint="default" w:ascii="Times New Roman" w:hAnsi="Times New Roman" w:eastAsia="宋体" w:cs="Times New Roman"/>
          <w:color w:val="000000" w:themeColor="text1"/>
          <w:kern w:val="18"/>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18"/>
          <w:sz w:val="24"/>
          <w:szCs w:val="24"/>
          <w:lang w:eastAsia="zh-CN"/>
          <w14:textFill>
            <w14:solidFill>
              <w14:schemeClr w14:val="tx1"/>
            </w14:solidFill>
          </w14:textFill>
        </w:rPr>
        <w:t>本项目P</w:t>
      </w:r>
      <w:r>
        <w:rPr>
          <w:rFonts w:hint="default" w:ascii="Times New Roman" w:hAnsi="Times New Roman" w:eastAsia="宋体" w:cs="Times New Roman"/>
          <w:color w:val="000000" w:themeColor="text1"/>
          <w:kern w:val="18"/>
          <w:sz w:val="24"/>
          <w:szCs w:val="24"/>
          <w:vertAlign w:val="subscript"/>
          <w:lang w:eastAsia="zh-CN"/>
          <w14:textFill>
            <w14:solidFill>
              <w14:schemeClr w14:val="tx1"/>
            </w14:solidFill>
          </w14:textFill>
        </w:rPr>
        <w:t>max</w:t>
      </w:r>
      <w:r>
        <w:rPr>
          <w:rFonts w:hint="default" w:ascii="Times New Roman" w:hAnsi="Times New Roman" w:eastAsia="宋体" w:cs="Times New Roman"/>
          <w:color w:val="000000" w:themeColor="text1"/>
          <w:kern w:val="18"/>
          <w:sz w:val="24"/>
          <w:szCs w:val="24"/>
          <w:lang w:eastAsia="zh-CN"/>
          <w14:textFill>
            <w14:solidFill>
              <w14:schemeClr w14:val="tx1"/>
            </w14:solidFill>
          </w14:textFill>
        </w:rPr>
        <w:t>最大值出现为点源排放的</w:t>
      </w:r>
      <w:r>
        <w:rPr>
          <w:rFonts w:hint="eastAsia" w:ascii="Times New Roman" w:hAnsi="Times New Roman" w:cs="Times New Roman"/>
          <w:color w:val="000000" w:themeColor="text1"/>
          <w:kern w:val="18"/>
          <w:sz w:val="24"/>
          <w:szCs w:val="24"/>
          <w:lang w:eastAsia="zh-CN"/>
          <w14:textFill>
            <w14:solidFill>
              <w14:schemeClr w14:val="tx1"/>
            </w14:solidFill>
          </w14:textFill>
        </w:rPr>
        <w:t>氮氧化物</w:t>
      </w:r>
      <w:r>
        <w:rPr>
          <w:rFonts w:hint="default" w:ascii="Times New Roman" w:hAnsi="Times New Roman" w:eastAsia="宋体" w:cs="Times New Roman"/>
          <w:color w:val="000000" w:themeColor="text1"/>
          <w:kern w:val="18"/>
          <w:sz w:val="24"/>
          <w:szCs w:val="24"/>
          <w:lang w:eastAsia="zh-CN"/>
          <w14:textFill>
            <w14:solidFill>
              <w14:schemeClr w14:val="tx1"/>
            </w14:solidFill>
          </w14:textFill>
        </w:rPr>
        <w:t>，P</w:t>
      </w:r>
      <w:r>
        <w:rPr>
          <w:rFonts w:hint="default" w:ascii="Times New Roman" w:hAnsi="Times New Roman" w:eastAsia="宋体" w:cs="Times New Roman"/>
          <w:color w:val="000000" w:themeColor="text1"/>
          <w:kern w:val="18"/>
          <w:sz w:val="24"/>
          <w:szCs w:val="24"/>
          <w:vertAlign w:val="subscript"/>
          <w:lang w:eastAsia="zh-CN"/>
          <w14:textFill>
            <w14:solidFill>
              <w14:schemeClr w14:val="tx1"/>
            </w14:solidFill>
          </w14:textFill>
        </w:rPr>
        <w:t>max</w:t>
      </w:r>
      <w:r>
        <w:rPr>
          <w:rFonts w:hint="default" w:ascii="Times New Roman" w:hAnsi="Times New Roman" w:eastAsia="宋体" w:cs="Times New Roman"/>
          <w:color w:val="000000" w:themeColor="text1"/>
          <w:kern w:val="18"/>
          <w:sz w:val="24"/>
          <w:szCs w:val="24"/>
          <w:lang w:eastAsia="zh-CN"/>
          <w14:textFill>
            <w14:solidFill>
              <w14:schemeClr w14:val="tx1"/>
            </w14:solidFill>
          </w14:textFill>
        </w:rPr>
        <w:t>值为</w:t>
      </w:r>
      <w:r>
        <w:rPr>
          <w:rFonts w:hint="eastAsia" w:eastAsia="宋体" w:cs="Times New Roman"/>
          <w:color w:val="000000" w:themeColor="text1"/>
          <w:kern w:val="18"/>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kern w:val="18"/>
          <w:sz w:val="24"/>
          <w:szCs w:val="24"/>
          <w:lang w:eastAsia="zh-CN"/>
          <w14:textFill>
            <w14:solidFill>
              <w14:schemeClr w14:val="tx1"/>
            </w14:solidFill>
          </w14:textFill>
        </w:rPr>
        <w:t>.0%，C</w:t>
      </w:r>
      <w:r>
        <w:rPr>
          <w:rFonts w:hint="default" w:ascii="Times New Roman" w:hAnsi="Times New Roman" w:eastAsia="宋体" w:cs="Times New Roman"/>
          <w:color w:val="000000" w:themeColor="text1"/>
          <w:kern w:val="18"/>
          <w:sz w:val="24"/>
          <w:szCs w:val="24"/>
          <w:vertAlign w:val="subscript"/>
          <w:lang w:eastAsia="zh-CN"/>
          <w14:textFill>
            <w14:solidFill>
              <w14:schemeClr w14:val="tx1"/>
            </w14:solidFill>
          </w14:textFill>
        </w:rPr>
        <w:t>max</w:t>
      </w:r>
      <w:r>
        <w:rPr>
          <w:rFonts w:hint="default" w:ascii="Times New Roman" w:hAnsi="Times New Roman" w:eastAsia="宋体" w:cs="Times New Roman"/>
          <w:color w:val="000000" w:themeColor="text1"/>
          <w:kern w:val="18"/>
          <w:sz w:val="24"/>
          <w:szCs w:val="24"/>
          <w:lang w:eastAsia="zh-CN"/>
          <w14:textFill>
            <w14:solidFill>
              <w14:schemeClr w14:val="tx1"/>
            </w14:solidFill>
          </w14:textFill>
        </w:rPr>
        <w:t>为</w:t>
      </w:r>
      <w:r>
        <w:rPr>
          <w:rFonts w:hint="eastAsia" w:cs="Times New Roman"/>
          <w:color w:val="000000" w:themeColor="text1"/>
          <w:kern w:val="18"/>
          <w:sz w:val="24"/>
          <w:szCs w:val="24"/>
          <w:lang w:val="en-US" w:eastAsia="zh-CN"/>
          <w14:textFill>
            <w14:solidFill>
              <w14:schemeClr w14:val="tx1"/>
            </w14:solidFill>
          </w14:textFill>
        </w:rPr>
        <w:t>13</w:t>
      </w:r>
      <w:r>
        <w:rPr>
          <w:rFonts w:hint="default" w:ascii="Times New Roman" w:hAnsi="Times New Roman" w:eastAsia="宋体" w:cs="Times New Roman"/>
          <w:color w:val="000000" w:themeColor="text1"/>
          <w:kern w:val="18"/>
          <w:sz w:val="24"/>
          <w:szCs w:val="24"/>
          <w:lang w:eastAsia="zh-CN"/>
          <w14:textFill>
            <w14:solidFill>
              <w14:schemeClr w14:val="tx1"/>
            </w14:solidFill>
          </w14:textFill>
        </w:rPr>
        <w:t>.0ug/m</w:t>
      </w:r>
      <w:r>
        <w:rPr>
          <w:rFonts w:hint="default" w:ascii="Times New Roman" w:hAnsi="Times New Roman" w:eastAsia="宋体" w:cs="Times New Roman"/>
          <w:color w:val="000000" w:themeColor="text1"/>
          <w:kern w:val="18"/>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kern w:val="18"/>
          <w:sz w:val="24"/>
          <w:szCs w:val="24"/>
          <w:lang w:eastAsia="zh-CN"/>
          <w14:textFill>
            <w14:solidFill>
              <w14:schemeClr w14:val="tx1"/>
            </w14:solidFill>
          </w14:textFill>
        </w:rPr>
        <w:t>，根据《环境影响评价技术导则 大气环境》(HJ2.2-2018)分级判据，确定本项目大气环境影响评价工作等级为二级。</w:t>
      </w:r>
    </w:p>
    <w:p>
      <w:pPr>
        <w:pStyle w:val="6"/>
        <w:snapToGrid w:val="0"/>
        <w:spacing w:beforeLines="50" w:after="0" w:line="360" w:lineRule="auto"/>
        <w:jc w:val="left"/>
        <w:textAlignment w:val="auto"/>
        <w:rPr>
          <w:rFonts w:hint="default" w:ascii="Times New Roman" w:hAnsi="Times New Roman" w:eastAsia="宋体" w:cs="Times New Roman"/>
          <w:bCs w:val="0"/>
          <w:color w:val="000000" w:themeColor="text1"/>
          <w:sz w:val="24"/>
          <w14:textFill>
            <w14:solidFill>
              <w14:schemeClr w14:val="tx1"/>
            </w14:solidFill>
          </w14:textFill>
        </w:rPr>
      </w:pPr>
      <w:r>
        <w:rPr>
          <w:rFonts w:hint="default" w:ascii="Times New Roman" w:hAnsi="Times New Roman" w:eastAsia="宋体" w:cs="Times New Roman"/>
          <w:bCs w:val="0"/>
          <w:color w:val="000000" w:themeColor="text1"/>
          <w:sz w:val="24"/>
          <w14:textFill>
            <w14:solidFill>
              <w14:schemeClr w14:val="tx1"/>
            </w14:solidFill>
          </w14:textFill>
        </w:rPr>
        <w:t>5.1.3.</w:t>
      </w:r>
      <w:r>
        <w:rPr>
          <w:rFonts w:hint="default" w:ascii="Times New Roman" w:hAnsi="Times New Roman" w:eastAsia="宋体" w:cs="Times New Roman"/>
          <w:bCs w:val="0"/>
          <w:color w:val="000000" w:themeColor="text1"/>
          <w:sz w:val="24"/>
          <w:lang w:val="en-US" w:eastAsia="zh-CN"/>
          <w14:textFill>
            <w14:solidFill>
              <w14:schemeClr w14:val="tx1"/>
            </w14:solidFill>
          </w14:textFill>
        </w:rPr>
        <w:t>2</w:t>
      </w:r>
      <w:r>
        <w:rPr>
          <w:rFonts w:hint="default" w:ascii="Times New Roman" w:hAnsi="Times New Roman" w:eastAsia="宋体" w:cs="Times New Roman"/>
          <w:bCs w:val="0"/>
          <w:color w:val="000000" w:themeColor="text1"/>
          <w:sz w:val="24"/>
          <w14:textFill>
            <w14:solidFill>
              <w14:schemeClr w14:val="tx1"/>
            </w14:solidFill>
          </w14:textFill>
        </w:rPr>
        <w:t xml:space="preserve"> 污染物排放量核算</w:t>
      </w:r>
    </w:p>
    <w:p>
      <w:pPr>
        <w:overflowPunct w:val="0"/>
        <w:spacing w:line="360" w:lineRule="auto"/>
        <w:ind w:firstLine="480" w:firstLineChars="200"/>
        <w:rPr>
          <w:rFonts w:hint="default" w:ascii="Times New Roman" w:hAnsi="Times New Roman" w:cs="Times New Roman"/>
          <w:color w:val="000000" w:themeColor="text1"/>
          <w:kern w:val="18"/>
          <w:sz w:val="24"/>
          <w:szCs w:val="24"/>
          <w14:textFill>
            <w14:solidFill>
              <w14:schemeClr w14:val="tx1"/>
            </w14:solidFill>
          </w14:textFill>
        </w:rPr>
      </w:pPr>
      <w:r>
        <w:rPr>
          <w:rFonts w:hint="default" w:ascii="Times New Roman" w:hAnsi="Times New Roman" w:cs="Times New Roman"/>
          <w:color w:val="000000" w:themeColor="text1"/>
          <w:kern w:val="18"/>
          <w:sz w:val="24"/>
          <w:szCs w:val="24"/>
          <w14:textFill>
            <w14:solidFill>
              <w14:schemeClr w14:val="tx1"/>
            </w14:solidFill>
          </w14:textFill>
        </w:rPr>
        <w:t>本项目大气环境影响评价等级为二级，按照HJ2.2-2018《环境影响评价技术导则·大气环境》的要求，二级评价不进行进一步预测与评价，只对污染物排放量进行核算。</w:t>
      </w:r>
    </w:p>
    <w:p>
      <w:pPr>
        <w:keepNext w:val="0"/>
        <w:keepLines w:val="0"/>
        <w:pageBreakBefore w:val="0"/>
        <w:widowControl/>
        <w:kinsoku/>
        <w:wordWrap/>
        <w:overflowPunct w:val="0"/>
        <w:topLinePunct w:val="0"/>
        <w:autoSpaceDE/>
        <w:autoSpaceDN/>
        <w:bidi w:val="0"/>
        <w:adjustRightInd/>
        <w:snapToGrid/>
        <w:spacing w:line="360" w:lineRule="auto"/>
        <w:ind w:firstLine="480" w:firstLineChars="200"/>
        <w:jc w:val="both"/>
        <w:textAlignment w:val="auto"/>
        <w:rPr>
          <w:rFonts w:hint="eastAsia" w:eastAsia="宋体" w:cs="Times New Roman"/>
          <w:bCs/>
          <w:color w:val="FF0000"/>
          <w:sz w:val="24"/>
          <w:lang w:val="en-US" w:eastAsia="zh-CN"/>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本</w:t>
      </w: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项目新建一座</w:t>
      </w:r>
      <w:r>
        <w:rPr>
          <w:rFonts w:hint="eastAsia" w:eastAsia="宋体" w:cs="Times New Roman"/>
          <w:color w:val="000000" w:themeColor="text1"/>
          <w:spacing w:val="0"/>
          <w:w w:val="100"/>
          <w:position w:val="0"/>
          <w:sz w:val="24"/>
          <w:szCs w:val="24"/>
          <w:u w:val="none"/>
          <w:lang w:val="en-US" w:eastAsia="en-US" w:bidi="zh-CN"/>
          <w14:textFill>
            <w14:solidFill>
              <w14:schemeClr w14:val="tx1"/>
            </w14:solidFill>
          </w14:textFill>
        </w:rPr>
        <w:t>80</w:t>
      </w: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m高烟囱，</w:t>
      </w:r>
      <w:r>
        <w:rPr>
          <w:rFonts w:hint="default" w:ascii="Times New Roman" w:hAnsi="Times New Roman" w:cs="Times New Roman"/>
          <w:color w:val="000000" w:themeColor="text1"/>
          <w:sz w:val="24"/>
          <w14:textFill>
            <w14:solidFill>
              <w14:schemeClr w14:val="tx1"/>
            </w14:solidFill>
          </w14:textFill>
        </w:rPr>
        <w:t>采用循环流化床锅炉，</w:t>
      </w:r>
      <w:r>
        <w:rPr>
          <w:rFonts w:hint="default" w:ascii="Times New Roman" w:hAnsi="Times New Roman" w:cs="Times New Roman"/>
          <w:color w:val="000000" w:themeColor="text1"/>
          <w:kern w:val="24"/>
          <w:sz w:val="24"/>
          <w14:textFill>
            <w14:solidFill>
              <w14:schemeClr w14:val="tx1"/>
            </w14:solidFill>
          </w14:textFill>
        </w:rPr>
        <w:t>锅炉烟气采取</w:t>
      </w:r>
      <w:r>
        <w:rPr>
          <w:rFonts w:hint="default" w:ascii="Times New Roman" w:hAnsi="Times New Roman" w:cs="Times New Roman"/>
          <w:color w:val="000000" w:themeColor="text1"/>
          <w:sz w:val="24"/>
          <w14:textFill>
            <w14:solidFill>
              <w14:schemeClr w14:val="tx1"/>
            </w14:solidFill>
          </w14:textFill>
        </w:rPr>
        <w:t>“炉内喷钙脱硫+SNCR法脱硝+炉外烟气循环流化床干法脱硫除尘一体化工艺脱硫和布袋除尘器”工艺处理，每台锅炉均配置一套脱硫脱硝除尘环保设备。除尘器采用布袋除尘器，除尘效率很高，一般都可以达到99.98%以上，本项目设计除尘效率按99.98%计；脱硫采用炉内喷钙+烟气循环流化床干法脱硫除尘一体化工艺，脱硫效率不低于96.5%，本项目设计脱硫效率按96.5%计；循环流化床锅炉属于低NOx燃烧技术，</w:t>
      </w:r>
      <w:r>
        <w:rPr>
          <w:rFonts w:hint="default" w:ascii="Times New Roman" w:hAnsi="Times New Roman" w:cs="Times New Roman"/>
          <w:bCs/>
          <w:color w:val="000000" w:themeColor="text1"/>
          <w:sz w:val="24"/>
          <w14:textFill>
            <w14:solidFill>
              <w14:schemeClr w14:val="tx1"/>
            </w14:solidFill>
          </w14:textFill>
        </w:rPr>
        <w:t>脱硝工艺采用非催化还原(SNCR)烟气脱硝技术，外购氨水（浓度20%）作为脱硝还原剂，脱硝效率大于60%</w:t>
      </w:r>
      <w:r>
        <w:rPr>
          <w:rFonts w:hint="default" w:ascii="Times New Roman" w:hAnsi="Times New Roman" w:cs="Times New Roman"/>
          <w:color w:val="000000" w:themeColor="text1"/>
          <w:sz w:val="24"/>
          <w14:textFill>
            <w14:solidFill>
              <w14:schemeClr w14:val="tx1"/>
            </w14:solidFill>
          </w14:textFill>
        </w:rPr>
        <w:t>，本项目设计脱</w:t>
      </w:r>
      <w:r>
        <w:rPr>
          <w:rFonts w:hint="default" w:ascii="Times New Roman" w:hAnsi="Times New Roman" w:cs="Times New Roman"/>
          <w:bCs/>
          <w:color w:val="000000" w:themeColor="text1"/>
          <w:sz w:val="24"/>
          <w14:textFill>
            <w14:solidFill>
              <w14:schemeClr w14:val="tx1"/>
            </w14:solidFill>
          </w14:textFill>
        </w:rPr>
        <w:t>硝</w:t>
      </w:r>
      <w:r>
        <w:rPr>
          <w:rFonts w:hint="default" w:ascii="Times New Roman" w:hAnsi="Times New Roman" w:cs="Times New Roman"/>
          <w:color w:val="000000" w:themeColor="text1"/>
          <w:sz w:val="24"/>
          <w14:textFill>
            <w14:solidFill>
              <w14:schemeClr w14:val="tx1"/>
            </w14:solidFill>
          </w14:textFill>
        </w:rPr>
        <w:t>效率按60%计</w:t>
      </w:r>
      <w:r>
        <w:rPr>
          <w:rFonts w:hint="default" w:ascii="Times New Roman" w:hAnsi="Times New Roman" w:cs="Times New Roman"/>
          <w:bCs/>
          <w:color w:val="000000" w:themeColor="text1"/>
          <w:sz w:val="24"/>
          <w14:textFill>
            <w14:solidFill>
              <w14:schemeClr w14:val="tx1"/>
            </w14:solidFill>
          </w14:textFill>
        </w:rPr>
        <w:t>。</w:t>
      </w:r>
      <w:r>
        <w:rPr>
          <w:rFonts w:hint="eastAsia" w:eastAsia="宋体" w:cs="Times New Roman"/>
          <w:bCs/>
          <w:color w:val="FF0000"/>
          <w:sz w:val="24"/>
          <w:lang w:val="en-US" w:eastAsia="zh-CN"/>
        </w:rPr>
        <w:t xml:space="preserve"> </w:t>
      </w:r>
    </w:p>
    <w:p>
      <w:pPr>
        <w:keepNext w:val="0"/>
        <w:keepLines w:val="0"/>
        <w:pageBreakBefore w:val="0"/>
        <w:widowControl/>
        <w:kinsoku/>
        <w:wordWrap/>
        <w:overflowPunct w:val="0"/>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18"/>
          <w:sz w:val="24"/>
          <w:szCs w:val="24"/>
          <w:lang w:val="en-GB"/>
          <w14:textFill>
            <w14:solidFill>
              <w14:schemeClr w14:val="tx1"/>
            </w14:solidFill>
          </w14:textFill>
        </w:rPr>
      </w:pPr>
      <w:r>
        <w:rPr>
          <w:rFonts w:hint="default" w:ascii="Times New Roman" w:hAnsi="Times New Roman" w:cs="Times New Roman"/>
          <w:color w:val="000000" w:themeColor="text1"/>
          <w:kern w:val="18"/>
          <w:sz w:val="24"/>
          <w:szCs w:val="24"/>
          <w:lang w:val="en-GB"/>
          <w14:textFill>
            <w14:solidFill>
              <w14:schemeClr w14:val="tx1"/>
            </w14:solidFill>
          </w14:textFill>
        </w:rPr>
        <w:t>（1）有组织排放量核算</w:t>
      </w:r>
    </w:p>
    <w:p>
      <w:pPr>
        <w:widowControl/>
        <w:overflowPunct w:val="0"/>
        <w:spacing w:line="360" w:lineRule="auto"/>
        <w:ind w:firstLine="480" w:firstLineChars="200"/>
        <w:jc w:val="left"/>
        <w:rPr>
          <w:rFonts w:hint="default" w:ascii="Times New Roman" w:hAnsi="Times New Roman" w:cs="Times New Roman"/>
          <w:color w:val="000000" w:themeColor="text1"/>
          <w:kern w:val="18"/>
          <w:sz w:val="24"/>
          <w:szCs w:val="24"/>
          <w:lang w:val="en-GB"/>
          <w14:textFill>
            <w14:solidFill>
              <w14:schemeClr w14:val="tx1"/>
            </w14:solidFill>
          </w14:textFill>
        </w:rPr>
      </w:pPr>
      <w:r>
        <w:rPr>
          <w:rFonts w:hint="default" w:ascii="Times New Roman" w:hAnsi="Times New Roman" w:cs="Times New Roman"/>
          <w:color w:val="000000" w:themeColor="text1"/>
          <w:kern w:val="18"/>
          <w:sz w:val="24"/>
          <w:szCs w:val="24"/>
          <w:lang w:val="en-GB"/>
          <w14:textFill>
            <w14:solidFill>
              <w14:schemeClr w14:val="tx1"/>
            </w14:solidFill>
          </w14:textFill>
        </w:rPr>
        <w:t>本项目有组织排放量核算情况见表5.</w:t>
      </w:r>
      <w:r>
        <w:rPr>
          <w:rFonts w:hint="default" w:ascii="Times New Roman" w:hAnsi="Times New Roman" w:cs="Times New Roman"/>
          <w:color w:val="000000" w:themeColor="text1"/>
          <w:kern w:val="18"/>
          <w:sz w:val="24"/>
          <w:szCs w:val="24"/>
          <w14:textFill>
            <w14:solidFill>
              <w14:schemeClr w14:val="tx1"/>
            </w14:solidFill>
          </w14:textFill>
        </w:rPr>
        <w:t>1-</w:t>
      </w:r>
      <w:r>
        <w:rPr>
          <w:rFonts w:hint="default" w:ascii="Times New Roman" w:hAnsi="Times New Roman" w:cs="Times New Roman"/>
          <w:color w:val="000000" w:themeColor="text1"/>
          <w:kern w:val="18"/>
          <w:sz w:val="24"/>
          <w:szCs w:val="24"/>
          <w:lang w:val="en-US" w:eastAsia="zh-CN"/>
          <w14:textFill>
            <w14:solidFill>
              <w14:schemeClr w14:val="tx1"/>
            </w14:solidFill>
          </w14:textFill>
        </w:rPr>
        <w:t>8</w:t>
      </w:r>
      <w:r>
        <w:rPr>
          <w:rFonts w:hint="default" w:ascii="Times New Roman" w:hAnsi="Times New Roman" w:cs="Times New Roman"/>
          <w:color w:val="000000" w:themeColor="text1"/>
          <w:kern w:val="18"/>
          <w:sz w:val="24"/>
          <w:szCs w:val="24"/>
          <w:lang w:val="en-GB"/>
          <w14:textFill>
            <w14:solidFill>
              <w14:schemeClr w14:val="tx1"/>
            </w14:solidFill>
          </w14:textFill>
        </w:rPr>
        <w:t>。</w:t>
      </w:r>
    </w:p>
    <w:p>
      <w:pPr>
        <w:keepNext w:val="0"/>
        <w:keepLines w:val="0"/>
        <w:pageBreakBefore w:val="0"/>
        <w:widowControl w:val="0"/>
        <w:shd w:val="clear" w:color="auto" w:fill="auto"/>
        <w:kinsoku/>
        <w:wordWrap/>
        <w:overflowPunct/>
        <w:topLinePunct w:val="0"/>
        <w:autoSpaceDE/>
        <w:autoSpaceDN/>
        <w:bidi w:val="0"/>
        <w:adjustRightInd/>
        <w:snapToGrid/>
        <w:spacing w:before="164" w:beforeLines="50" w:line="240" w:lineRule="auto"/>
        <w:jc w:val="center"/>
        <w:textAlignment w:val="auto"/>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t>表5.1-8    大气污染物有组织排放量核算表</w:t>
      </w:r>
    </w:p>
    <w:tbl>
      <w:tblPr>
        <w:tblStyle w:val="21"/>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1"/>
        <w:gridCol w:w="1827"/>
        <w:gridCol w:w="1223"/>
        <w:gridCol w:w="2732"/>
        <w:gridCol w:w="1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21"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序号</w:t>
            </w:r>
          </w:p>
        </w:tc>
        <w:tc>
          <w:tcPr>
            <w:tcW w:w="1827"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排放口编号</w:t>
            </w:r>
          </w:p>
        </w:tc>
        <w:tc>
          <w:tcPr>
            <w:tcW w:w="1223"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污染物</w:t>
            </w:r>
          </w:p>
        </w:tc>
        <w:tc>
          <w:tcPr>
            <w:tcW w:w="2732" w:type="dxa"/>
            <w:noWrap w:val="0"/>
            <w:vAlign w:val="center"/>
          </w:tcPr>
          <w:p>
            <w:pPr>
              <w:snapToGrid w:val="0"/>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申报排放浓度限值</w:t>
            </w:r>
          </w:p>
          <w:p>
            <w:pPr>
              <w:snapToGrid w:val="0"/>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mg/m³</w:t>
            </w:r>
          </w:p>
        </w:tc>
        <w:tc>
          <w:tcPr>
            <w:tcW w:w="1825" w:type="dxa"/>
            <w:noWrap w:val="0"/>
            <w:vAlign w:val="center"/>
          </w:tcPr>
          <w:p>
            <w:pPr>
              <w:snapToGrid w:val="0"/>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申报排放量</w:t>
            </w:r>
          </w:p>
          <w:p>
            <w:pPr>
              <w:snapToGrid w:val="0"/>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21"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1</w:t>
            </w:r>
          </w:p>
        </w:tc>
        <w:tc>
          <w:tcPr>
            <w:tcW w:w="1827" w:type="dxa"/>
            <w:vMerge w:val="restart"/>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烟囱</w:t>
            </w:r>
          </w:p>
        </w:tc>
        <w:tc>
          <w:tcPr>
            <w:tcW w:w="1223"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烟粉尘</w:t>
            </w:r>
          </w:p>
        </w:tc>
        <w:tc>
          <w:tcPr>
            <w:tcW w:w="2732"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4.35</w:t>
            </w:r>
          </w:p>
        </w:tc>
        <w:tc>
          <w:tcPr>
            <w:tcW w:w="1825"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13.97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21"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2</w:t>
            </w:r>
          </w:p>
        </w:tc>
        <w:tc>
          <w:tcPr>
            <w:tcW w:w="1827" w:type="dxa"/>
            <w:vMerge w:val="continue"/>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p>
        </w:tc>
        <w:tc>
          <w:tcPr>
            <w:tcW w:w="1223"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2732"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34.04</w:t>
            </w:r>
          </w:p>
        </w:tc>
        <w:tc>
          <w:tcPr>
            <w:tcW w:w="1825"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109.22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21"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3</w:t>
            </w:r>
          </w:p>
        </w:tc>
        <w:tc>
          <w:tcPr>
            <w:tcW w:w="1827" w:type="dxa"/>
            <w:vMerge w:val="continue"/>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p>
        </w:tc>
        <w:tc>
          <w:tcPr>
            <w:tcW w:w="1223"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x</w:t>
            </w:r>
          </w:p>
        </w:tc>
        <w:tc>
          <w:tcPr>
            <w:tcW w:w="2732"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48.00</w:t>
            </w:r>
          </w:p>
        </w:tc>
        <w:tc>
          <w:tcPr>
            <w:tcW w:w="1825"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154.02</w:t>
            </w:r>
          </w:p>
        </w:tc>
      </w:tr>
    </w:tbl>
    <w:p>
      <w:pPr>
        <w:widowControl/>
        <w:overflowPunct w:val="0"/>
        <w:spacing w:beforeLines="50" w:line="360" w:lineRule="auto"/>
        <w:ind w:firstLine="480" w:firstLineChars="200"/>
        <w:jc w:val="left"/>
        <w:rPr>
          <w:rFonts w:hint="default" w:ascii="Times New Roman" w:hAnsi="Times New Roman" w:cs="Times New Roman"/>
          <w:color w:val="000000" w:themeColor="text1"/>
          <w:kern w:val="18"/>
          <w:sz w:val="24"/>
          <w:szCs w:val="24"/>
          <w:lang w:val="en-GB"/>
          <w14:textFill>
            <w14:solidFill>
              <w14:schemeClr w14:val="tx1"/>
            </w14:solidFill>
          </w14:textFill>
        </w:rPr>
      </w:pPr>
      <w:r>
        <w:rPr>
          <w:rFonts w:hint="eastAsia" w:eastAsia="宋体" w:cs="Times New Roman"/>
          <w:color w:val="000000" w:themeColor="text1"/>
          <w:kern w:val="18"/>
          <w:sz w:val="24"/>
          <w:szCs w:val="24"/>
          <w:lang w:val="en-GB" w:eastAsia="zh-CN"/>
          <w14:textFill>
            <w14:solidFill>
              <w14:schemeClr w14:val="tx1"/>
            </w14:solidFill>
          </w14:textFill>
        </w:rPr>
        <w:t>（</w:t>
      </w:r>
      <w:r>
        <w:rPr>
          <w:rFonts w:hint="eastAsia" w:eastAsia="宋体" w:cs="Times New Roman"/>
          <w:color w:val="000000" w:themeColor="text1"/>
          <w:kern w:val="18"/>
          <w:sz w:val="24"/>
          <w:szCs w:val="24"/>
          <w:lang w:val="en-US" w:eastAsia="zh-CN"/>
          <w14:textFill>
            <w14:solidFill>
              <w14:schemeClr w14:val="tx1"/>
            </w14:solidFill>
          </w14:textFill>
        </w:rPr>
        <w:t>2</w:t>
      </w:r>
      <w:r>
        <w:rPr>
          <w:rFonts w:hint="eastAsia" w:eastAsia="宋体" w:cs="Times New Roman"/>
          <w:color w:val="000000" w:themeColor="text1"/>
          <w:kern w:val="18"/>
          <w:sz w:val="24"/>
          <w:szCs w:val="24"/>
          <w:lang w:val="en-GB" w:eastAsia="zh-CN"/>
          <w14:textFill>
            <w14:solidFill>
              <w14:schemeClr w14:val="tx1"/>
            </w14:solidFill>
          </w14:textFill>
        </w:rPr>
        <w:t>）</w:t>
      </w:r>
      <w:r>
        <w:rPr>
          <w:rFonts w:hint="default" w:ascii="Times New Roman" w:hAnsi="Times New Roman" w:cs="Times New Roman"/>
          <w:color w:val="000000" w:themeColor="text1"/>
          <w:kern w:val="18"/>
          <w:sz w:val="24"/>
          <w:szCs w:val="24"/>
          <w:lang w:val="en-GB"/>
          <w14:textFill>
            <w14:solidFill>
              <w14:schemeClr w14:val="tx1"/>
            </w14:solidFill>
          </w14:textFill>
        </w:rPr>
        <w:t>项目大气污染物排放量核算</w:t>
      </w:r>
    </w:p>
    <w:p>
      <w:pPr>
        <w:widowControl/>
        <w:overflowPunct w:val="0"/>
        <w:spacing w:line="360" w:lineRule="auto"/>
        <w:ind w:firstLine="480" w:firstLineChars="200"/>
        <w:jc w:val="left"/>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kern w:val="18"/>
          <w:sz w:val="24"/>
          <w:szCs w:val="24"/>
          <w:lang w:val="en-GB"/>
          <w14:textFill>
            <w14:solidFill>
              <w14:schemeClr w14:val="tx1"/>
            </w14:solidFill>
          </w14:textFill>
        </w:rPr>
        <w:t>本项目大气污染物排放量核算情况见表</w:t>
      </w:r>
      <w:r>
        <w:rPr>
          <w:rFonts w:hint="default" w:ascii="Times New Roman" w:hAnsi="Times New Roman" w:cs="Times New Roman"/>
          <w:color w:val="000000" w:themeColor="text1"/>
          <w:kern w:val="18"/>
          <w:sz w:val="24"/>
          <w:szCs w:val="24"/>
          <w14:textFill>
            <w14:solidFill>
              <w14:schemeClr w14:val="tx1"/>
            </w14:solidFill>
          </w14:textFill>
        </w:rPr>
        <w:t>5.1-</w:t>
      </w:r>
      <w:r>
        <w:rPr>
          <w:rFonts w:hint="eastAsia" w:ascii="Times New Roman" w:hAnsi="Times New Roman" w:cs="Times New Roman"/>
          <w:color w:val="000000" w:themeColor="text1"/>
          <w:kern w:val="18"/>
          <w:sz w:val="24"/>
          <w:szCs w:val="24"/>
          <w:lang w:val="en-US" w:eastAsia="zh-CN"/>
          <w14:textFill>
            <w14:solidFill>
              <w14:schemeClr w14:val="tx1"/>
            </w14:solidFill>
          </w14:textFill>
        </w:rPr>
        <w:t>9</w:t>
      </w:r>
      <w:r>
        <w:rPr>
          <w:rFonts w:hint="default" w:ascii="Times New Roman" w:hAnsi="Times New Roman" w:cs="Times New Roman"/>
          <w:color w:val="000000" w:themeColor="text1"/>
          <w:kern w:val="18"/>
          <w:sz w:val="24"/>
          <w:szCs w:val="24"/>
          <w:lang w:val="en-GB"/>
          <w14:textFill>
            <w14:solidFill>
              <w14:schemeClr w14:val="tx1"/>
            </w14:solidFill>
          </w14:textFill>
        </w:rPr>
        <w:t>。</w:t>
      </w:r>
    </w:p>
    <w:p>
      <w:pPr>
        <w:keepNext w:val="0"/>
        <w:keepLines w:val="0"/>
        <w:pageBreakBefore w:val="0"/>
        <w:widowControl w:val="0"/>
        <w:shd w:val="clear" w:color="auto" w:fill="auto"/>
        <w:kinsoku/>
        <w:wordWrap/>
        <w:overflowPunct/>
        <w:topLinePunct w:val="0"/>
        <w:autoSpaceDE/>
        <w:autoSpaceDN/>
        <w:bidi w:val="0"/>
        <w:adjustRightInd/>
        <w:snapToGrid/>
        <w:spacing w:before="164" w:beforeLines="50" w:line="240" w:lineRule="auto"/>
        <w:jc w:val="center"/>
        <w:textAlignment w:val="auto"/>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t>表5.1-</w:t>
      </w:r>
      <w:r>
        <w:rPr>
          <w:rFonts w:hint="eastAsia" w:ascii="Times New Roman" w:hAnsi="Times New Roman" w:eastAsia="黑体" w:cs="Times New Roman"/>
          <w:color w:val="000000" w:themeColor="text1"/>
          <w:kern w:val="2"/>
          <w:sz w:val="21"/>
          <w:szCs w:val="22"/>
          <w:lang w:val="en-US" w:eastAsia="zh-CN" w:bidi="ar-SA"/>
          <w14:textFill>
            <w14:solidFill>
              <w14:schemeClr w14:val="tx1"/>
            </w14:solidFill>
          </w14:textFill>
        </w:rPr>
        <w:t>9</w:t>
      </w:r>
      <w:r>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t xml:space="preserve">      大气污染物年排放量核算表</w:t>
      </w:r>
    </w:p>
    <w:bookmarkEnd w:id="251"/>
    <w:tbl>
      <w:tblPr>
        <w:tblStyle w:val="21"/>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2843"/>
        <w:gridCol w:w="28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842"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序号</w:t>
            </w:r>
          </w:p>
        </w:tc>
        <w:tc>
          <w:tcPr>
            <w:tcW w:w="2843"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污染物</w:t>
            </w:r>
          </w:p>
        </w:tc>
        <w:tc>
          <w:tcPr>
            <w:tcW w:w="2843"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842"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1</w:t>
            </w:r>
          </w:p>
        </w:tc>
        <w:tc>
          <w:tcPr>
            <w:tcW w:w="2843"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烟粉尘</w:t>
            </w:r>
          </w:p>
        </w:tc>
        <w:tc>
          <w:tcPr>
            <w:tcW w:w="2843"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13.9739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842"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2</w:t>
            </w:r>
          </w:p>
        </w:tc>
        <w:tc>
          <w:tcPr>
            <w:tcW w:w="2843"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2843"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109.22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842"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3</w:t>
            </w:r>
          </w:p>
        </w:tc>
        <w:tc>
          <w:tcPr>
            <w:tcW w:w="2843"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x</w:t>
            </w:r>
          </w:p>
        </w:tc>
        <w:tc>
          <w:tcPr>
            <w:tcW w:w="2843"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154.02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842"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4</w:t>
            </w:r>
          </w:p>
        </w:tc>
        <w:tc>
          <w:tcPr>
            <w:tcW w:w="2843"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NH</w:t>
            </w:r>
            <w:r>
              <w:rPr>
                <w:rFonts w:hint="default" w:ascii="Times New Roman" w:hAnsi="Times New Roman" w:cs="Times New Roman"/>
                <w:bCs/>
                <w:color w:val="000000" w:themeColor="text1"/>
                <w:spacing w:val="-2"/>
                <w:sz w:val="21"/>
                <w:szCs w:val="21"/>
                <w:vertAlign w:val="subscript"/>
                <w14:textFill>
                  <w14:solidFill>
                    <w14:schemeClr w14:val="tx1"/>
                  </w14:solidFill>
                </w14:textFill>
              </w:rPr>
              <w:t>3</w:t>
            </w:r>
          </w:p>
        </w:tc>
        <w:tc>
          <w:tcPr>
            <w:tcW w:w="2843" w:type="dxa"/>
            <w:noWrap w:val="0"/>
            <w:vAlign w:val="center"/>
          </w:tcPr>
          <w:p>
            <w:pPr>
              <w:contextualSpacing/>
              <w:jc w:val="center"/>
              <w:rPr>
                <w:rFonts w:hint="default" w:ascii="Times New Roman" w:hAnsi="Times New Roman" w:cs="Times New Roman"/>
                <w:bCs/>
                <w:color w:val="000000" w:themeColor="text1"/>
                <w:spacing w:val="-2"/>
                <w:sz w:val="21"/>
                <w:szCs w:val="21"/>
                <w14:textFill>
                  <w14:solidFill>
                    <w14:schemeClr w14:val="tx1"/>
                  </w14:solidFill>
                </w14:textFill>
              </w:rPr>
            </w:pPr>
            <w:r>
              <w:rPr>
                <w:rFonts w:hint="default" w:ascii="Times New Roman" w:hAnsi="Times New Roman" w:cs="Times New Roman"/>
                <w:bCs/>
                <w:color w:val="000000" w:themeColor="text1"/>
                <w:spacing w:val="-2"/>
                <w:sz w:val="21"/>
                <w:szCs w:val="21"/>
                <w14:textFill>
                  <w14:solidFill>
                    <w14:schemeClr w14:val="tx1"/>
                  </w14:solidFill>
                </w14:textFill>
              </w:rPr>
              <w:t>0.06</w:t>
            </w:r>
          </w:p>
        </w:tc>
      </w:tr>
    </w:tbl>
    <w:p>
      <w:pPr>
        <w:pStyle w:val="6"/>
        <w:keepNext/>
        <w:keepLines/>
        <w:pageBreakBefore w:val="0"/>
        <w:widowControl w:val="0"/>
        <w:kinsoku/>
        <w:wordWrap/>
        <w:overflowPunct/>
        <w:topLinePunct w:val="0"/>
        <w:autoSpaceDE/>
        <w:autoSpaceDN/>
        <w:bidi w:val="0"/>
        <w:adjustRightInd w:val="0"/>
        <w:snapToGrid w:val="0"/>
        <w:spacing w:before="327" w:beforeLines="100" w:after="0" w:line="360" w:lineRule="auto"/>
        <w:jc w:val="left"/>
        <w:textAlignment w:val="auto"/>
        <w:rPr>
          <w:rFonts w:hint="default" w:ascii="Times New Roman" w:hAnsi="Times New Roman" w:eastAsia="宋体" w:cs="Times New Roman"/>
          <w:bCs w:val="0"/>
          <w:color w:val="000000" w:themeColor="text1"/>
          <w:sz w:val="24"/>
          <w14:textFill>
            <w14:solidFill>
              <w14:schemeClr w14:val="tx1"/>
            </w14:solidFill>
          </w14:textFill>
        </w:rPr>
      </w:pPr>
      <w:r>
        <w:rPr>
          <w:rFonts w:hint="default" w:ascii="Times New Roman" w:hAnsi="Times New Roman" w:eastAsia="宋体" w:cs="Times New Roman"/>
          <w:bCs w:val="0"/>
          <w:color w:val="000000" w:themeColor="text1"/>
          <w:sz w:val="24"/>
          <w14:textFill>
            <w14:solidFill>
              <w14:schemeClr w14:val="tx1"/>
            </w14:solidFill>
          </w14:textFill>
        </w:rPr>
        <w:t>5.1.3.</w:t>
      </w:r>
      <w:r>
        <w:rPr>
          <w:rFonts w:hint="default" w:ascii="Times New Roman" w:hAnsi="Times New Roman" w:eastAsia="宋体" w:cs="Times New Roman"/>
          <w:bCs w:val="0"/>
          <w:color w:val="000000" w:themeColor="text1"/>
          <w:sz w:val="24"/>
          <w:lang w:val="en-US" w:eastAsia="zh-CN"/>
          <w14:textFill>
            <w14:solidFill>
              <w14:schemeClr w14:val="tx1"/>
            </w14:solidFill>
          </w14:textFill>
        </w:rPr>
        <w:t>3</w:t>
      </w:r>
      <w:r>
        <w:rPr>
          <w:rFonts w:hint="default" w:ascii="Times New Roman" w:hAnsi="Times New Roman" w:eastAsia="宋体" w:cs="Times New Roman"/>
          <w:bCs w:val="0"/>
          <w:color w:val="000000" w:themeColor="text1"/>
          <w:sz w:val="24"/>
          <w14:textFill>
            <w14:solidFill>
              <w14:schemeClr w14:val="tx1"/>
            </w14:solidFill>
          </w14:textFill>
        </w:rPr>
        <w:t xml:space="preserve"> 大气环境防护距离</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根据《环境影响评价技术导则—大气环境》（HJ/T2.2-2018），本项目</w:t>
      </w:r>
      <w:r>
        <w:rPr>
          <w:rFonts w:hint="default" w:ascii="Times New Roman" w:hAnsi="Times New Roman" w:cs="Times New Roman"/>
          <w:color w:val="000000" w:themeColor="text1"/>
          <w:sz w:val="24"/>
          <w:szCs w:val="24"/>
          <w:lang w:val="en-US" w:eastAsia="zh-CN"/>
          <w14:textFill>
            <w14:solidFill>
              <w14:schemeClr w14:val="tx1"/>
            </w14:solidFill>
          </w14:textFill>
        </w:rPr>
        <w:t>大气污染物排放无超标点</w:t>
      </w:r>
      <w:r>
        <w:rPr>
          <w:rFonts w:hint="default" w:ascii="Times New Roman" w:hAnsi="Times New Roman" w:cs="Times New Roman"/>
          <w:color w:val="000000" w:themeColor="text1"/>
          <w:sz w:val="24"/>
          <w:szCs w:val="24"/>
          <w14:textFill>
            <w14:solidFill>
              <w14:schemeClr w14:val="tx1"/>
            </w14:solidFill>
          </w14:textFill>
        </w:rPr>
        <w:t>，故不设置大气防护距离。</w:t>
      </w:r>
    </w:p>
    <w:p>
      <w:pPr>
        <w:pStyle w:val="6"/>
        <w:keepNext/>
        <w:keepLines/>
        <w:pageBreakBefore w:val="0"/>
        <w:widowControl w:val="0"/>
        <w:kinsoku/>
        <w:wordWrap/>
        <w:overflowPunct/>
        <w:topLinePunct w:val="0"/>
        <w:autoSpaceDE/>
        <w:autoSpaceDN/>
        <w:bidi w:val="0"/>
        <w:adjustRightInd w:val="0"/>
        <w:snapToGrid w:val="0"/>
        <w:spacing w:before="0" w:after="0" w:line="360" w:lineRule="auto"/>
        <w:jc w:val="left"/>
        <w:textAlignment w:val="auto"/>
        <w:rPr>
          <w:rFonts w:hint="default" w:ascii="Times New Roman" w:hAnsi="Times New Roman" w:eastAsia="宋体" w:cs="Times New Roman"/>
          <w:bCs w:val="0"/>
          <w:color w:val="000000" w:themeColor="text1"/>
          <w:sz w:val="24"/>
          <w14:textFill>
            <w14:solidFill>
              <w14:schemeClr w14:val="tx1"/>
            </w14:solidFill>
          </w14:textFill>
        </w:rPr>
      </w:pPr>
      <w:r>
        <w:rPr>
          <w:rFonts w:hint="default" w:ascii="Times New Roman" w:hAnsi="Times New Roman" w:eastAsia="宋体" w:cs="Times New Roman"/>
          <w:bCs w:val="0"/>
          <w:color w:val="000000" w:themeColor="text1"/>
          <w:sz w:val="24"/>
          <w:lang w:val="en-US" w:eastAsia="zh-CN"/>
          <w14:textFill>
            <w14:solidFill>
              <w14:schemeClr w14:val="tx1"/>
            </w14:solidFill>
          </w14:textFill>
        </w:rPr>
        <w:t>5.1.3.4</w:t>
      </w:r>
      <w:r>
        <w:rPr>
          <w:rFonts w:hint="default" w:ascii="Times New Roman" w:hAnsi="Times New Roman" w:eastAsia="宋体" w:cs="Times New Roman"/>
          <w:bCs w:val="0"/>
          <w:color w:val="000000" w:themeColor="text1"/>
          <w:sz w:val="24"/>
          <w14:textFill>
            <w14:solidFill>
              <w14:schemeClr w14:val="tx1"/>
            </w14:solidFill>
          </w14:textFill>
        </w:rPr>
        <w:t>大气环境影响评价自查表</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建设项目大气环境影响评价自查表</w:t>
      </w:r>
      <w:r>
        <w:rPr>
          <w:rFonts w:hint="eastAsia" w:ascii="Times New Roman" w:hAnsi="Times New Roman" w:cs="Times New Roman"/>
          <w:color w:val="000000" w:themeColor="text1"/>
          <w:sz w:val="24"/>
          <w:szCs w:val="24"/>
          <w:lang w:eastAsia="zh-CN"/>
          <w14:textFill>
            <w14:solidFill>
              <w14:schemeClr w14:val="tx1"/>
            </w14:solidFill>
          </w14:textFill>
        </w:rPr>
        <w:t>，见表</w:t>
      </w:r>
      <w:r>
        <w:rPr>
          <w:rFonts w:hint="eastAsia" w:ascii="Times New Roman" w:hAnsi="Times New Roman" w:cs="Times New Roman"/>
          <w:color w:val="000000" w:themeColor="text1"/>
          <w:sz w:val="24"/>
          <w:szCs w:val="24"/>
          <w:lang w:val="en-US" w:eastAsia="zh-CN"/>
          <w14:textFill>
            <w14:solidFill>
              <w14:schemeClr w14:val="tx1"/>
            </w14:solidFill>
          </w14:textFill>
        </w:rPr>
        <w:t>5.1-10</w:t>
      </w:r>
      <w:r>
        <w:rPr>
          <w:rFonts w:hint="default" w:ascii="Times New Roman" w:hAnsi="Times New Roman" w:cs="Times New Roman"/>
          <w:color w:val="000000" w:themeColor="text1"/>
          <w:sz w:val="24"/>
          <w:szCs w:val="24"/>
          <w14:textFill>
            <w14:solidFill>
              <w14:schemeClr w14:val="tx1"/>
            </w14:solidFill>
          </w14:textFill>
        </w:rPr>
        <w:t>。</w:t>
      </w:r>
    </w:p>
    <w:p>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bCs/>
          <w:color w:val="000000" w:themeColor="text1"/>
          <w:kern w:val="2"/>
          <w:sz w:val="21"/>
          <w:szCs w:val="22"/>
          <w:lang w:eastAsia="zh-CN"/>
          <w14:textFill>
            <w14:solidFill>
              <w14:schemeClr w14:val="tx1"/>
            </w14:solidFill>
          </w14:textFill>
        </w:rPr>
        <w:t>表</w:t>
      </w:r>
      <w:r>
        <w:rPr>
          <w:rFonts w:hint="eastAsia" w:ascii="Times New Roman" w:hAnsi="Times New Roman" w:cs="Times New Roman"/>
          <w:b/>
          <w:bCs/>
          <w:color w:val="000000" w:themeColor="text1"/>
          <w:kern w:val="2"/>
          <w:sz w:val="21"/>
          <w:szCs w:val="22"/>
          <w:lang w:val="en-US" w:eastAsia="zh-CN"/>
          <w14:textFill>
            <w14:solidFill>
              <w14:schemeClr w14:val="tx1"/>
            </w14:solidFill>
          </w14:textFill>
        </w:rPr>
        <w:t>5.1-10</w:t>
      </w:r>
      <w:r>
        <w:rPr>
          <w:rFonts w:hint="default" w:ascii="Times New Roman" w:hAnsi="Times New Roman" w:cs="Times New Roman"/>
          <w:b/>
          <w:bCs/>
          <w:color w:val="000000" w:themeColor="text1"/>
          <w:kern w:val="2"/>
          <w:sz w:val="21"/>
          <w:szCs w:val="22"/>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 xml:space="preserve">建设项目大气环境影响评价自查表 </w:t>
      </w:r>
    </w:p>
    <w:tbl>
      <w:tblPr>
        <w:tblStyle w:val="21"/>
        <w:tblW w:w="97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925"/>
        <w:gridCol w:w="1013"/>
        <w:gridCol w:w="588"/>
        <w:gridCol w:w="279"/>
        <w:gridCol w:w="323"/>
        <w:gridCol w:w="452"/>
        <w:gridCol w:w="277"/>
        <w:gridCol w:w="361"/>
        <w:gridCol w:w="650"/>
        <w:gridCol w:w="127"/>
        <w:gridCol w:w="41"/>
        <w:gridCol w:w="620"/>
        <w:gridCol w:w="356"/>
        <w:gridCol w:w="260"/>
        <w:gridCol w:w="604"/>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6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工作内容</w:t>
            </w:r>
          </w:p>
        </w:tc>
        <w:tc>
          <w:tcPr>
            <w:tcW w:w="6682" w:type="dxa"/>
            <w:gridSpan w:val="15"/>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评价等级与范围</w:t>
            </w: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评价等级</w:t>
            </w:r>
          </w:p>
        </w:tc>
        <w:tc>
          <w:tcPr>
            <w:tcW w:w="2655"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一级□</w:t>
            </w:r>
          </w:p>
        </w:tc>
        <w:tc>
          <w:tcPr>
            <w:tcW w:w="207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二级</w:t>
            </w:r>
            <w:r>
              <w:rPr>
                <w:rFonts w:hint="default" w:ascii="Times New Roman" w:hAnsi="Times New Roman" w:cs="Times New Roman"/>
                <w:color w:val="000000" w:themeColor="text1"/>
                <w:sz w:val="18"/>
                <w:szCs w:val="18"/>
                <w14:textFill>
                  <w14:solidFill>
                    <w14:schemeClr w14:val="tx1"/>
                  </w14:solidFill>
                </w14:textFill>
              </w:rPr>
              <w:sym w:font="Wingdings 2" w:char="0052"/>
            </w:r>
          </w:p>
        </w:tc>
        <w:tc>
          <w:tcPr>
            <w:tcW w:w="195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评价范围</w:t>
            </w:r>
          </w:p>
        </w:tc>
        <w:tc>
          <w:tcPr>
            <w:tcW w:w="2655"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边长=50km□</w:t>
            </w:r>
          </w:p>
        </w:tc>
        <w:tc>
          <w:tcPr>
            <w:tcW w:w="207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边长5～50km□</w:t>
            </w:r>
          </w:p>
        </w:tc>
        <w:tc>
          <w:tcPr>
            <w:tcW w:w="195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边长=5km</w:t>
            </w:r>
            <w:r>
              <w:rPr>
                <w:rFonts w:hint="default" w:ascii="Times New Roman" w:hAnsi="Times New Roman" w:cs="Times New Roman"/>
                <w:color w:val="000000" w:themeColor="text1"/>
                <w:sz w:val="18"/>
                <w:szCs w:val="18"/>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评价因子</w:t>
            </w: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SO</w:t>
            </w:r>
            <w:r>
              <w:rPr>
                <w:rFonts w:hint="default" w:ascii="Times New Roman" w:hAnsi="Times New Roman" w:cs="Times New Roman"/>
                <w:color w:val="000000" w:themeColor="text1"/>
                <w:sz w:val="18"/>
                <w:szCs w:val="18"/>
                <w:vertAlign w:val="subscript"/>
                <w14:textFill>
                  <w14:solidFill>
                    <w14:schemeClr w14:val="tx1"/>
                  </w14:solidFill>
                </w14:textFill>
              </w:rPr>
              <w:t>2</w:t>
            </w:r>
            <w:r>
              <w:rPr>
                <w:rFonts w:hint="default" w:ascii="Times New Roman" w:hAnsi="Times New Roman" w:cs="Times New Roman"/>
                <w:color w:val="000000" w:themeColor="text1"/>
                <w:sz w:val="18"/>
                <w:szCs w:val="18"/>
                <w14:textFill>
                  <w14:solidFill>
                    <w14:schemeClr w14:val="tx1"/>
                  </w14:solidFill>
                </w14:textFill>
              </w:rPr>
              <w:t>+NOx排放量</w:t>
            </w:r>
          </w:p>
        </w:tc>
        <w:tc>
          <w:tcPr>
            <w:tcW w:w="2655"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≥2000t/a□</w:t>
            </w:r>
          </w:p>
        </w:tc>
        <w:tc>
          <w:tcPr>
            <w:tcW w:w="207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500～2000t/a□</w:t>
            </w:r>
          </w:p>
        </w:tc>
        <w:tc>
          <w:tcPr>
            <w:tcW w:w="195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＜500t/a</w:t>
            </w:r>
            <w:r>
              <w:rPr>
                <w:rFonts w:hint="default" w:ascii="Times New Roman" w:hAnsi="Times New Roman" w:cs="Times New Roman"/>
                <w:color w:val="000000" w:themeColor="text1"/>
                <w:sz w:val="18"/>
                <w:szCs w:val="18"/>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评价因子</w:t>
            </w:r>
          </w:p>
        </w:tc>
        <w:tc>
          <w:tcPr>
            <w:tcW w:w="3293"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基本污染物（SO</w:t>
            </w:r>
            <w:r>
              <w:rPr>
                <w:rFonts w:hint="default" w:ascii="Times New Roman" w:hAnsi="Times New Roman" w:cs="Times New Roman"/>
                <w:color w:val="000000" w:themeColor="text1"/>
                <w:sz w:val="18"/>
                <w:szCs w:val="18"/>
                <w:vertAlign w:val="subscript"/>
                <w14:textFill>
                  <w14:solidFill>
                    <w14:schemeClr w14:val="tx1"/>
                  </w14:solidFill>
                </w14:textFill>
              </w:rPr>
              <w:t>2</w:t>
            </w:r>
            <w:r>
              <w:rPr>
                <w:rFonts w:hint="default" w:ascii="Times New Roman" w:hAnsi="Times New Roman" w:cs="Times New Roman"/>
                <w:color w:val="000000" w:themeColor="text1"/>
                <w:sz w:val="18"/>
                <w:szCs w:val="18"/>
                <w14:textFill>
                  <w14:solidFill>
                    <w14:schemeClr w14:val="tx1"/>
                  </w14:solidFill>
                </w14:textFill>
              </w:rPr>
              <w:t>、NO</w:t>
            </w:r>
            <w:r>
              <w:rPr>
                <w:rFonts w:hint="default" w:ascii="Times New Roman" w:hAnsi="Times New Roman" w:cs="Times New Roman"/>
                <w:color w:val="000000" w:themeColor="text1"/>
                <w:sz w:val="18"/>
                <w:szCs w:val="18"/>
                <w:vertAlign w:val="subscript"/>
                <w14:textFill>
                  <w14:solidFill>
                    <w14:schemeClr w14:val="tx1"/>
                  </w14:solidFill>
                </w14:textFill>
              </w:rPr>
              <w:t>2</w:t>
            </w:r>
            <w:r>
              <w:rPr>
                <w:rFonts w:hint="default" w:ascii="Times New Roman" w:hAnsi="Times New Roman" w:cs="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lang w:val="en-US" w:eastAsia="zh-CN"/>
                <w14:textFill>
                  <w14:solidFill>
                    <w14:schemeClr w14:val="tx1"/>
                  </w14:solidFill>
                </w14:textFill>
              </w:rPr>
              <w:t>PM</w:t>
            </w:r>
            <w:r>
              <w:rPr>
                <w:rFonts w:hint="eastAsia" w:ascii="Times New Roman" w:hAnsi="Times New Roman" w:cs="Times New Roman"/>
                <w:color w:val="000000" w:themeColor="text1"/>
                <w:sz w:val="18"/>
                <w:szCs w:val="18"/>
                <w:vertAlign w:val="subscript"/>
                <w:lang w:val="en-US" w:eastAsia="zh-CN"/>
                <w14:textFill>
                  <w14:solidFill>
                    <w14:schemeClr w14:val="tx1"/>
                  </w14:solidFill>
                </w14:textFill>
              </w:rPr>
              <w:t>10</w:t>
            </w:r>
            <w:r>
              <w:rPr>
                <w:rFonts w:hint="default" w:ascii="Times New Roman" w:hAnsi="Times New Roman" w:cs="Times New Roman"/>
                <w:color w:val="000000" w:themeColor="text1"/>
                <w:sz w:val="18"/>
                <w:szCs w:val="18"/>
                <w14:textFill>
                  <w14:solidFill>
                    <w14:schemeClr w14:val="tx1"/>
                  </w14:solidFill>
                </w14:textFill>
              </w:rPr>
              <w:t>）</w:t>
            </w:r>
          </w:p>
        </w:tc>
        <w:tc>
          <w:tcPr>
            <w:tcW w:w="3389"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  包括二次PM</w:t>
            </w:r>
            <w:r>
              <w:rPr>
                <w:rFonts w:hint="default" w:ascii="Times New Roman" w:hAnsi="Times New Roman" w:cs="Times New Roman"/>
                <w:color w:val="000000" w:themeColor="text1"/>
                <w:sz w:val="18"/>
                <w:szCs w:val="18"/>
                <w:vertAlign w:val="subscript"/>
                <w14:textFill>
                  <w14:solidFill>
                    <w14:schemeClr w14:val="tx1"/>
                  </w14:solidFill>
                </w14:textFill>
              </w:rPr>
              <w:t>2.5</w:t>
            </w:r>
            <w:r>
              <w:rPr>
                <w:rFonts w:hint="default" w:ascii="Times New Roman" w:hAnsi="Times New Roman" w:cs="Times New Roman"/>
                <w:color w:val="000000" w:themeColor="text1"/>
                <w:sz w:val="18"/>
                <w:szCs w:val="1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不包括二次PM</w:t>
            </w:r>
            <w:r>
              <w:rPr>
                <w:rFonts w:hint="default" w:ascii="Times New Roman" w:hAnsi="Times New Roman" w:cs="Times New Roman"/>
                <w:color w:val="000000" w:themeColor="text1"/>
                <w:sz w:val="18"/>
                <w:szCs w:val="18"/>
                <w:vertAlign w:val="subscript"/>
                <w14:textFill>
                  <w14:solidFill>
                    <w14:schemeClr w14:val="tx1"/>
                  </w14:solidFill>
                </w14:textFill>
              </w:rPr>
              <w:t>2.5</w:t>
            </w:r>
            <w:r>
              <w:rPr>
                <w:rFonts w:hint="default" w:ascii="Times New Roman" w:hAnsi="Times New Roman" w:cs="Times New Roman"/>
                <w:color w:val="000000" w:themeColor="text1"/>
                <w:sz w:val="18"/>
                <w:szCs w:val="18"/>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评价标准</w:t>
            </w: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评价标准</w:t>
            </w:r>
          </w:p>
        </w:tc>
        <w:tc>
          <w:tcPr>
            <w:tcW w:w="188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国家标准</w:t>
            </w:r>
            <w:r>
              <w:rPr>
                <w:rFonts w:hint="default" w:ascii="Times New Roman" w:hAnsi="Times New Roman" w:cs="Times New Roman"/>
                <w:color w:val="000000" w:themeColor="text1"/>
                <w:sz w:val="18"/>
                <w:szCs w:val="18"/>
                <w14:textFill>
                  <w14:solidFill>
                    <w14:schemeClr w14:val="tx1"/>
                  </w14:solidFill>
                </w14:textFill>
              </w:rPr>
              <w:sym w:font="Wingdings 2" w:char="0052"/>
            </w:r>
          </w:p>
        </w:tc>
        <w:tc>
          <w:tcPr>
            <w:tcW w:w="141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地方标准□</w:t>
            </w:r>
          </w:p>
        </w:tc>
        <w:tc>
          <w:tcPr>
            <w:tcW w:w="1438"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附录D</w:t>
            </w:r>
            <w:r>
              <w:rPr>
                <w:rFonts w:hint="default" w:ascii="Times New Roman" w:hAnsi="Times New Roman" w:cs="Times New Roman"/>
                <w:color w:val="000000" w:themeColor="text1"/>
                <w:sz w:val="18"/>
                <w:szCs w:val="18"/>
                <w14:textFill>
                  <w14:solidFill>
                    <w14:schemeClr w14:val="tx1"/>
                  </w14:solidFill>
                </w14:textFill>
              </w:rPr>
              <w:sym w:font="Wingdings 2" w:char="00A3"/>
            </w:r>
          </w:p>
        </w:tc>
        <w:tc>
          <w:tcPr>
            <w:tcW w:w="195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现状评价</w:t>
            </w: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环境功能区</w:t>
            </w:r>
          </w:p>
        </w:tc>
        <w:tc>
          <w:tcPr>
            <w:tcW w:w="2655"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一类区□</w:t>
            </w:r>
          </w:p>
        </w:tc>
        <w:tc>
          <w:tcPr>
            <w:tcW w:w="207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二类区</w:t>
            </w:r>
            <w:r>
              <w:rPr>
                <w:rFonts w:hint="default" w:ascii="Times New Roman" w:hAnsi="Times New Roman" w:cs="Times New Roman"/>
                <w:color w:val="000000" w:themeColor="text1"/>
                <w:sz w:val="18"/>
                <w:szCs w:val="18"/>
                <w14:textFill>
                  <w14:solidFill>
                    <w14:schemeClr w14:val="tx1"/>
                  </w14:solidFill>
                </w14:textFill>
              </w:rPr>
              <w:sym w:font="Wingdings 2" w:char="0052"/>
            </w:r>
          </w:p>
        </w:tc>
        <w:tc>
          <w:tcPr>
            <w:tcW w:w="195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评价基准年</w:t>
            </w:r>
          </w:p>
        </w:tc>
        <w:tc>
          <w:tcPr>
            <w:tcW w:w="6682" w:type="dxa"/>
            <w:gridSpan w:val="15"/>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2017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环境空气质量现状调查数据来源</w:t>
            </w:r>
          </w:p>
        </w:tc>
        <w:tc>
          <w:tcPr>
            <w:tcW w:w="2655"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长期例行监测数据</w:t>
            </w:r>
            <w:r>
              <w:rPr>
                <w:rFonts w:hint="default" w:ascii="Times New Roman" w:hAnsi="Times New Roman" w:cs="Times New Roman"/>
                <w:color w:val="000000" w:themeColor="text1"/>
                <w:sz w:val="18"/>
                <w:szCs w:val="18"/>
                <w14:textFill>
                  <w14:solidFill>
                    <w14:schemeClr w14:val="tx1"/>
                  </w14:solidFill>
                </w14:textFill>
              </w:rPr>
              <w:sym w:font="Wingdings 2" w:char="0052"/>
            </w:r>
          </w:p>
        </w:tc>
        <w:tc>
          <w:tcPr>
            <w:tcW w:w="207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主管部门发布的数据□</w:t>
            </w:r>
          </w:p>
        </w:tc>
        <w:tc>
          <w:tcPr>
            <w:tcW w:w="195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现状补充数据</w:t>
            </w:r>
            <w:r>
              <w:rPr>
                <w:rFonts w:hint="default" w:ascii="Times New Roman" w:hAnsi="Times New Roman" w:cs="Times New Roman"/>
                <w:color w:val="000000" w:themeColor="text1"/>
                <w:sz w:val="18"/>
                <w:szCs w:val="18"/>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现状评价</w:t>
            </w:r>
          </w:p>
        </w:tc>
        <w:tc>
          <w:tcPr>
            <w:tcW w:w="4111" w:type="dxa"/>
            <w:gridSpan w:val="10"/>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达标区</w:t>
            </w:r>
            <w:r>
              <w:rPr>
                <w:rFonts w:hint="default" w:ascii="Times New Roman" w:hAnsi="Times New Roman" w:cs="Times New Roman"/>
                <w:color w:val="000000" w:themeColor="text1"/>
                <w:sz w:val="18"/>
                <w:szCs w:val="18"/>
                <w14:textFill>
                  <w14:solidFill>
                    <w14:schemeClr w14:val="tx1"/>
                  </w14:solidFill>
                </w14:textFill>
              </w:rPr>
              <w:sym w:font="Wingdings 2" w:char="0052"/>
            </w:r>
          </w:p>
        </w:tc>
        <w:tc>
          <w:tcPr>
            <w:tcW w:w="2571"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污染源调查</w:t>
            </w: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调查内容</w:t>
            </w:r>
          </w:p>
        </w:tc>
        <w:tc>
          <w:tcPr>
            <w:tcW w:w="220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本项目正常排放源</w:t>
            </w:r>
            <w:r>
              <w:rPr>
                <w:rFonts w:hint="default" w:ascii="Times New Roman" w:hAnsi="Times New Roman" w:cs="Times New Roman"/>
                <w:color w:val="000000" w:themeColor="text1"/>
                <w:sz w:val="18"/>
                <w:szCs w:val="18"/>
                <w14:textFill>
                  <w14:solidFill>
                    <w14:schemeClr w14:val="tx1"/>
                  </w14:solidFill>
                </w14:textFill>
              </w:rPr>
              <w:sym w:font="Wingdings 2" w:char="0052"/>
            </w:r>
          </w:p>
          <w:p>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本项目非正常排放源□</w:t>
            </w:r>
          </w:p>
          <w:p>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现有污染源□</w:t>
            </w:r>
          </w:p>
        </w:tc>
        <w:tc>
          <w:tcPr>
            <w:tcW w:w="174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拟替代的污染源□</w:t>
            </w:r>
          </w:p>
        </w:tc>
        <w:tc>
          <w:tcPr>
            <w:tcW w:w="140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其他在建、拟建项目污染源□</w:t>
            </w:r>
          </w:p>
        </w:tc>
        <w:tc>
          <w:tcPr>
            <w:tcW w:w="133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大气环境影响预测与评价</w:t>
            </w: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预测模型</w:t>
            </w: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AERMOD□</w:t>
            </w:r>
          </w:p>
        </w:tc>
        <w:tc>
          <w:tcPr>
            <w:tcW w:w="58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ADMS□</w:t>
            </w:r>
          </w:p>
        </w:tc>
        <w:tc>
          <w:tcPr>
            <w:tcW w:w="133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AUSTAL2000□</w:t>
            </w:r>
          </w:p>
        </w:tc>
        <w:tc>
          <w:tcPr>
            <w:tcW w:w="113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EDMS/AEDT□</w:t>
            </w:r>
          </w:p>
        </w:tc>
        <w:tc>
          <w:tcPr>
            <w:tcW w:w="1017"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CALPUFF□</w:t>
            </w:r>
          </w:p>
        </w:tc>
        <w:tc>
          <w:tcPr>
            <w:tcW w:w="86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网格模型□</w:t>
            </w:r>
          </w:p>
        </w:tc>
        <w:tc>
          <w:tcPr>
            <w:tcW w:w="7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其他</w:t>
            </w:r>
            <w:r>
              <w:rPr>
                <w:rFonts w:hint="default" w:ascii="Times New Roman" w:hAnsi="Times New Roman" w:cs="Times New Roman"/>
                <w:color w:val="000000" w:themeColor="text1"/>
                <w:sz w:val="18"/>
                <w:szCs w:val="18"/>
                <w14:textFill>
                  <w14:solidFill>
                    <w14:schemeClr w14:val="tx1"/>
                  </w14:solidFill>
                </w14:textFill>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预测范围</w:t>
            </w:r>
          </w:p>
        </w:tc>
        <w:tc>
          <w:tcPr>
            <w:tcW w:w="2655"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边长=50km□</w:t>
            </w:r>
          </w:p>
        </w:tc>
        <w:tc>
          <w:tcPr>
            <w:tcW w:w="207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边长5～50km□</w:t>
            </w:r>
          </w:p>
        </w:tc>
        <w:tc>
          <w:tcPr>
            <w:tcW w:w="195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边长=5km</w:t>
            </w:r>
            <w:r>
              <w:rPr>
                <w:rFonts w:hint="default" w:ascii="Times New Roman" w:hAnsi="Times New Roman" w:cs="Times New Roman"/>
                <w:color w:val="000000" w:themeColor="text1"/>
                <w:sz w:val="18"/>
                <w:szCs w:val="18"/>
                <w14:textFill>
                  <w14:solidFill>
                    <w14:schemeClr w14:val="tx1"/>
                  </w14:solidFill>
                </w14:textFill>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预测因子</w:t>
            </w:r>
          </w:p>
        </w:tc>
        <w:tc>
          <w:tcPr>
            <w:tcW w:w="3293"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预测因子（      ）</w:t>
            </w:r>
          </w:p>
        </w:tc>
        <w:tc>
          <w:tcPr>
            <w:tcW w:w="3389"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  包括二次PM</w:t>
            </w:r>
            <w:r>
              <w:rPr>
                <w:rFonts w:hint="default" w:ascii="Times New Roman" w:hAnsi="Times New Roman" w:cs="Times New Roman"/>
                <w:color w:val="000000" w:themeColor="text1"/>
                <w:sz w:val="18"/>
                <w:szCs w:val="18"/>
                <w:vertAlign w:val="subscript"/>
                <w14:textFill>
                  <w14:solidFill>
                    <w14:schemeClr w14:val="tx1"/>
                  </w14:solidFill>
                </w14:textFill>
              </w:rPr>
              <w:t>2.5</w:t>
            </w:r>
            <w:r>
              <w:rPr>
                <w:rFonts w:hint="default" w:ascii="Times New Roman" w:hAnsi="Times New Roman" w:cs="Times New Roman"/>
                <w:color w:val="000000" w:themeColor="text1"/>
                <w:sz w:val="18"/>
                <w:szCs w:val="1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不包括二次PM</w:t>
            </w:r>
            <w:r>
              <w:rPr>
                <w:rFonts w:hint="default" w:ascii="Times New Roman" w:hAnsi="Times New Roman" w:cs="Times New Roman"/>
                <w:color w:val="000000" w:themeColor="text1"/>
                <w:sz w:val="18"/>
                <w:szCs w:val="18"/>
                <w:vertAlign w:val="subscript"/>
                <w14:textFill>
                  <w14:solidFill>
                    <w14:schemeClr w14:val="tx1"/>
                  </w14:solidFill>
                </w14:textFill>
              </w:rPr>
              <w:t>2.5</w:t>
            </w:r>
            <w:r>
              <w:rPr>
                <w:rFonts w:hint="default" w:ascii="Times New Roman" w:hAnsi="Times New Roman" w:cs="Times New Roman"/>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正常排放短期浓度贡献值</w:t>
            </w:r>
          </w:p>
        </w:tc>
        <w:tc>
          <w:tcPr>
            <w:tcW w:w="3293"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w:t>
            </w:r>
            <w:r>
              <w:rPr>
                <w:rFonts w:hint="default" w:ascii="Times New Roman" w:hAnsi="Times New Roman" w:cs="Times New Roman"/>
                <w:color w:val="000000" w:themeColor="text1"/>
                <w:sz w:val="18"/>
                <w:szCs w:val="18"/>
                <w:vertAlign w:val="subscript"/>
                <w14:textFill>
                  <w14:solidFill>
                    <w14:schemeClr w14:val="tx1"/>
                  </w14:solidFill>
                </w14:textFill>
              </w:rPr>
              <w:t>本项目</w:t>
            </w:r>
            <w:r>
              <w:rPr>
                <w:rFonts w:hint="default" w:ascii="Times New Roman" w:hAnsi="Times New Roman" w:cs="Times New Roman"/>
                <w:color w:val="000000" w:themeColor="text1"/>
                <w:sz w:val="18"/>
                <w:szCs w:val="18"/>
                <w14:textFill>
                  <w14:solidFill>
                    <w14:schemeClr w14:val="tx1"/>
                  </w14:solidFill>
                </w14:textFill>
              </w:rPr>
              <w:t>最大占标率≤100%□</w:t>
            </w:r>
          </w:p>
        </w:tc>
        <w:tc>
          <w:tcPr>
            <w:tcW w:w="3389"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w:t>
            </w:r>
            <w:r>
              <w:rPr>
                <w:rFonts w:hint="default" w:ascii="Times New Roman" w:hAnsi="Times New Roman" w:cs="Times New Roman"/>
                <w:color w:val="000000" w:themeColor="text1"/>
                <w:sz w:val="18"/>
                <w:szCs w:val="18"/>
                <w:vertAlign w:val="subscript"/>
                <w14:textFill>
                  <w14:solidFill>
                    <w14:schemeClr w14:val="tx1"/>
                  </w14:solidFill>
                </w14:textFill>
              </w:rPr>
              <w:t>本项目</w:t>
            </w:r>
            <w:r>
              <w:rPr>
                <w:rFonts w:hint="default" w:ascii="Times New Roman" w:hAnsi="Times New Roman" w:cs="Times New Roman"/>
                <w:color w:val="000000" w:themeColor="text1"/>
                <w:sz w:val="18"/>
                <w:szCs w:val="18"/>
                <w14:textFill>
                  <w14:solidFill>
                    <w14:schemeClr w14:val="tx1"/>
                  </w14:solidFill>
                </w14:textFill>
              </w:rPr>
              <w:t>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92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正常排放年均浓度贡献值</w:t>
            </w: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一类区</w:t>
            </w:r>
          </w:p>
        </w:tc>
        <w:tc>
          <w:tcPr>
            <w:tcW w:w="2280"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w:t>
            </w:r>
            <w:r>
              <w:rPr>
                <w:rFonts w:hint="default" w:ascii="Times New Roman" w:hAnsi="Times New Roman" w:cs="Times New Roman"/>
                <w:color w:val="000000" w:themeColor="text1"/>
                <w:sz w:val="18"/>
                <w:szCs w:val="18"/>
                <w:vertAlign w:val="subscript"/>
                <w14:textFill>
                  <w14:solidFill>
                    <w14:schemeClr w14:val="tx1"/>
                  </w14:solidFill>
                </w14:textFill>
              </w:rPr>
              <w:t>本项目</w:t>
            </w:r>
            <w:r>
              <w:rPr>
                <w:rFonts w:hint="default" w:ascii="Times New Roman" w:hAnsi="Times New Roman" w:cs="Times New Roman"/>
                <w:color w:val="000000" w:themeColor="text1"/>
                <w:sz w:val="18"/>
                <w:szCs w:val="18"/>
                <w14:textFill>
                  <w14:solidFill>
                    <w14:schemeClr w14:val="tx1"/>
                  </w14:solidFill>
                </w14:textFill>
              </w:rPr>
              <w:t>最大占标率≤10%□</w:t>
            </w:r>
          </w:p>
        </w:tc>
        <w:tc>
          <w:tcPr>
            <w:tcW w:w="3389"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w:t>
            </w:r>
            <w:r>
              <w:rPr>
                <w:rFonts w:hint="default" w:ascii="Times New Roman" w:hAnsi="Times New Roman" w:cs="Times New Roman"/>
                <w:color w:val="000000" w:themeColor="text1"/>
                <w:sz w:val="18"/>
                <w:szCs w:val="18"/>
                <w:vertAlign w:val="subscript"/>
                <w14:textFill>
                  <w14:solidFill>
                    <w14:schemeClr w14:val="tx1"/>
                  </w14:solidFill>
                </w14:textFill>
              </w:rPr>
              <w:t>本项目</w:t>
            </w:r>
            <w:r>
              <w:rPr>
                <w:rFonts w:hint="default" w:ascii="Times New Roman" w:hAnsi="Times New Roman" w:cs="Times New Roman"/>
                <w:color w:val="000000" w:themeColor="text1"/>
                <w:sz w:val="18"/>
                <w:szCs w:val="18"/>
                <w14:textFill>
                  <w14:solidFill>
                    <w14:schemeClr w14:val="tx1"/>
                  </w14:solidFill>
                </w14:textFill>
              </w:rPr>
              <w:t>最大占标率＞10%□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92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二类区</w:t>
            </w:r>
          </w:p>
        </w:tc>
        <w:tc>
          <w:tcPr>
            <w:tcW w:w="2280"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w:t>
            </w:r>
            <w:r>
              <w:rPr>
                <w:rFonts w:hint="default" w:ascii="Times New Roman" w:hAnsi="Times New Roman" w:cs="Times New Roman"/>
                <w:color w:val="000000" w:themeColor="text1"/>
                <w:sz w:val="18"/>
                <w:szCs w:val="18"/>
                <w:vertAlign w:val="subscript"/>
                <w14:textFill>
                  <w14:solidFill>
                    <w14:schemeClr w14:val="tx1"/>
                  </w14:solidFill>
                </w14:textFill>
              </w:rPr>
              <w:t>本项目</w:t>
            </w:r>
            <w:r>
              <w:rPr>
                <w:rFonts w:hint="default" w:ascii="Times New Roman" w:hAnsi="Times New Roman" w:cs="Times New Roman"/>
                <w:color w:val="000000" w:themeColor="text1"/>
                <w:sz w:val="18"/>
                <w:szCs w:val="18"/>
                <w14:textFill>
                  <w14:solidFill>
                    <w14:schemeClr w14:val="tx1"/>
                  </w14:solidFill>
                </w14:textFill>
              </w:rPr>
              <w:t>最大占标率≤30%□</w:t>
            </w:r>
          </w:p>
        </w:tc>
        <w:tc>
          <w:tcPr>
            <w:tcW w:w="3389"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w:t>
            </w:r>
            <w:r>
              <w:rPr>
                <w:rFonts w:hint="default" w:ascii="Times New Roman" w:hAnsi="Times New Roman" w:cs="Times New Roman"/>
                <w:color w:val="000000" w:themeColor="text1"/>
                <w:sz w:val="18"/>
                <w:szCs w:val="18"/>
                <w:vertAlign w:val="subscript"/>
                <w14:textFill>
                  <w14:solidFill>
                    <w14:schemeClr w14:val="tx1"/>
                  </w14:solidFill>
                </w14:textFill>
              </w:rPr>
              <w:t>本项目</w:t>
            </w:r>
            <w:r>
              <w:rPr>
                <w:rFonts w:hint="default" w:ascii="Times New Roman" w:hAnsi="Times New Roman" w:cs="Times New Roman"/>
                <w:color w:val="000000" w:themeColor="text1"/>
                <w:sz w:val="18"/>
                <w:szCs w:val="18"/>
                <w14:textFill>
                  <w14:solidFill>
                    <w14:schemeClr w14:val="tx1"/>
                  </w14:solidFill>
                </w14:textFill>
              </w:rPr>
              <w:t>最大占标率＞30%□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非正常排放1h浓度贡献值</w:t>
            </w:r>
          </w:p>
        </w:tc>
        <w:tc>
          <w:tcPr>
            <w:tcW w:w="2655"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非正常持续时长（）h</w:t>
            </w:r>
          </w:p>
        </w:tc>
        <w:tc>
          <w:tcPr>
            <w:tcW w:w="207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w:t>
            </w:r>
            <w:r>
              <w:rPr>
                <w:rFonts w:hint="default" w:ascii="Times New Roman" w:hAnsi="Times New Roman" w:cs="Times New Roman"/>
                <w:color w:val="000000" w:themeColor="text1"/>
                <w:sz w:val="18"/>
                <w:szCs w:val="18"/>
                <w:vertAlign w:val="subscript"/>
                <w14:textFill>
                  <w14:solidFill>
                    <w14:schemeClr w14:val="tx1"/>
                  </w14:solidFill>
                </w14:textFill>
              </w:rPr>
              <w:t>非正常</w:t>
            </w:r>
            <w:r>
              <w:rPr>
                <w:rFonts w:hint="default" w:ascii="Times New Roman" w:hAnsi="Times New Roman" w:cs="Times New Roman"/>
                <w:color w:val="000000" w:themeColor="text1"/>
                <w:sz w:val="18"/>
                <w:szCs w:val="18"/>
                <w14:textFill>
                  <w14:solidFill>
                    <w14:schemeClr w14:val="tx1"/>
                  </w14:solidFill>
                </w14:textFill>
              </w:rPr>
              <w:t>占标率≤100%□</w:t>
            </w:r>
          </w:p>
        </w:tc>
        <w:tc>
          <w:tcPr>
            <w:tcW w:w="195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w:t>
            </w:r>
            <w:r>
              <w:rPr>
                <w:rFonts w:hint="default" w:ascii="Times New Roman" w:hAnsi="Times New Roman" w:cs="Times New Roman"/>
                <w:color w:val="000000" w:themeColor="text1"/>
                <w:sz w:val="18"/>
                <w:szCs w:val="18"/>
                <w:vertAlign w:val="subscript"/>
                <w14:textFill>
                  <w14:solidFill>
                    <w14:schemeClr w14:val="tx1"/>
                  </w14:solidFill>
                </w14:textFill>
              </w:rPr>
              <w:t>非正常</w:t>
            </w:r>
            <w:r>
              <w:rPr>
                <w:rFonts w:hint="default" w:ascii="Times New Roman" w:hAnsi="Times New Roman" w:cs="Times New Roman"/>
                <w:color w:val="000000" w:themeColor="text1"/>
                <w:sz w:val="18"/>
                <w:szCs w:val="18"/>
                <w14:textFill>
                  <w14:solidFill>
                    <w14:schemeClr w14:val="tx1"/>
                  </w14:solidFill>
                </w14:textFill>
              </w:rPr>
              <w:t>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保证率日平均浓度和年平均浓度叠加值</w:t>
            </w:r>
          </w:p>
        </w:tc>
        <w:tc>
          <w:tcPr>
            <w:tcW w:w="3293"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w:t>
            </w:r>
            <w:r>
              <w:rPr>
                <w:rFonts w:hint="default" w:ascii="Times New Roman" w:hAnsi="Times New Roman" w:cs="Times New Roman"/>
                <w:color w:val="000000" w:themeColor="text1"/>
                <w:sz w:val="18"/>
                <w:szCs w:val="18"/>
                <w:vertAlign w:val="subscript"/>
                <w14:textFill>
                  <w14:solidFill>
                    <w14:schemeClr w14:val="tx1"/>
                  </w14:solidFill>
                </w14:textFill>
              </w:rPr>
              <w:t>叠加</w:t>
            </w:r>
            <w:r>
              <w:rPr>
                <w:rFonts w:hint="default" w:ascii="Times New Roman" w:hAnsi="Times New Roman" w:cs="Times New Roman"/>
                <w:color w:val="000000" w:themeColor="text1"/>
                <w:sz w:val="18"/>
                <w:szCs w:val="18"/>
                <w14:textFill>
                  <w14:solidFill>
                    <w14:schemeClr w14:val="tx1"/>
                  </w14:solidFill>
                </w14:textFill>
              </w:rPr>
              <w:t>达标□</w:t>
            </w:r>
          </w:p>
        </w:tc>
        <w:tc>
          <w:tcPr>
            <w:tcW w:w="3389"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w:t>
            </w:r>
            <w:r>
              <w:rPr>
                <w:rFonts w:hint="default" w:ascii="Times New Roman" w:hAnsi="Times New Roman" w:cs="Times New Roman"/>
                <w:color w:val="000000" w:themeColor="text1"/>
                <w:sz w:val="18"/>
                <w:szCs w:val="18"/>
                <w:vertAlign w:val="subscript"/>
                <w14:textFill>
                  <w14:solidFill>
                    <w14:schemeClr w14:val="tx1"/>
                  </w14:solidFill>
                </w14:textFill>
              </w:rPr>
              <w:t>叠加</w:t>
            </w:r>
            <w:r>
              <w:rPr>
                <w:rFonts w:hint="default" w:ascii="Times New Roman" w:hAnsi="Times New Roman" w:cs="Times New Roman"/>
                <w:color w:val="000000" w:themeColor="text1"/>
                <w:sz w:val="18"/>
                <w:szCs w:val="18"/>
                <w14:textFill>
                  <w14:solidFill>
                    <w14:schemeClr w14:val="tx1"/>
                  </w14:solidFill>
                </w14:textFill>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区域环境质量的整体变化情况</w:t>
            </w:r>
          </w:p>
        </w:tc>
        <w:tc>
          <w:tcPr>
            <w:tcW w:w="3293"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K≤-20%□</w:t>
            </w:r>
          </w:p>
        </w:tc>
        <w:tc>
          <w:tcPr>
            <w:tcW w:w="3389"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K＞-20%□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环境监测计划</w:t>
            </w: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污染源监测</w:t>
            </w:r>
          </w:p>
        </w:tc>
        <w:tc>
          <w:tcPr>
            <w:tcW w:w="2655"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监测因子：（SO</w:t>
            </w:r>
            <w:r>
              <w:rPr>
                <w:rFonts w:hint="default" w:ascii="Times New Roman" w:hAnsi="Times New Roman" w:cs="Times New Roman"/>
                <w:color w:val="000000" w:themeColor="text1"/>
                <w:sz w:val="18"/>
                <w:szCs w:val="18"/>
                <w:vertAlign w:val="subscript"/>
                <w14:textFill>
                  <w14:solidFill>
                    <w14:schemeClr w14:val="tx1"/>
                  </w14:solidFill>
                </w14:textFill>
              </w:rPr>
              <w:t>2</w:t>
            </w:r>
            <w:r>
              <w:rPr>
                <w:rFonts w:hint="default" w:ascii="Times New Roman" w:hAnsi="Times New Roman" w:cs="Times New Roman"/>
                <w:color w:val="000000" w:themeColor="text1"/>
                <w:sz w:val="18"/>
                <w:szCs w:val="18"/>
                <w14:textFill>
                  <w14:solidFill>
                    <w14:schemeClr w14:val="tx1"/>
                  </w14:solidFill>
                </w14:textFill>
              </w:rPr>
              <w:t>、NO</w:t>
            </w:r>
            <w:r>
              <w:rPr>
                <w:rFonts w:hint="default" w:ascii="Times New Roman" w:hAnsi="Times New Roman" w:cs="Times New Roman"/>
                <w:color w:val="000000" w:themeColor="text1"/>
                <w:sz w:val="18"/>
                <w:szCs w:val="18"/>
                <w:vertAlign w:val="subscript"/>
                <w14:textFill>
                  <w14:solidFill>
                    <w14:schemeClr w14:val="tx1"/>
                  </w14:solidFill>
                </w14:textFill>
              </w:rPr>
              <w:t>2</w:t>
            </w:r>
            <w:r>
              <w:rPr>
                <w:rFonts w:hint="default" w:ascii="Times New Roman" w:hAnsi="Times New Roman" w:cs="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lang w:val="en-US" w:eastAsia="zh-CN"/>
                <w14:textFill>
                  <w14:solidFill>
                    <w14:schemeClr w14:val="tx1"/>
                  </w14:solidFill>
                </w14:textFill>
              </w:rPr>
              <w:t>PM</w:t>
            </w:r>
            <w:r>
              <w:rPr>
                <w:rFonts w:hint="eastAsia" w:ascii="Times New Roman" w:hAnsi="Times New Roman" w:cs="Times New Roman"/>
                <w:color w:val="000000" w:themeColor="text1"/>
                <w:sz w:val="18"/>
                <w:szCs w:val="18"/>
                <w:vertAlign w:val="subscript"/>
                <w:lang w:val="en-US" w:eastAsia="zh-CN"/>
                <w14:textFill>
                  <w14:solidFill>
                    <w14:schemeClr w14:val="tx1"/>
                  </w14:solidFill>
                </w14:textFill>
              </w:rPr>
              <w:t>10</w:t>
            </w:r>
            <w:r>
              <w:rPr>
                <w:rFonts w:hint="default" w:ascii="Times New Roman" w:hAnsi="Times New Roman" w:cs="Times New Roman"/>
                <w:color w:val="000000" w:themeColor="text1"/>
                <w:sz w:val="18"/>
                <w:szCs w:val="18"/>
                <w14:textFill>
                  <w14:solidFill>
                    <w14:schemeClr w14:val="tx1"/>
                  </w14:solidFill>
                </w14:textFill>
              </w:rPr>
              <w:t>）</w:t>
            </w:r>
          </w:p>
        </w:tc>
        <w:tc>
          <w:tcPr>
            <w:tcW w:w="207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有组织废气监测</w:t>
            </w:r>
            <w:r>
              <w:rPr>
                <w:rFonts w:hint="default" w:ascii="Times New Roman" w:hAnsi="Times New Roman" w:cs="Times New Roman"/>
                <w:color w:val="000000" w:themeColor="text1"/>
                <w:sz w:val="18"/>
                <w:szCs w:val="18"/>
                <w14:textFill>
                  <w14:solidFill>
                    <w14:schemeClr w14:val="tx1"/>
                  </w14:solidFill>
                </w14:textFill>
              </w:rPr>
              <w:sym w:font="Wingdings 2" w:char="0052"/>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无组织废气监测</w:t>
            </w:r>
            <w:r>
              <w:rPr>
                <w:rFonts w:hint="default" w:ascii="Times New Roman" w:hAnsi="Times New Roman" w:cs="Times New Roman"/>
                <w:color w:val="000000" w:themeColor="text1"/>
                <w:sz w:val="18"/>
                <w:szCs w:val="18"/>
                <w14:textFill>
                  <w14:solidFill>
                    <w14:schemeClr w14:val="tx1"/>
                  </w14:solidFill>
                </w14:textFill>
              </w:rPr>
              <w:sym w:font="Wingdings 2" w:char="00A3"/>
            </w:r>
          </w:p>
        </w:tc>
        <w:tc>
          <w:tcPr>
            <w:tcW w:w="195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环境质量监测</w:t>
            </w:r>
          </w:p>
        </w:tc>
        <w:tc>
          <w:tcPr>
            <w:tcW w:w="2655"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监测因子：（</w:t>
            </w:r>
            <w:r>
              <w:rPr>
                <w:rFonts w:hint="eastAsia" w:ascii="Times New Roman" w:hAnsi="Times New Roman" w:cs="Times New Roman"/>
                <w:color w:val="000000" w:themeColor="text1"/>
                <w:sz w:val="18"/>
                <w:szCs w:val="18"/>
                <w:lang w:val="en-US" w:eastAsia="zh-CN"/>
                <w14:textFill>
                  <w14:solidFill>
                    <w14:schemeClr w14:val="tx1"/>
                  </w14:solidFill>
                </w14:textFill>
              </w:rPr>
              <w:t xml:space="preserve"> </w:t>
            </w:r>
            <w:r>
              <w:rPr>
                <w:rFonts w:hint="eastAsia" w:ascii="Times New Roman" w:hAnsi="Times New Roman" w:cs="Times New Roman"/>
                <w:color w:val="000000" w:themeColor="text1"/>
                <w:sz w:val="18"/>
                <w:szCs w:val="18"/>
                <w:lang w:eastAsia="zh-CN"/>
                <w14:textFill>
                  <w14:solidFill>
                    <w14:schemeClr w14:val="tx1"/>
                  </w14:solidFill>
                </w14:textFill>
              </w:rPr>
              <w:t>颗粒物、氨</w:t>
            </w:r>
            <w:r>
              <w:rPr>
                <w:rFonts w:hint="default" w:ascii="Times New Roman" w:hAnsi="Times New Roman" w:cs="Times New Roman"/>
                <w:color w:val="000000" w:themeColor="text1"/>
                <w:sz w:val="18"/>
                <w:szCs w:val="18"/>
                <w14:textFill>
                  <w14:solidFill>
                    <w14:schemeClr w14:val="tx1"/>
                  </w14:solidFill>
                </w14:textFill>
              </w:rPr>
              <w:t xml:space="preserve"> ）</w:t>
            </w:r>
          </w:p>
        </w:tc>
        <w:tc>
          <w:tcPr>
            <w:tcW w:w="207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监测点位数（ </w:t>
            </w:r>
            <w:r>
              <w:rPr>
                <w:rFonts w:hint="eastAsia" w:ascii="Times New Roman" w:hAnsi="Times New Roman" w:cs="Times New Roman"/>
                <w:color w:val="000000" w:themeColor="text1"/>
                <w:sz w:val="18"/>
                <w:szCs w:val="18"/>
                <w:lang w:val="en-US" w:eastAsia="zh-CN"/>
                <w14:textFill>
                  <w14:solidFill>
                    <w14:schemeClr w14:val="tx1"/>
                  </w14:solidFill>
                </w14:textFill>
              </w:rPr>
              <w:t>1</w:t>
            </w:r>
            <w:r>
              <w:rPr>
                <w:rFonts w:hint="default" w:ascii="Times New Roman" w:hAnsi="Times New Roman" w:cs="Times New Roman"/>
                <w:color w:val="000000" w:themeColor="text1"/>
                <w:sz w:val="18"/>
                <w:szCs w:val="18"/>
                <w14:textFill>
                  <w14:solidFill>
                    <w14:schemeClr w14:val="tx1"/>
                  </w14:solidFill>
                </w14:textFill>
              </w:rPr>
              <w:t xml:space="preserve">  ）</w:t>
            </w:r>
          </w:p>
        </w:tc>
        <w:tc>
          <w:tcPr>
            <w:tcW w:w="195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无监测</w:t>
            </w:r>
            <w:r>
              <w:rPr>
                <w:rFonts w:hint="default" w:ascii="Times New Roman" w:hAnsi="Times New Roman" w:cs="Times New Roman"/>
                <w:color w:val="000000" w:themeColor="text1"/>
                <w:sz w:val="18"/>
                <w:szCs w:val="18"/>
                <w14:textFill>
                  <w14:solidFill>
                    <w14:schemeClr w14:val="tx1"/>
                  </w14:solidFill>
                </w14:textFill>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评价结论</w:t>
            </w: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环境影响</w:t>
            </w:r>
          </w:p>
        </w:tc>
        <w:tc>
          <w:tcPr>
            <w:tcW w:w="6682" w:type="dxa"/>
            <w:gridSpan w:val="15"/>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可以接受</w:t>
            </w:r>
            <w:r>
              <w:rPr>
                <w:rFonts w:hint="default" w:ascii="Times New Roman" w:hAnsi="Times New Roman" w:cs="Times New Roman"/>
                <w:color w:val="000000" w:themeColor="text1"/>
                <w:sz w:val="18"/>
                <w:szCs w:val="18"/>
                <w14:textFill>
                  <w14:solidFill>
                    <w14:schemeClr w14:val="tx1"/>
                  </w14:solidFill>
                </w14:textFill>
              </w:rPr>
              <w:sym w:font="Wingdings 2" w:char="0052"/>
            </w:r>
            <w:r>
              <w:rPr>
                <w:rFonts w:hint="default" w:ascii="Times New Roman" w:hAnsi="Times New Roman" w:cs="Times New Roman"/>
                <w:color w:val="000000" w:themeColor="text1"/>
                <w:sz w:val="18"/>
                <w:szCs w:val="18"/>
                <w14:textFill>
                  <w14:solidFill>
                    <w14:schemeClr w14:val="tx1"/>
                  </w14:solidFill>
                </w14:textFill>
              </w:rPr>
              <w:t xml:space="preserve">            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大气环境防护距离</w:t>
            </w:r>
          </w:p>
        </w:tc>
        <w:tc>
          <w:tcPr>
            <w:tcW w:w="6682" w:type="dxa"/>
            <w:gridSpan w:val="15"/>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距（     ）厂界最远（ 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9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污染源年排放量</w:t>
            </w:r>
          </w:p>
        </w:tc>
        <w:tc>
          <w:tcPr>
            <w:tcW w:w="160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SO</w:t>
            </w:r>
            <w:r>
              <w:rPr>
                <w:rFonts w:hint="default" w:ascii="Times New Roman" w:hAnsi="Times New Roman" w:cs="Times New Roman"/>
                <w:color w:val="000000" w:themeColor="text1"/>
                <w:sz w:val="18"/>
                <w:szCs w:val="18"/>
                <w:vertAlign w:val="subscript"/>
                <w14:textFill>
                  <w14:solidFill>
                    <w14:schemeClr w14:val="tx1"/>
                  </w14:solidFill>
                </w14:textFill>
              </w:rPr>
              <w:t>2</w:t>
            </w:r>
            <w:r>
              <w:rPr>
                <w:rFonts w:hint="default" w:ascii="Times New Roman" w:hAnsi="Times New Roman" w:cs="Times New Roman"/>
                <w:color w:val="000000" w:themeColor="text1"/>
                <w:sz w:val="18"/>
                <w:szCs w:val="18"/>
                <w14:textFill>
                  <w14:solidFill>
                    <w14:schemeClr w14:val="tx1"/>
                  </w14:solidFill>
                </w14:textFill>
              </w:rPr>
              <w:t>：（</w:t>
            </w:r>
            <w:r>
              <w:rPr>
                <w:rFonts w:hint="eastAsia" w:cs="Times New Roman"/>
                <w:color w:val="000000" w:themeColor="text1"/>
                <w:sz w:val="18"/>
                <w:szCs w:val="18"/>
                <w:lang w:val="en-US" w:eastAsia="zh-CN"/>
                <w14:textFill>
                  <w14:solidFill>
                    <w14:schemeClr w14:val="tx1"/>
                  </w14:solidFill>
                </w14:textFill>
              </w:rPr>
              <w:t>109.22</w:t>
            </w:r>
            <w:r>
              <w:rPr>
                <w:rFonts w:hint="default" w:ascii="Times New Roman" w:hAnsi="Times New Roman" w:cs="Times New Roman"/>
                <w:color w:val="000000" w:themeColor="text1"/>
                <w:sz w:val="18"/>
                <w:szCs w:val="18"/>
                <w14:textFill>
                  <w14:solidFill>
                    <w14:schemeClr w14:val="tx1"/>
                  </w14:solidFill>
                </w14:textFill>
              </w:rPr>
              <w:t>）t/a</w:t>
            </w:r>
          </w:p>
        </w:tc>
        <w:tc>
          <w:tcPr>
            <w:tcW w:w="1692"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NO</w:t>
            </w:r>
            <w:r>
              <w:rPr>
                <w:rFonts w:hint="default" w:ascii="Times New Roman" w:hAnsi="Times New Roman" w:cs="Times New Roman"/>
                <w:color w:val="000000" w:themeColor="text1"/>
                <w:sz w:val="18"/>
                <w:szCs w:val="18"/>
                <w:vertAlign w:val="subscript"/>
                <w14:textFill>
                  <w14:solidFill>
                    <w14:schemeClr w14:val="tx1"/>
                  </w14:solidFill>
                </w14:textFill>
              </w:rPr>
              <w:t>x</w:t>
            </w:r>
            <w:r>
              <w:rPr>
                <w:rFonts w:hint="default" w:ascii="Times New Roman" w:hAnsi="Times New Roman" w:cs="Times New Roman"/>
                <w:color w:val="000000" w:themeColor="text1"/>
                <w:sz w:val="18"/>
                <w:szCs w:val="18"/>
                <w14:textFill>
                  <w14:solidFill>
                    <w14:schemeClr w14:val="tx1"/>
                  </w14:solidFill>
                </w14:textFill>
              </w:rPr>
              <w:t>：（</w:t>
            </w:r>
            <w:r>
              <w:rPr>
                <w:rFonts w:hint="eastAsia" w:cs="Times New Roman"/>
                <w:color w:val="000000" w:themeColor="text1"/>
                <w:sz w:val="18"/>
                <w:szCs w:val="18"/>
                <w:lang w:val="en-US" w:eastAsia="zh-CN"/>
                <w14:textFill>
                  <w14:solidFill>
                    <w14:schemeClr w14:val="tx1"/>
                  </w14:solidFill>
                </w14:textFill>
              </w:rPr>
              <w:t>154.02</w:t>
            </w:r>
            <w:r>
              <w:rPr>
                <w:rFonts w:hint="default" w:ascii="Times New Roman" w:hAnsi="Times New Roman" w:cs="Times New Roman"/>
                <w:color w:val="000000" w:themeColor="text1"/>
                <w:sz w:val="18"/>
                <w:szCs w:val="18"/>
                <w14:textFill>
                  <w14:solidFill>
                    <w14:schemeClr w14:val="tx1"/>
                  </w14:solidFill>
                </w14:textFill>
              </w:rPr>
              <w:t>）t/a</w:t>
            </w:r>
          </w:p>
        </w:tc>
        <w:tc>
          <w:tcPr>
            <w:tcW w:w="179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颗粒物：（</w:t>
            </w:r>
            <w:r>
              <w:rPr>
                <w:rFonts w:hint="eastAsia" w:cs="Times New Roman"/>
                <w:color w:val="000000" w:themeColor="text1"/>
                <w:sz w:val="18"/>
                <w:szCs w:val="18"/>
                <w:lang w:val="en-US" w:eastAsia="zh-CN"/>
                <w14:textFill>
                  <w14:solidFill>
                    <w14:schemeClr w14:val="tx1"/>
                  </w14:solidFill>
                </w14:textFill>
              </w:rPr>
              <w:t>13.97</w:t>
            </w:r>
            <w:r>
              <w:rPr>
                <w:rFonts w:hint="default" w:ascii="Times New Roman" w:hAnsi="Times New Roman" w:cs="Times New Roman"/>
                <w:color w:val="000000" w:themeColor="text1"/>
                <w:sz w:val="18"/>
                <w:szCs w:val="18"/>
                <w14:textFill>
                  <w14:solidFill>
                    <w14:schemeClr w14:val="tx1"/>
                  </w14:solidFill>
                </w14:textFill>
              </w:rPr>
              <w:t>）t/a</w:t>
            </w:r>
          </w:p>
        </w:tc>
        <w:tc>
          <w:tcPr>
            <w:tcW w:w="159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VOCs：（ 0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42" w:type="dxa"/>
            <w:gridSpan w:val="17"/>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注：“□”为勾选项，填“√”；“（  ）”为内容填写项</w:t>
            </w:r>
          </w:p>
        </w:tc>
      </w:tr>
    </w:tbl>
    <w:p>
      <w:pPr>
        <w:pStyle w:val="4"/>
        <w:keepNext w:val="0"/>
        <w:keepLines w:val="0"/>
        <w:spacing w:before="0" w:after="0" w:line="360" w:lineRule="auto"/>
        <w:rPr>
          <w:rFonts w:hint="default" w:ascii="Times New Roman" w:hAnsi="Times New Roman" w:cs="Times New Roman"/>
          <w:color w:val="000000" w:themeColor="text1"/>
          <w14:textFill>
            <w14:solidFill>
              <w14:schemeClr w14:val="tx1"/>
            </w14:solidFill>
          </w14:textFill>
        </w:rPr>
      </w:pPr>
      <w:bookmarkStart w:id="252" w:name="_Toc3648"/>
      <w:r>
        <w:rPr>
          <w:rFonts w:hint="default" w:ascii="Times New Roman" w:hAnsi="Times New Roman" w:cs="Times New Roman"/>
          <w:color w:val="000000" w:themeColor="text1"/>
          <w14:textFill>
            <w14:solidFill>
              <w14:schemeClr w14:val="tx1"/>
            </w14:solidFill>
          </w14:textFill>
        </w:rPr>
        <w:t>5.2 地表水影响评价</w:t>
      </w:r>
      <w:bookmarkEnd w:id="249"/>
      <w:bookmarkEnd w:id="250"/>
      <w:bookmarkEnd w:id="252"/>
    </w:p>
    <w:p>
      <w:pPr>
        <w:pStyle w:val="5"/>
        <w:keepNext w:val="0"/>
        <w:keepLines w:val="0"/>
        <w:overflowPunct w:val="0"/>
        <w:spacing w:before="0" w:after="0" w:line="360" w:lineRule="auto"/>
        <w:rPr>
          <w:rFonts w:hint="eastAsia" w:ascii="Times New Roman" w:hAnsi="Times New Roman" w:eastAsia="宋体" w:cs="Times New Roman"/>
          <w:bCs w:val="0"/>
          <w:color w:val="000000" w:themeColor="text1"/>
          <w:kern w:val="0"/>
          <w:sz w:val="28"/>
          <w:szCs w:val="28"/>
          <w:lang w:val="zh-CN" w:eastAsia="zh-CN"/>
          <w14:textFill>
            <w14:solidFill>
              <w14:schemeClr w14:val="tx1"/>
            </w14:solidFill>
          </w14:textFill>
        </w:rPr>
      </w:pPr>
      <w:r>
        <w:rPr>
          <w:rFonts w:hint="default" w:ascii="Times New Roman" w:hAnsi="Times New Roman" w:cs="Times New Roman"/>
          <w:bCs w:val="0"/>
          <w:color w:val="000000" w:themeColor="text1"/>
          <w:kern w:val="0"/>
          <w:sz w:val="28"/>
          <w:szCs w:val="28"/>
          <w14:textFill>
            <w14:solidFill>
              <w14:schemeClr w14:val="tx1"/>
            </w14:solidFill>
          </w14:textFill>
        </w:rPr>
        <w:t>5.2.1</w:t>
      </w:r>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 xml:space="preserve"> </w:t>
      </w:r>
      <w:r>
        <w:rPr>
          <w:rFonts w:hint="eastAsia" w:ascii="Times New Roman" w:hAnsi="Times New Roman" w:cs="Times New Roman"/>
          <w:bCs w:val="0"/>
          <w:color w:val="000000" w:themeColor="text1"/>
          <w:kern w:val="0"/>
          <w:sz w:val="28"/>
          <w:szCs w:val="28"/>
          <w:lang w:eastAsia="zh-CN"/>
          <w14:textFill>
            <w14:solidFill>
              <w14:schemeClr w14:val="tx1"/>
            </w14:solidFill>
          </w14:textFill>
        </w:rPr>
        <w:t>取水影响分析</w:t>
      </w:r>
    </w:p>
    <w:p>
      <w:pPr>
        <w:pStyle w:val="6"/>
        <w:keepNext/>
        <w:keepLines/>
        <w:pageBreakBefore w:val="0"/>
        <w:widowControl w:val="0"/>
        <w:kinsoku/>
        <w:wordWrap/>
        <w:overflowPunct/>
        <w:topLinePunct w:val="0"/>
        <w:autoSpaceDE/>
        <w:autoSpaceDN/>
        <w:bidi w:val="0"/>
        <w:adjustRightInd w:val="0"/>
        <w:snapToGrid w:val="0"/>
        <w:spacing w:before="0" w:after="0" w:line="360" w:lineRule="auto"/>
        <w:jc w:val="left"/>
        <w:textAlignment w:val="auto"/>
        <w:rPr>
          <w:rFonts w:hint="default" w:ascii="Times New Roman" w:hAnsi="Times New Roman" w:eastAsia="宋体" w:cs="Times New Roman"/>
          <w:bCs w:val="0"/>
          <w:color w:val="000000" w:themeColor="text1"/>
          <w:sz w:val="24"/>
          <w:lang w:val="zh-CN"/>
          <w14:textFill>
            <w14:solidFill>
              <w14:schemeClr w14:val="tx1"/>
            </w14:solidFill>
          </w14:textFill>
        </w:rPr>
      </w:pPr>
      <w:r>
        <w:rPr>
          <w:rFonts w:hint="default" w:ascii="Times New Roman" w:hAnsi="Times New Roman" w:eastAsia="宋体" w:cs="Times New Roman"/>
          <w:bCs w:val="0"/>
          <w:color w:val="000000" w:themeColor="text1"/>
          <w:sz w:val="24"/>
          <w14:textFill>
            <w14:solidFill>
              <w14:schemeClr w14:val="tx1"/>
            </w14:solidFill>
          </w14:textFill>
        </w:rPr>
        <w:t>5.2.</w:t>
      </w:r>
      <w:r>
        <w:rPr>
          <w:rFonts w:hint="eastAsia" w:ascii="Times New Roman" w:hAnsi="Times New Roman" w:eastAsia="宋体" w:cs="Times New Roman"/>
          <w:bCs w:val="0"/>
          <w:color w:val="000000" w:themeColor="text1"/>
          <w:sz w:val="24"/>
          <w:lang w:val="en-US" w:eastAsia="zh-CN"/>
          <w14:textFill>
            <w14:solidFill>
              <w14:schemeClr w14:val="tx1"/>
            </w14:solidFill>
          </w14:textFill>
        </w:rPr>
        <w:t>1</w:t>
      </w:r>
      <w:r>
        <w:rPr>
          <w:rFonts w:hint="default" w:ascii="Times New Roman" w:hAnsi="Times New Roman" w:eastAsia="宋体" w:cs="Times New Roman"/>
          <w:bCs w:val="0"/>
          <w:color w:val="000000" w:themeColor="text1"/>
          <w:sz w:val="24"/>
          <w14:textFill>
            <w14:solidFill>
              <w14:schemeClr w14:val="tx1"/>
            </w14:solidFill>
          </w14:textFill>
        </w:rPr>
        <w:t>.</w:t>
      </w:r>
      <w:r>
        <w:rPr>
          <w:rFonts w:hint="eastAsia" w:ascii="Times New Roman" w:hAnsi="Times New Roman" w:eastAsia="宋体" w:cs="Times New Roman"/>
          <w:bCs w:val="0"/>
          <w:color w:val="000000" w:themeColor="text1"/>
          <w:sz w:val="24"/>
          <w:lang w:val="en-US" w:eastAsia="zh-CN"/>
          <w14:textFill>
            <w14:solidFill>
              <w14:schemeClr w14:val="tx1"/>
            </w14:solidFill>
          </w14:textFill>
        </w:rPr>
        <w:t xml:space="preserve">1 </w:t>
      </w:r>
      <w:r>
        <w:rPr>
          <w:rFonts w:hint="eastAsia" w:ascii="Times New Roman" w:hAnsi="Times New Roman" w:eastAsia="宋体" w:cs="Times New Roman"/>
          <w:bCs w:val="0"/>
          <w:color w:val="000000" w:themeColor="text1"/>
          <w:sz w:val="24"/>
          <w:lang w:val="zh-CN"/>
          <w14:textFill>
            <w14:solidFill>
              <w14:schemeClr w14:val="tx1"/>
            </w14:solidFill>
          </w14:textFill>
        </w:rPr>
        <w:t>水源及用水量</w:t>
      </w:r>
    </w:p>
    <w:p>
      <w:pPr>
        <w:pStyle w:val="137"/>
        <w:pageBreakBefore w:val="0"/>
        <w:widowControl w:val="0"/>
        <w:kinsoku/>
        <w:wordWrap/>
        <w:overflowPunct/>
        <w:topLinePunct w:val="0"/>
        <w:autoSpaceDE/>
        <w:autoSpaceDN/>
        <w:bidi w:val="0"/>
        <w:ind w:firstLine="48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本项目位于</w:t>
      </w:r>
      <w:r>
        <w:rPr>
          <w:rFonts w:hint="eastAsia" w:ascii="Times New Roman" w:hAnsi="Times New Roman" w:cs="Times New Roman"/>
          <w:color w:val="000000" w:themeColor="text1"/>
          <w:lang w:eastAsia="zh-CN"/>
          <w14:textFill>
            <w14:solidFill>
              <w14:schemeClr w14:val="tx1"/>
            </w14:solidFill>
          </w14:textFill>
        </w:rPr>
        <w:t>克拉玛依高新技术产业开发区</w:t>
      </w:r>
      <w:r>
        <w:rPr>
          <w:rFonts w:hint="default" w:ascii="Times New Roman" w:hAnsi="Times New Roman" w:cs="Times New Roman"/>
          <w:color w:val="000000" w:themeColor="text1"/>
          <w14:textFill>
            <w14:solidFill>
              <w14:schemeClr w14:val="tx1"/>
            </w14:solidFill>
          </w14:textFill>
        </w:rPr>
        <w:t>内，生产、生活用水均通过</w:t>
      </w:r>
      <w:r>
        <w:rPr>
          <w:rFonts w:hint="eastAsia" w:ascii="Times New Roman" w:hAnsi="Times New Roman" w:cs="Times New Roman"/>
          <w:color w:val="000000" w:themeColor="text1"/>
          <w:lang w:eastAsia="zh-CN"/>
          <w14:textFill>
            <w14:solidFill>
              <w14:schemeClr w14:val="tx1"/>
            </w14:solidFill>
          </w14:textFill>
        </w:rPr>
        <w:t>园区</w:t>
      </w:r>
      <w:r>
        <w:rPr>
          <w:rFonts w:hint="default" w:ascii="Times New Roman" w:hAnsi="Times New Roman" w:cs="Times New Roman"/>
          <w:color w:val="000000" w:themeColor="text1"/>
          <w14:textFill>
            <w14:solidFill>
              <w14:schemeClr w14:val="tx1"/>
            </w14:solidFill>
          </w14:textFill>
        </w:rPr>
        <w:t>自来水厂供水。</w:t>
      </w:r>
    </w:p>
    <w:p>
      <w:pPr>
        <w:pStyle w:val="137"/>
        <w:pageBreakBefore w:val="0"/>
        <w:widowControl w:val="0"/>
        <w:kinsoku/>
        <w:wordWrap/>
        <w:overflowPunct/>
        <w:topLinePunct w:val="0"/>
        <w:autoSpaceDE/>
        <w:autoSpaceDN/>
        <w:bidi w:val="0"/>
        <w:ind w:firstLine="48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本项目全部建成投产后，</w:t>
      </w:r>
      <w:r>
        <w:rPr>
          <w:rFonts w:hint="default" w:ascii="Times New Roman" w:hAnsi="Times New Roman" w:cs="Times New Roman"/>
          <w:color w:val="000000" w:themeColor="text1"/>
          <w:lang w:val="zh-CN" w:eastAsia="zh-CN"/>
          <w14:textFill>
            <w14:solidFill>
              <w14:schemeClr w14:val="tx1"/>
            </w14:solidFill>
          </w14:textFill>
        </w:rPr>
        <w:t>补充水量：本工程夏季工况耗水量</w:t>
      </w:r>
      <w:r>
        <w:rPr>
          <w:rFonts w:hint="default" w:ascii="Times New Roman" w:hAnsi="Times New Roman" w:cs="Times New Roman"/>
          <w:color w:val="000000" w:themeColor="text1"/>
          <w:lang w:val="en-US" w:eastAsia="en-US"/>
          <w14:textFill>
            <w14:solidFill>
              <w14:schemeClr w14:val="tx1"/>
            </w14:solidFill>
          </w14:textFill>
        </w:rPr>
        <w:t>534.5</w:t>
      </w:r>
      <w:r>
        <w:rPr>
          <w:rFonts w:hint="default" w:ascii="Times New Roman" w:hAnsi="Times New Roman" w:cs="Times New Roman"/>
          <w:color w:val="000000" w:themeColor="text1"/>
          <w:lang w:val="zh-CN"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en-US"/>
          <w14:textFill>
            <w14:solidFill>
              <w14:schemeClr w14:val="tx1"/>
            </w14:solidFill>
          </w14:textFill>
        </w:rPr>
        <w:t>3</w:t>
      </w:r>
      <w:r>
        <w:rPr>
          <w:rFonts w:hint="default" w:ascii="Times New Roman" w:hAnsi="Times New Roman" w:cs="Times New Roman"/>
          <w:color w:val="000000" w:themeColor="text1"/>
          <w:lang w:val="en-US" w:eastAsia="en-US"/>
          <w14:textFill>
            <w14:solidFill>
              <w14:schemeClr w14:val="tx1"/>
            </w14:solidFill>
          </w14:textFill>
        </w:rPr>
        <w:t>/</w:t>
      </w:r>
      <w:r>
        <w:rPr>
          <w:rFonts w:hint="default" w:ascii="Times New Roman" w:hAnsi="Times New Roman" w:cs="Times New Roman"/>
          <w:color w:val="000000" w:themeColor="text1"/>
          <w:lang w:val="zh-CN" w:eastAsia="zh-CN"/>
          <w14:textFill>
            <w14:solidFill>
              <w14:schemeClr w14:val="tx1"/>
            </w14:solidFill>
          </w14:textFill>
        </w:rPr>
        <w:t>h</w:t>
      </w:r>
      <w:r>
        <w:rPr>
          <w:rFonts w:hint="default" w:ascii="Times New Roman" w:hAnsi="Times New Roman" w:cs="Times New Roman"/>
          <w:color w:val="000000" w:themeColor="text1"/>
          <w:lang w:val="en-US" w:eastAsia="en-US"/>
          <w14:textFill>
            <w14:solidFill>
              <w14:schemeClr w14:val="tx1"/>
            </w14:solidFill>
          </w14:textFill>
        </w:rPr>
        <w:t>，</w:t>
      </w:r>
      <w:r>
        <w:rPr>
          <w:rFonts w:hint="default" w:ascii="Times New Roman" w:hAnsi="Times New Roman" w:cs="Times New Roman"/>
          <w:color w:val="000000" w:themeColor="text1"/>
          <w:lang w:val="zh-CN" w:eastAsia="zh-CN"/>
          <w14:textFill>
            <w14:solidFill>
              <w14:schemeClr w14:val="tx1"/>
            </w14:solidFill>
          </w14:textFill>
        </w:rPr>
        <w:t>冬季供热工况耗水量</w:t>
      </w:r>
      <w:r>
        <w:rPr>
          <w:rFonts w:hint="default" w:ascii="Times New Roman" w:hAnsi="Times New Roman" w:cs="Times New Roman"/>
          <w:color w:val="000000" w:themeColor="text1"/>
          <w:lang w:val="en-US" w:eastAsia="en-US"/>
          <w14:textFill>
            <w14:solidFill>
              <w14:schemeClr w14:val="tx1"/>
            </w14:solidFill>
          </w14:textFill>
        </w:rPr>
        <w:t>530</w:t>
      </w:r>
      <w:r>
        <w:rPr>
          <w:rFonts w:hint="default" w:ascii="Times New Roman" w:hAnsi="Times New Roman" w:cs="Times New Roman"/>
          <w:color w:val="000000" w:themeColor="text1"/>
          <w:lang w:val="zh-CN"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en-US"/>
          <w14:textFill>
            <w14:solidFill>
              <w14:schemeClr w14:val="tx1"/>
            </w14:solidFill>
          </w14:textFill>
        </w:rPr>
        <w:t>3</w:t>
      </w:r>
      <w:r>
        <w:rPr>
          <w:rFonts w:hint="default" w:ascii="Times New Roman" w:hAnsi="Times New Roman" w:cs="Times New Roman"/>
          <w:color w:val="000000" w:themeColor="text1"/>
          <w:lang w:val="en-US" w:eastAsia="en-US"/>
          <w14:textFill>
            <w14:solidFill>
              <w14:schemeClr w14:val="tx1"/>
            </w14:solidFill>
          </w14:textFill>
        </w:rPr>
        <w:t>/</w:t>
      </w:r>
      <w:r>
        <w:rPr>
          <w:rFonts w:hint="default" w:ascii="Times New Roman" w:hAnsi="Times New Roman" w:cs="Times New Roman"/>
          <w:color w:val="000000" w:themeColor="text1"/>
          <w:lang w:val="zh-CN" w:eastAsia="zh-CN"/>
          <w14:textFill>
            <w14:solidFill>
              <w14:schemeClr w14:val="tx1"/>
            </w14:solidFill>
          </w14:textFill>
        </w:rPr>
        <w:t>h</w:t>
      </w:r>
      <w:r>
        <w:rPr>
          <w:rFonts w:hint="default" w:ascii="Times New Roman" w:hAnsi="Times New Roman" w:cs="Times New Roman"/>
          <w:color w:val="000000" w:themeColor="text1"/>
          <w:lang w:val="en-US" w:eastAsia="en-US"/>
          <w14:textFill>
            <w14:solidFill>
              <w14:schemeClr w14:val="tx1"/>
            </w14:solidFill>
          </w14:textFill>
        </w:rPr>
        <w:t>。</w:t>
      </w:r>
      <w:r>
        <w:rPr>
          <w:rFonts w:hint="default" w:ascii="Times New Roman" w:hAnsi="Times New Roman" w:cs="Times New Roman"/>
          <w:color w:val="000000" w:themeColor="text1"/>
          <w:lang w:val="zh-CN" w:eastAsia="zh-CN"/>
          <w14:textFill>
            <w14:solidFill>
              <w14:schemeClr w14:val="tx1"/>
            </w14:solidFill>
          </w14:textFill>
        </w:rPr>
        <w:t>本工程生产用水、消防、生活用水均由克拉玛依</w:t>
      </w:r>
      <w:r>
        <w:rPr>
          <w:rFonts w:hint="eastAsia" w:ascii="Times New Roman" w:hAnsi="Times New Roman" w:cs="Times New Roman"/>
          <w:color w:val="000000" w:themeColor="text1"/>
          <w:lang w:val="zh-CN" w:eastAsia="zh-CN"/>
          <w14:textFill>
            <w14:solidFill>
              <w14:schemeClr w14:val="tx1"/>
            </w14:solidFill>
          </w14:textFill>
        </w:rPr>
        <w:t>高新技术产业开发区</w:t>
      </w:r>
      <w:r>
        <w:rPr>
          <w:rFonts w:hint="default" w:ascii="Times New Roman" w:hAnsi="Times New Roman" w:cs="Times New Roman"/>
          <w:color w:val="000000" w:themeColor="text1"/>
          <w:lang w:val="zh-CN" w:eastAsia="zh-CN"/>
          <w14:textFill>
            <w14:solidFill>
              <w14:schemeClr w14:val="tx1"/>
            </w14:solidFill>
          </w14:textFill>
        </w:rPr>
        <w:t>统一提供，供水管线送至本工程围墙，故本工程无厂外补给水系统</w:t>
      </w:r>
      <w:r>
        <w:rPr>
          <w:rFonts w:hint="default" w:ascii="Times New Roman" w:hAnsi="Times New Roman" w:cs="Times New Roman"/>
          <w:color w:val="000000" w:themeColor="text1"/>
          <w14:textFill>
            <w14:solidFill>
              <w14:schemeClr w14:val="tx1"/>
            </w14:solidFill>
          </w14:textFill>
        </w:rPr>
        <w:t>。</w:t>
      </w:r>
    </w:p>
    <w:p>
      <w:pPr>
        <w:pStyle w:val="6"/>
        <w:keepNext/>
        <w:keepLines/>
        <w:pageBreakBefore w:val="0"/>
        <w:widowControl w:val="0"/>
        <w:kinsoku/>
        <w:wordWrap/>
        <w:overflowPunct/>
        <w:topLinePunct w:val="0"/>
        <w:autoSpaceDE/>
        <w:autoSpaceDN/>
        <w:bidi w:val="0"/>
        <w:adjustRightInd w:val="0"/>
        <w:snapToGrid w:val="0"/>
        <w:spacing w:before="0" w:after="0" w:line="360" w:lineRule="auto"/>
        <w:jc w:val="left"/>
        <w:textAlignment w:val="auto"/>
        <w:rPr>
          <w:rFonts w:hint="default" w:ascii="Times New Roman" w:hAnsi="Times New Roman" w:eastAsia="宋体" w:cs="Times New Roman"/>
          <w:bCs w:val="0"/>
          <w:color w:val="000000" w:themeColor="text1"/>
          <w:sz w:val="24"/>
          <w:lang w:val="zh-CN"/>
          <w14:textFill>
            <w14:solidFill>
              <w14:schemeClr w14:val="tx1"/>
            </w14:solidFill>
          </w14:textFill>
        </w:rPr>
      </w:pPr>
      <w:r>
        <w:rPr>
          <w:rFonts w:hint="default" w:ascii="Times New Roman" w:hAnsi="Times New Roman" w:eastAsia="宋体" w:cs="Times New Roman"/>
          <w:bCs w:val="0"/>
          <w:color w:val="000000" w:themeColor="text1"/>
          <w:sz w:val="24"/>
          <w14:textFill>
            <w14:solidFill>
              <w14:schemeClr w14:val="tx1"/>
            </w14:solidFill>
          </w14:textFill>
        </w:rPr>
        <w:t>5.2.</w:t>
      </w:r>
      <w:r>
        <w:rPr>
          <w:rFonts w:hint="eastAsia" w:ascii="Times New Roman" w:hAnsi="Times New Roman" w:eastAsia="宋体" w:cs="Times New Roman"/>
          <w:bCs w:val="0"/>
          <w:color w:val="000000" w:themeColor="text1"/>
          <w:sz w:val="24"/>
          <w:lang w:val="en-US" w:eastAsia="zh-CN"/>
          <w14:textFill>
            <w14:solidFill>
              <w14:schemeClr w14:val="tx1"/>
            </w14:solidFill>
          </w14:textFill>
        </w:rPr>
        <w:t>1</w:t>
      </w:r>
      <w:r>
        <w:rPr>
          <w:rFonts w:hint="default" w:ascii="Times New Roman" w:hAnsi="Times New Roman" w:eastAsia="宋体" w:cs="Times New Roman"/>
          <w:bCs w:val="0"/>
          <w:color w:val="000000" w:themeColor="text1"/>
          <w:sz w:val="24"/>
          <w14:textFill>
            <w14:solidFill>
              <w14:schemeClr w14:val="tx1"/>
            </w14:solidFill>
          </w14:textFill>
        </w:rPr>
        <w:t>.</w:t>
      </w:r>
      <w:r>
        <w:rPr>
          <w:rFonts w:hint="eastAsia" w:ascii="Times New Roman" w:hAnsi="Times New Roman" w:eastAsia="宋体" w:cs="Times New Roman"/>
          <w:bCs w:val="0"/>
          <w:color w:val="000000" w:themeColor="text1"/>
          <w:sz w:val="24"/>
          <w:lang w:val="en-US" w:eastAsia="zh-CN"/>
          <w14:textFill>
            <w14:solidFill>
              <w14:schemeClr w14:val="tx1"/>
            </w14:solidFill>
          </w14:textFill>
        </w:rPr>
        <w:t xml:space="preserve">2 </w:t>
      </w:r>
      <w:r>
        <w:rPr>
          <w:rFonts w:hint="eastAsia" w:ascii="Times New Roman" w:hAnsi="Times New Roman" w:eastAsia="宋体" w:cs="Times New Roman"/>
          <w:bCs w:val="0"/>
          <w:color w:val="000000" w:themeColor="text1"/>
          <w:sz w:val="24"/>
          <w:lang w:val="zh-CN"/>
          <w14:textFill>
            <w14:solidFill>
              <w14:schemeClr w14:val="tx1"/>
            </w14:solidFill>
          </w14:textFill>
        </w:rPr>
        <w:t>供水可行性分析</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园区已建供水主要管线有3条：沿217国道南侧来自白碱滩输水首站管线2条（1条DN500：供水给克石化公司、试油公司等单位；另1条DN600：供水给克石化公司及园区输送生产、生活用水），从末段泵站设管线1条DN600：供水给热电厂专用水管线。该3条供水管线均为城市生活用水管线。其中，输水首站DN500管线最大输水量为2.0×10</w:t>
      </w:r>
      <w:r>
        <w:rPr>
          <w:rFonts w:hint="default" w:ascii="Times New Roman" w:hAnsi="Times New Roman" w:cs="Times New Roman"/>
          <w:color w:val="000000" w:themeColor="text1"/>
          <w:sz w:val="24"/>
          <w:szCs w:val="24"/>
          <w:vertAlign w:val="superscript"/>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/d，DN600管线最大输水量2.5×10</w:t>
      </w:r>
      <w:r>
        <w:rPr>
          <w:rFonts w:hint="default" w:ascii="Times New Roman" w:hAnsi="Times New Roman" w:cs="Times New Roman"/>
          <w:color w:val="000000" w:themeColor="text1"/>
          <w:sz w:val="24"/>
          <w:szCs w:val="24"/>
          <w:vertAlign w:val="superscript"/>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/d；末段泵站DN600管线最大输水量3.0×10</w:t>
      </w:r>
      <w:r>
        <w:rPr>
          <w:rFonts w:hint="default" w:ascii="Times New Roman" w:hAnsi="Times New Roman" w:cs="Times New Roman"/>
          <w:color w:val="000000" w:themeColor="text1"/>
          <w:sz w:val="24"/>
          <w:szCs w:val="24"/>
          <w:vertAlign w:val="superscript"/>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p>
    <w:p>
      <w:pPr>
        <w:overflowPunct w:val="0"/>
        <w:spacing w:line="360" w:lineRule="auto"/>
        <w:ind w:firstLine="480" w:firstLineChars="200"/>
        <w:rPr>
          <w:rFonts w:hint="eastAsia" w:ascii="Times New Roman" w:hAnsi="Times New Roman" w:eastAsia="宋体" w:cs="Times New Roman"/>
          <w:snapToGrid w:val="0"/>
          <w:color w:val="000000" w:themeColor="text1"/>
          <w:kern w:val="18"/>
          <w:sz w:val="24"/>
          <w:lang w:val="en-US" w:eastAsia="zh-CN"/>
          <w14:textFill>
            <w14:solidFill>
              <w14:schemeClr w14:val="tx1"/>
            </w14:solidFill>
          </w14:textFill>
        </w:rPr>
      </w:pPr>
      <w:r>
        <w:rPr>
          <w:rFonts w:hint="default" w:ascii="Times New Roman" w:hAnsi="Times New Roman" w:cs="Times New Roman"/>
          <w:snapToGrid w:val="0"/>
          <w:color w:val="000000" w:themeColor="text1"/>
          <w:kern w:val="18"/>
          <w:sz w:val="24"/>
          <w14:textFill>
            <w14:solidFill>
              <w14:schemeClr w14:val="tx1"/>
            </w14:solidFill>
          </w14:textFill>
        </w:rPr>
        <w:t>本项目</w:t>
      </w:r>
      <w:r>
        <w:rPr>
          <w:rFonts w:hint="eastAsia" w:ascii="Times New Roman" w:hAnsi="Times New Roman" w:cs="Times New Roman"/>
          <w:snapToGrid w:val="0"/>
          <w:color w:val="000000" w:themeColor="text1"/>
          <w:kern w:val="18"/>
          <w:sz w:val="24"/>
          <w:lang w:eastAsia="zh-CN"/>
          <w14:textFill>
            <w14:solidFill>
              <w14:schemeClr w14:val="tx1"/>
            </w14:solidFill>
          </w14:textFill>
        </w:rPr>
        <w:t>建成投产后夏季用水量为</w:t>
      </w:r>
      <w:r>
        <w:rPr>
          <w:rFonts w:hint="eastAsia" w:ascii="Times New Roman" w:hAnsi="Times New Roman" w:cs="Times New Roman"/>
          <w:snapToGrid w:val="0"/>
          <w:color w:val="000000" w:themeColor="text1"/>
          <w:kern w:val="18"/>
          <w:sz w:val="24"/>
          <w:lang w:val="en-US" w:eastAsia="zh-CN"/>
          <w14:textFill>
            <w14:solidFill>
              <w14:schemeClr w14:val="tx1"/>
            </w14:solidFill>
          </w14:textFill>
        </w:rPr>
        <w:t>12828</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r>
        <w:rPr>
          <w:rFonts w:hint="eastAsia" w:ascii="Times New Roman" w:hAnsi="Times New Roman" w:cs="Times New Roman"/>
          <w:color w:val="000000" w:themeColor="text1"/>
          <w:sz w:val="24"/>
          <w:szCs w:val="24"/>
          <w:lang w:eastAsia="zh-CN"/>
          <w14:textFill>
            <w14:solidFill>
              <w14:schemeClr w14:val="tx1"/>
            </w14:solidFill>
          </w14:textFill>
        </w:rPr>
        <w:t>，冬季用水量为</w:t>
      </w:r>
      <w:r>
        <w:rPr>
          <w:rFonts w:hint="eastAsia" w:ascii="Times New Roman" w:hAnsi="Times New Roman" w:cs="Times New Roman"/>
          <w:color w:val="000000" w:themeColor="text1"/>
          <w:sz w:val="24"/>
          <w:szCs w:val="24"/>
          <w:lang w:val="en-US" w:eastAsia="zh-CN"/>
          <w14:textFill>
            <w14:solidFill>
              <w14:schemeClr w14:val="tx1"/>
            </w14:solidFill>
          </w14:textFill>
        </w:rPr>
        <w:t>12720</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r>
        <w:rPr>
          <w:rFonts w:hint="eastAsia" w:ascii="Times New Roman" w:hAnsi="Times New Roman" w:cs="Times New Roman"/>
          <w:color w:val="000000" w:themeColor="text1"/>
          <w:sz w:val="24"/>
          <w:szCs w:val="24"/>
          <w:lang w:eastAsia="zh-CN"/>
          <w14:textFill>
            <w14:solidFill>
              <w14:schemeClr w14:val="tx1"/>
            </w14:solidFill>
          </w14:textFill>
        </w:rPr>
        <w:t>。</w:t>
      </w:r>
    </w:p>
    <w:p>
      <w:pPr>
        <w:pStyle w:val="137"/>
        <w:pageBreakBefore w:val="0"/>
        <w:widowControl w:val="0"/>
        <w:kinsoku/>
        <w:wordWrap/>
        <w:overflowPunct/>
        <w:topLinePunct w:val="0"/>
        <w:autoSpaceDE/>
        <w:autoSpaceDN/>
        <w:bidi w:val="0"/>
        <w:ind w:firstLine="48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DN600管线供水给克石化公司及园区输送生产、生活用水，最大输水量2.5×10</w:t>
      </w:r>
      <w:r>
        <w:rPr>
          <w:rFonts w:hint="default" w:ascii="Times New Roman" w:hAnsi="Times New Roman" w:cs="Times New Roman"/>
          <w:color w:val="000000" w:themeColor="text1"/>
          <w:sz w:val="24"/>
          <w:szCs w:val="24"/>
          <w:vertAlign w:val="superscript"/>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/d，当前剩余输水量</w:t>
      </w:r>
      <w:r>
        <w:rPr>
          <w:rFonts w:hint="default" w:ascii="Times New Roman" w:hAnsi="Times New Roman" w:cs="Times New Roman"/>
          <w:color w:val="000000" w:themeColor="text1"/>
          <w:sz w:val="24"/>
          <w:szCs w:val="24"/>
          <w:lang w:eastAsia="zh-CN"/>
          <w14:textFill>
            <w14:solidFill>
              <w14:schemeClr w14:val="tx1"/>
            </w14:solidFill>
          </w14:textFill>
        </w:rPr>
        <w:t>可</w:t>
      </w:r>
      <w:r>
        <w:rPr>
          <w:rFonts w:hint="default" w:ascii="Times New Roman" w:hAnsi="Times New Roman" w:cs="Times New Roman"/>
          <w:color w:val="000000" w:themeColor="text1"/>
          <w:sz w:val="24"/>
          <w:szCs w:val="24"/>
          <w14:textFill>
            <w14:solidFill>
              <w14:schemeClr w14:val="tx1"/>
            </w14:solidFill>
          </w14:textFill>
        </w:rPr>
        <w:t>满足本项目给水要求</w:t>
      </w:r>
      <w:r>
        <w:rPr>
          <w:rFonts w:hint="default" w:ascii="Times New Roman" w:hAnsi="Times New Roman" w:cs="Times New Roman"/>
          <w:color w:val="000000" w:themeColor="text1"/>
          <w14:textFill>
            <w14:solidFill>
              <w14:schemeClr w14:val="tx1"/>
            </w14:solidFill>
          </w14:textFill>
        </w:rPr>
        <w:t>。</w:t>
      </w:r>
    </w:p>
    <w:p>
      <w:pPr>
        <w:pStyle w:val="137"/>
        <w:pageBreakBefore w:val="0"/>
        <w:widowControl w:val="0"/>
        <w:kinsoku/>
        <w:wordWrap/>
        <w:overflowPunct/>
        <w:topLinePunct w:val="0"/>
        <w:autoSpaceDE/>
        <w:autoSpaceDN/>
        <w:bidi w:val="0"/>
        <w:ind w:firstLine="48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综上所述，本项目水资源有充分保障。 </w:t>
      </w:r>
    </w:p>
    <w:p>
      <w:pPr>
        <w:pStyle w:val="6"/>
        <w:keepNext/>
        <w:keepLines/>
        <w:pageBreakBefore w:val="0"/>
        <w:widowControl w:val="0"/>
        <w:kinsoku/>
        <w:wordWrap/>
        <w:overflowPunct/>
        <w:topLinePunct w:val="0"/>
        <w:autoSpaceDE/>
        <w:autoSpaceDN/>
        <w:bidi w:val="0"/>
        <w:adjustRightInd w:val="0"/>
        <w:snapToGrid w:val="0"/>
        <w:spacing w:before="0" w:after="0" w:line="360" w:lineRule="auto"/>
        <w:jc w:val="left"/>
        <w:textAlignment w:val="auto"/>
        <w:rPr>
          <w:rFonts w:hint="default" w:ascii="Times New Roman" w:hAnsi="Times New Roman" w:eastAsia="宋体" w:cs="Times New Roman"/>
          <w:bCs w:val="0"/>
          <w:color w:val="000000" w:themeColor="text1"/>
          <w:sz w:val="24"/>
          <w:lang w:val="zh-CN"/>
          <w14:textFill>
            <w14:solidFill>
              <w14:schemeClr w14:val="tx1"/>
            </w14:solidFill>
          </w14:textFill>
        </w:rPr>
      </w:pPr>
      <w:r>
        <w:rPr>
          <w:rFonts w:hint="default" w:ascii="Times New Roman" w:hAnsi="Times New Roman" w:eastAsia="宋体" w:cs="Times New Roman"/>
          <w:bCs w:val="0"/>
          <w:color w:val="000000" w:themeColor="text1"/>
          <w:sz w:val="24"/>
          <w14:textFill>
            <w14:solidFill>
              <w14:schemeClr w14:val="tx1"/>
            </w14:solidFill>
          </w14:textFill>
        </w:rPr>
        <w:t>5.2.</w:t>
      </w:r>
      <w:r>
        <w:rPr>
          <w:rFonts w:hint="eastAsia" w:ascii="Times New Roman" w:hAnsi="Times New Roman" w:eastAsia="宋体" w:cs="Times New Roman"/>
          <w:bCs w:val="0"/>
          <w:color w:val="000000" w:themeColor="text1"/>
          <w:sz w:val="24"/>
          <w:lang w:val="en-US" w:eastAsia="zh-CN"/>
          <w14:textFill>
            <w14:solidFill>
              <w14:schemeClr w14:val="tx1"/>
            </w14:solidFill>
          </w14:textFill>
        </w:rPr>
        <w:t>1</w:t>
      </w:r>
      <w:r>
        <w:rPr>
          <w:rFonts w:hint="default" w:ascii="Times New Roman" w:hAnsi="Times New Roman" w:eastAsia="宋体" w:cs="Times New Roman"/>
          <w:bCs w:val="0"/>
          <w:color w:val="000000" w:themeColor="text1"/>
          <w:sz w:val="24"/>
          <w14:textFill>
            <w14:solidFill>
              <w14:schemeClr w14:val="tx1"/>
            </w14:solidFill>
          </w14:textFill>
        </w:rPr>
        <w:t>.</w:t>
      </w:r>
      <w:r>
        <w:rPr>
          <w:rFonts w:hint="eastAsia" w:ascii="Times New Roman" w:hAnsi="Times New Roman" w:eastAsia="宋体" w:cs="Times New Roman"/>
          <w:bCs w:val="0"/>
          <w:color w:val="000000" w:themeColor="text1"/>
          <w:sz w:val="24"/>
          <w:lang w:val="en-US" w:eastAsia="zh-CN"/>
          <w14:textFill>
            <w14:solidFill>
              <w14:schemeClr w14:val="tx1"/>
            </w14:solidFill>
          </w14:textFill>
        </w:rPr>
        <w:t xml:space="preserve">3 </w:t>
      </w:r>
      <w:r>
        <w:rPr>
          <w:rFonts w:hint="eastAsia" w:ascii="Times New Roman" w:hAnsi="Times New Roman" w:eastAsia="宋体" w:cs="Times New Roman"/>
          <w:bCs w:val="0"/>
          <w:color w:val="000000" w:themeColor="text1"/>
          <w:sz w:val="24"/>
          <w:lang w:val="zh-CN"/>
          <w14:textFill>
            <w14:solidFill>
              <w14:schemeClr w14:val="tx1"/>
            </w14:solidFill>
          </w14:textFill>
        </w:rPr>
        <w:t>小结</w:t>
      </w:r>
    </w:p>
    <w:p>
      <w:pPr>
        <w:pStyle w:val="13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本项目采用工业园区自来水厂管网供水，其供水量和供水过程安全、可靠，保证率高，符合区域水资源利用规划，不会影响到区域水资源合理利用，不会对周边供水区产生影响，项目取水方案是可靠的和可行的。</w:t>
      </w:r>
    </w:p>
    <w:p>
      <w:pPr>
        <w:pStyle w:val="5"/>
        <w:keepNext w:val="0"/>
        <w:keepLines w:val="0"/>
        <w:overflowPunct w:val="0"/>
        <w:spacing w:before="0" w:after="0" w:line="360" w:lineRule="auto"/>
        <w:rPr>
          <w:rFonts w:hint="eastAsia" w:ascii="Times New Roman" w:hAnsi="Times New Roman" w:eastAsia="宋体" w:cs="Times New Roman"/>
          <w:bCs w:val="0"/>
          <w:color w:val="000000" w:themeColor="text1"/>
          <w:kern w:val="0"/>
          <w:sz w:val="28"/>
          <w:szCs w:val="28"/>
          <w:lang w:val="zh-CN" w:eastAsia="zh-CN"/>
          <w14:textFill>
            <w14:solidFill>
              <w14:schemeClr w14:val="tx1"/>
            </w14:solidFill>
          </w14:textFill>
        </w:rPr>
      </w:pPr>
      <w:r>
        <w:rPr>
          <w:rFonts w:hint="default" w:ascii="Times New Roman" w:hAnsi="Times New Roman" w:cs="Times New Roman"/>
          <w:bCs w:val="0"/>
          <w:color w:val="000000" w:themeColor="text1"/>
          <w:kern w:val="0"/>
          <w:sz w:val="28"/>
          <w:szCs w:val="28"/>
          <w14:textFill>
            <w14:solidFill>
              <w14:schemeClr w14:val="tx1"/>
            </w14:solidFill>
          </w14:textFill>
        </w:rPr>
        <w:t>5.2.</w:t>
      </w:r>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 xml:space="preserve">2 </w:t>
      </w:r>
      <w:r>
        <w:rPr>
          <w:rFonts w:hint="eastAsia" w:ascii="Times New Roman" w:hAnsi="Times New Roman" w:cs="Times New Roman"/>
          <w:bCs w:val="0"/>
          <w:color w:val="000000" w:themeColor="text1"/>
          <w:kern w:val="0"/>
          <w:sz w:val="28"/>
          <w:szCs w:val="28"/>
          <w:lang w:eastAsia="zh-CN"/>
          <w14:textFill>
            <w14:solidFill>
              <w14:schemeClr w14:val="tx1"/>
            </w14:solidFill>
          </w14:textFill>
        </w:rPr>
        <w:t>排水影响分析</w:t>
      </w:r>
    </w:p>
    <w:p>
      <w:pPr>
        <w:pStyle w:val="6"/>
        <w:keepNext/>
        <w:keepLines/>
        <w:pageBreakBefore w:val="0"/>
        <w:widowControl w:val="0"/>
        <w:kinsoku/>
        <w:wordWrap/>
        <w:overflowPunct/>
        <w:topLinePunct w:val="0"/>
        <w:autoSpaceDE/>
        <w:autoSpaceDN/>
        <w:bidi w:val="0"/>
        <w:adjustRightInd w:val="0"/>
        <w:snapToGrid w:val="0"/>
        <w:spacing w:before="0" w:after="0" w:line="360" w:lineRule="auto"/>
        <w:jc w:val="left"/>
        <w:textAlignment w:val="auto"/>
        <w:rPr>
          <w:rFonts w:hint="default" w:ascii="Times New Roman" w:hAnsi="Times New Roman" w:eastAsia="宋体" w:cs="Times New Roman"/>
          <w:bCs w:val="0"/>
          <w:color w:val="000000" w:themeColor="text1"/>
          <w:sz w:val="24"/>
          <w:lang w:val="zh-CN"/>
          <w14:textFill>
            <w14:solidFill>
              <w14:schemeClr w14:val="tx1"/>
            </w14:solidFill>
          </w14:textFill>
        </w:rPr>
      </w:pPr>
      <w:bookmarkStart w:id="253" w:name="_Toc226639774"/>
      <w:bookmarkStart w:id="254" w:name="_Toc459270327"/>
      <w:bookmarkStart w:id="255" w:name="_Toc259799475"/>
      <w:r>
        <w:rPr>
          <w:rFonts w:hint="default" w:ascii="Times New Roman" w:hAnsi="Times New Roman" w:eastAsia="宋体" w:cs="Times New Roman"/>
          <w:bCs w:val="0"/>
          <w:color w:val="000000" w:themeColor="text1"/>
          <w:sz w:val="24"/>
          <w14:textFill>
            <w14:solidFill>
              <w14:schemeClr w14:val="tx1"/>
            </w14:solidFill>
          </w14:textFill>
        </w:rPr>
        <w:t>5.2.2.</w:t>
      </w:r>
      <w:r>
        <w:rPr>
          <w:rFonts w:hint="eastAsia" w:ascii="Times New Roman" w:hAnsi="Times New Roman" w:eastAsia="宋体" w:cs="Times New Roman"/>
          <w:bCs w:val="0"/>
          <w:color w:val="000000" w:themeColor="text1"/>
          <w:sz w:val="24"/>
          <w:lang w:val="en-US" w:eastAsia="zh-CN"/>
          <w14:textFill>
            <w14:solidFill>
              <w14:schemeClr w14:val="tx1"/>
            </w14:solidFill>
          </w14:textFill>
        </w:rPr>
        <w:t>1</w:t>
      </w:r>
      <w:bookmarkEnd w:id="253"/>
      <w:bookmarkEnd w:id="254"/>
      <w:bookmarkEnd w:id="255"/>
      <w:r>
        <w:rPr>
          <w:rFonts w:hint="eastAsia" w:ascii="Times New Roman" w:hAnsi="Times New Roman" w:eastAsia="宋体" w:cs="Times New Roman"/>
          <w:bCs w:val="0"/>
          <w:color w:val="000000" w:themeColor="text1"/>
          <w:sz w:val="24"/>
          <w:lang w:val="en-US" w:eastAsia="zh-CN"/>
          <w14:textFill>
            <w14:solidFill>
              <w14:schemeClr w14:val="tx1"/>
            </w14:solidFill>
          </w14:textFill>
        </w:rPr>
        <w:t xml:space="preserve"> </w:t>
      </w:r>
      <w:r>
        <w:rPr>
          <w:rFonts w:hint="eastAsia" w:ascii="Times New Roman" w:hAnsi="Times New Roman" w:eastAsia="宋体" w:cs="Times New Roman"/>
          <w:bCs w:val="0"/>
          <w:color w:val="000000" w:themeColor="text1"/>
          <w:sz w:val="24"/>
          <w:lang w:val="zh-CN"/>
          <w14:textFill>
            <w14:solidFill>
              <w14:schemeClr w14:val="tx1"/>
            </w14:solidFill>
          </w14:textFill>
        </w:rPr>
        <w:t>废水来源</w:t>
      </w:r>
    </w:p>
    <w:p>
      <w:pPr>
        <w:pStyle w:val="13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产生的废水主要包括生产废水和生活污水。按“清污分流、雨污分流，节约用水，一水多用、回收利用”的原则，同时为提高水资源的利用率，本项目在设计中对水资源采用循环使用、梯（递）级使用、各类废水处理后综合利用等措施，提高水的复用率。</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本项目生产过程中产生的废污水</w:t>
      </w:r>
      <w:r>
        <w:rPr>
          <w:rFonts w:hint="eastAsia" w:cs="Times New Roman"/>
          <w:color w:val="000000" w:themeColor="text1"/>
          <w:spacing w:val="0"/>
          <w:w w:val="100"/>
          <w:position w:val="0"/>
          <w:sz w:val="24"/>
          <w:szCs w:val="24"/>
          <w:u w:val="none"/>
          <w:lang w:val="zh-CN" w:eastAsia="zh-CN" w:bidi="zh-CN"/>
          <w14:textFill>
            <w14:solidFill>
              <w14:schemeClr w14:val="tx1"/>
            </w14:solidFill>
          </w14:textFill>
        </w:rPr>
        <w:t>主要为连续排放的循环排污水、锅炉酸洗废水、反渗透排水、超滤反冲洗水、脱硫工业废水、脱硝废水以及生活污水</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w:t>
      </w:r>
    </w:p>
    <w:p>
      <w:pPr>
        <w:pStyle w:val="6"/>
        <w:keepNext/>
        <w:keepLines/>
        <w:pageBreakBefore w:val="0"/>
        <w:widowControl w:val="0"/>
        <w:kinsoku/>
        <w:wordWrap/>
        <w:overflowPunct/>
        <w:topLinePunct w:val="0"/>
        <w:autoSpaceDE/>
        <w:autoSpaceDN/>
        <w:bidi w:val="0"/>
        <w:adjustRightInd w:val="0"/>
        <w:snapToGrid w:val="0"/>
        <w:spacing w:before="0" w:after="0" w:line="360" w:lineRule="auto"/>
        <w:jc w:val="left"/>
        <w:textAlignment w:val="auto"/>
        <w:rPr>
          <w:rFonts w:hint="default" w:ascii="Times New Roman" w:hAnsi="Times New Roman" w:eastAsia="宋体" w:cs="Times New Roman"/>
          <w:bCs w:val="0"/>
          <w:color w:val="000000" w:themeColor="text1"/>
          <w:sz w:val="24"/>
          <w:lang w:val="zh-CN"/>
          <w14:textFill>
            <w14:solidFill>
              <w14:schemeClr w14:val="tx1"/>
            </w14:solidFill>
          </w14:textFill>
        </w:rPr>
      </w:pPr>
      <w:r>
        <w:rPr>
          <w:rFonts w:hint="default" w:ascii="Times New Roman" w:hAnsi="Times New Roman" w:eastAsia="宋体" w:cs="Times New Roman"/>
          <w:bCs w:val="0"/>
          <w:color w:val="000000" w:themeColor="text1"/>
          <w:sz w:val="24"/>
          <w14:textFill>
            <w14:solidFill>
              <w14:schemeClr w14:val="tx1"/>
            </w14:solidFill>
          </w14:textFill>
        </w:rPr>
        <w:t>5.2.2.</w:t>
      </w:r>
      <w:r>
        <w:rPr>
          <w:rFonts w:hint="eastAsia" w:ascii="Times New Roman" w:hAnsi="Times New Roman" w:eastAsia="宋体" w:cs="Times New Roman"/>
          <w:bCs w:val="0"/>
          <w:color w:val="000000" w:themeColor="text1"/>
          <w:sz w:val="24"/>
          <w:lang w:val="en-US" w:eastAsia="zh-CN"/>
          <w14:textFill>
            <w14:solidFill>
              <w14:schemeClr w14:val="tx1"/>
            </w14:solidFill>
          </w14:textFill>
        </w:rPr>
        <w:t xml:space="preserve">2 </w:t>
      </w:r>
      <w:r>
        <w:rPr>
          <w:rFonts w:hint="eastAsia" w:ascii="Times New Roman" w:hAnsi="Times New Roman" w:eastAsia="宋体" w:cs="Times New Roman"/>
          <w:bCs w:val="0"/>
          <w:color w:val="000000" w:themeColor="text1"/>
          <w:sz w:val="24"/>
          <w:lang w:val="zh-CN"/>
          <w14:textFill>
            <w14:solidFill>
              <w14:schemeClr w14:val="tx1"/>
            </w14:solidFill>
          </w14:textFill>
        </w:rPr>
        <w:t>排污去向</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olor w:val="000000" w:themeColor="text1"/>
          <w:szCs w:val="24"/>
          <w14:textFill>
            <w14:solidFill>
              <w14:schemeClr w14:val="tx1"/>
            </w14:solidFill>
          </w14:textFill>
        </w:rPr>
        <w:t>主厂房和各辅助建筑物的生活污水，排入生活污水下水道并接入园区生活污水处理站进行处理，处理后的水夏季作为厂区绿化及道路浇洒用水。</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化学水处理室排出的水在化学水处理车间内分别进行回收至工业废水处理站处理后回用。</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主厂房区域的锅炉定排水经过定排井回收后经升压送至厂区循环水系统。</w:t>
      </w:r>
    </w:p>
    <w:p>
      <w:pPr>
        <w:pStyle w:val="137"/>
        <w:ind w:firstLine="480"/>
        <w:rPr>
          <w:rFonts w:hint="default" w:ascii="Times New Roman" w:hAnsi="Times New Roman" w:cs="Times New Roman"/>
          <w:color w:val="000000" w:themeColor="text1"/>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根据锅炉补给水处理系统方案，本工程运行期间无外排废水</w:t>
      </w:r>
      <w:r>
        <w:rPr>
          <w:rFonts w:hint="default" w:ascii="Times New Roman" w:hAnsi="Times New Roman" w:cs="Times New Roman"/>
          <w:color w:val="000000" w:themeColor="text1"/>
          <w14:textFill>
            <w14:solidFill>
              <w14:schemeClr w14:val="tx1"/>
            </w14:solidFill>
          </w14:textFill>
        </w:rPr>
        <w:t>。</w:t>
      </w:r>
    </w:p>
    <w:p>
      <w:pPr>
        <w:pStyle w:val="6"/>
        <w:keepNext/>
        <w:keepLines/>
        <w:pageBreakBefore w:val="0"/>
        <w:widowControl w:val="0"/>
        <w:kinsoku/>
        <w:wordWrap/>
        <w:overflowPunct/>
        <w:topLinePunct w:val="0"/>
        <w:autoSpaceDE/>
        <w:autoSpaceDN/>
        <w:bidi w:val="0"/>
        <w:adjustRightInd w:val="0"/>
        <w:snapToGrid w:val="0"/>
        <w:spacing w:before="0" w:after="0" w:line="360" w:lineRule="auto"/>
        <w:jc w:val="left"/>
        <w:textAlignment w:val="auto"/>
        <w:rPr>
          <w:rFonts w:hint="eastAsia" w:ascii="Times New Roman" w:hAnsi="Times New Roman" w:eastAsia="宋体" w:cs="Times New Roman"/>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Cs w:val="0"/>
          <w:color w:val="000000" w:themeColor="text1"/>
          <w:sz w:val="24"/>
          <w14:textFill>
            <w14:solidFill>
              <w14:schemeClr w14:val="tx1"/>
            </w14:solidFill>
          </w14:textFill>
        </w:rPr>
        <w:t>5.2.2</w:t>
      </w:r>
      <w:r>
        <w:rPr>
          <w:rFonts w:hint="eastAsia" w:ascii="Times New Roman" w:hAnsi="Times New Roman" w:eastAsia="宋体" w:cs="Times New Roman"/>
          <w:bCs w:val="0"/>
          <w:color w:val="000000" w:themeColor="text1"/>
          <w:sz w:val="24"/>
          <w:lang w:val="en-US" w:eastAsia="zh-CN"/>
          <w14:textFill>
            <w14:solidFill>
              <w14:schemeClr w14:val="tx1"/>
            </w14:solidFill>
          </w14:textFill>
        </w:rPr>
        <w:t>.3 排水可行性分析</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循环排污水：工程采用机械干式除灰，干灰用于生产水泥或其它建材。工程总排水种经废水处理设施处理及清水池回用水回收后用于厂区灰场湿式搅拌用水；冬季处理达标后回用至清水池。</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酸碱废水：化学处理系统排出的酸碱废水，经中和池中和处理达标后</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pH</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〜9），排入工业废水处理系统处理复用。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锅炉酸洗水：新锅炉投产前和锅炉大修后需进行酸洗，大修周期为每炉5年左右一次，每次排水量约</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2000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为非经常性排水。用无机酸洗炉时，排水经临时酸碱处理达标后可重复利用。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4）</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反渗透排水：锅炉补给用水排出的反渗透排水，经酸碱废水处理设施处理达标后</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pH</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=6~9），</w:t>
      </w:r>
      <w:r>
        <w:rPr>
          <w:rFonts w:hint="eastAsia" w:ascii="Times New Roman" w:hAnsi="Times New Roman" w:eastAsia="宋体" w:cs="Times New Roman"/>
          <w:snapToGrid w:val="0"/>
          <w:color w:val="000000" w:themeColor="text1"/>
          <w:spacing w:val="0"/>
          <w:sz w:val="24"/>
          <w:szCs w:val="24"/>
          <w:lang w:val="en-US"/>
          <w14:textFill>
            <w14:solidFill>
              <w14:schemeClr w14:val="tx1"/>
            </w14:solidFill>
          </w14:textFill>
        </w:rPr>
        <w:t>排入废水池排到脱硫用水</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5）</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超滤反冲洗水：排入工业废水处理系统处理后复用。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脱硝废水：工程采用SNCR脱硝工艺，脱硝废水经工业废水处理系统处理后排入回清水池回用。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7）</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生活污水：本工程的生活污水经下水道汇集后进入生活污水处理站，生活污水采用二级生物接触氧化工艺处理后回用于厂房及道路冲洗及绿化等。</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综上所述，本工程在正常工况下无废污水的外排，非正常工况下的废污水经厂区污水处理装置后可重复利用，废水不外排。</w:t>
      </w:r>
    </w:p>
    <w:p>
      <w:pPr>
        <w:pStyle w:val="4"/>
        <w:keepNext w:val="0"/>
        <w:keepLines w:val="0"/>
        <w:spacing w:before="0" w:after="0" w:line="360" w:lineRule="auto"/>
        <w:rPr>
          <w:rFonts w:hint="default" w:ascii="Times New Roman" w:hAnsi="Times New Roman" w:cs="Times New Roman"/>
          <w:color w:val="000000" w:themeColor="text1"/>
          <w14:textFill>
            <w14:solidFill>
              <w14:schemeClr w14:val="tx1"/>
            </w14:solidFill>
          </w14:textFill>
        </w:rPr>
      </w:pPr>
      <w:bookmarkStart w:id="256" w:name="_Toc10804"/>
      <w:bookmarkStart w:id="257" w:name="_Toc27779"/>
      <w:bookmarkStart w:id="258" w:name="_Toc27511"/>
      <w:bookmarkStart w:id="259" w:name="_Toc459270325"/>
      <w:r>
        <w:rPr>
          <w:rFonts w:hint="default" w:ascii="Times New Roman" w:hAnsi="Times New Roman" w:cs="Times New Roman"/>
          <w:color w:val="000000" w:themeColor="text1"/>
          <w14:textFill>
            <w14:solidFill>
              <w14:schemeClr w14:val="tx1"/>
            </w14:solidFill>
          </w14:textFill>
        </w:rPr>
        <w:t>5.3 地下水影响预测与评价</w:t>
      </w:r>
      <w:bookmarkEnd w:id="256"/>
      <w:bookmarkEnd w:id="257"/>
      <w:bookmarkEnd w:id="258"/>
    </w:p>
    <w:bookmarkEnd w:id="259"/>
    <w:p>
      <w:pPr>
        <w:pStyle w:val="5"/>
        <w:keepNext w:val="0"/>
        <w:keepLines w:val="0"/>
        <w:overflowPunct w:val="0"/>
        <w:spacing w:before="0" w:after="0" w:line="360" w:lineRule="auto"/>
        <w:rPr>
          <w:rFonts w:hint="default" w:ascii="Times New Roman" w:hAnsi="Times New Roman" w:cs="Times New Roman"/>
          <w:bCs w:val="0"/>
          <w:color w:val="000000" w:themeColor="text1"/>
          <w:kern w:val="0"/>
          <w:sz w:val="28"/>
          <w:szCs w:val="28"/>
          <w14:textFill>
            <w14:solidFill>
              <w14:schemeClr w14:val="tx1"/>
            </w14:solidFill>
          </w14:textFill>
        </w:rPr>
      </w:pPr>
      <w:bookmarkStart w:id="260" w:name="bookmark43"/>
      <w:bookmarkEnd w:id="260"/>
      <w:bookmarkStart w:id="261" w:name="_Toc4990"/>
      <w:bookmarkStart w:id="262" w:name="_Toc6925"/>
      <w:bookmarkStart w:id="263" w:name="_Toc21046"/>
      <w:bookmarkStart w:id="264" w:name="_Toc28736"/>
      <w:bookmarkStart w:id="265" w:name="_Toc32015"/>
      <w:bookmarkStart w:id="266" w:name="_Toc26145"/>
      <w:bookmarkStart w:id="267" w:name="_Toc912"/>
      <w:bookmarkStart w:id="268" w:name="_Toc422841284"/>
      <w:bookmarkStart w:id="269" w:name="_Toc427763126"/>
      <w:bookmarkStart w:id="270" w:name="_Toc422855403"/>
      <w:bookmarkStart w:id="271" w:name="_Toc422841753"/>
      <w:bookmarkStart w:id="272" w:name="_Toc530666874"/>
      <w:bookmarkStart w:id="273" w:name="_Toc22845"/>
      <w:bookmarkStart w:id="274" w:name="_Toc18364"/>
      <w:bookmarkStart w:id="275" w:name="_Toc30851"/>
      <w:bookmarkStart w:id="276" w:name="_Toc530667311"/>
      <w:bookmarkStart w:id="277" w:name="_Toc423104804"/>
      <w:bookmarkStart w:id="278" w:name="_Toc444772137"/>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5</w:t>
      </w:r>
      <w:r>
        <w:rPr>
          <w:rFonts w:hint="default" w:ascii="Times New Roman" w:hAnsi="Times New Roman" w:cs="Times New Roman"/>
          <w:bCs w:val="0"/>
          <w:color w:val="000000" w:themeColor="text1"/>
          <w:kern w:val="0"/>
          <w:sz w:val="28"/>
          <w:szCs w:val="28"/>
          <w14:textFill>
            <w14:solidFill>
              <w14:schemeClr w14:val="tx1"/>
            </w14:solidFill>
          </w14:textFill>
        </w:rPr>
        <w:t>.3.1 水文地质条件分析</w:t>
      </w:r>
      <w:bookmarkEnd w:id="261"/>
      <w:bookmarkEnd w:id="262"/>
      <w:bookmarkEnd w:id="263"/>
      <w:bookmarkEnd w:id="264"/>
      <w:bookmarkEnd w:id="265"/>
    </w:p>
    <w:p>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bookmarkStart w:id="279" w:name="_Toc346701660"/>
      <w:bookmarkStart w:id="280" w:name="_Toc422841269"/>
      <w:bookmarkStart w:id="281" w:name="_Toc423104790"/>
      <w:bookmarkStart w:id="282" w:name="_Toc356174114"/>
      <w:bookmarkStart w:id="283" w:name="_Toc355687415"/>
      <w:bookmarkStart w:id="284" w:name="_Toc312766472"/>
      <w:bookmarkStart w:id="285" w:name="_Toc346701935"/>
      <w:bookmarkStart w:id="286" w:name="_Toc345876723"/>
      <w:bookmarkStart w:id="287" w:name="_Toc341087160"/>
      <w:bookmarkStart w:id="288" w:name="_Toc349319242"/>
      <w:bookmarkStart w:id="289" w:name="_Toc311629031"/>
      <w:bookmarkStart w:id="290" w:name="_Toc341087860"/>
      <w:bookmarkStart w:id="291" w:name="_Toc427763112"/>
      <w:bookmarkStart w:id="292" w:name="_Toc356173966"/>
      <w:bookmarkStart w:id="293" w:name="_Toc343715596"/>
      <w:bookmarkStart w:id="294" w:name="_Toc346706661"/>
      <w:bookmarkStart w:id="295" w:name="_Toc530667302"/>
      <w:bookmarkStart w:id="296" w:name="_Toc530666865"/>
      <w:bookmarkStart w:id="297" w:name="_Toc444772128"/>
      <w:bookmarkStart w:id="298" w:name="_Toc389665259"/>
      <w:bookmarkStart w:id="299" w:name="_Toc309831140"/>
      <w:bookmarkStart w:id="300" w:name="_Toc373747594"/>
      <w:bookmarkStart w:id="301" w:name="_Toc374976648"/>
      <w:bookmarkStart w:id="302" w:name="_Toc422855389"/>
      <w:bookmarkStart w:id="303" w:name="_Toc422841739"/>
      <w:bookmarkStart w:id="304" w:name="_Toc348003655"/>
      <w:bookmarkStart w:id="305" w:name="_Toc347968009"/>
      <w:r>
        <w:rPr>
          <w:rFonts w:hint="default" w:ascii="Times New Roman" w:hAnsi="Times New Roman" w:cs="Times New Roman"/>
          <w:bCs/>
          <w:color w:val="000000" w:themeColor="text1"/>
          <w:sz w:val="24"/>
          <w14:textFill>
            <w14:solidFill>
              <w14:schemeClr w14:val="tx1"/>
            </w14:solidFill>
          </w14:textFill>
        </w:rPr>
        <w:t>本项目所在区域位于准噶尔盆地西北缘，为</w:t>
      </w:r>
      <w:r>
        <w:rPr>
          <w:rFonts w:hint="default" w:ascii="Times New Roman" w:hAnsi="Times New Roman" w:cs="Times New Roman"/>
          <w:color w:val="000000" w:themeColor="text1"/>
          <w:sz w:val="24"/>
          <w14:textFill>
            <w14:solidFill>
              <w14:schemeClr w14:val="tx1"/>
            </w14:solidFill>
          </w14:textFill>
        </w:rPr>
        <w:t>构造剥蚀地貌，属低山丘陵区。区域上出露的地层主要为中生界和新生界地层。评价区海拔271</w:t>
      </w:r>
      <w:r>
        <w:rPr>
          <w:rFonts w:hint="eastAsia"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276m，相对高差小于5m，地面坡降0.5‰</w:t>
      </w:r>
      <w:r>
        <w:rPr>
          <w:rFonts w:hint="eastAsia" w:eastAsia="宋体"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评价区地表出露地层多为第四纪冲洪积松散堆积物，岩性主要以粉质粘土、粘土为主，其次为粉细砂、砂砾石土地层；地下潜水主要为碎屑岩类孔隙裂隙水，含水层岩性主要为泥质砂岩、粉砂岩，夹钙质砂砾岩、泥灰岩、砾岩，包气带岩性主要为细粒土质砂土、粘土质砂土及紧密含砂砾土、砂质泥岩、粉砂岩和泥岩互层等；地下水埋深9</w:t>
      </w:r>
      <w:r>
        <w:rPr>
          <w:rFonts w:hint="eastAsia"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12.5m。</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总体而言，评价区含水层为潜水，渗透系数较小，渗流缓慢；包气带渗透性能弱，存在天然防渗层，渗透系数小，对污染物下渗阻隔作用较强，但因其厚度较小，在含水层埋深浅，天然防渗层较薄的区域，如不做防渗或防渗效果不好，污染物质有可能下渗至含水层，对地下水造成污染。</w:t>
      </w:r>
    </w:p>
    <w:p>
      <w:pPr>
        <w:pStyle w:val="5"/>
        <w:keepNext w:val="0"/>
        <w:keepLines w:val="0"/>
        <w:overflowPunct w:val="0"/>
        <w:spacing w:before="0" w:after="0" w:line="360" w:lineRule="auto"/>
        <w:rPr>
          <w:rFonts w:hint="eastAsia" w:ascii="Times New Roman" w:hAnsi="Times New Roman" w:eastAsia="宋体" w:cs="Times New Roman"/>
          <w:bCs w:val="0"/>
          <w:color w:val="000000" w:themeColor="text1"/>
          <w:kern w:val="0"/>
          <w:sz w:val="28"/>
          <w:szCs w:val="28"/>
          <w:lang w:val="en-US" w:eastAsia="zh-CN"/>
          <w14:textFill>
            <w14:solidFill>
              <w14:schemeClr w14:val="tx1"/>
            </w14:solidFill>
          </w14:textFill>
        </w:rPr>
      </w:pPr>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5.3.2 地下水影响分析</w:t>
      </w:r>
    </w:p>
    <w:p>
      <w:pPr>
        <w:spacing w:line="360" w:lineRule="auto"/>
        <w:ind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工程运营期正常工况条件下，通过厂区内污水处理及回用系统，厂区无外排污水。可能产生的主要污染来自于生产过程中产生的管道式储水系统的泄漏和污水的非正常排放渗漏（包括储水池防护结构、防渗膜破坏或破裂而产生的非正常泄漏）；具体为：在机力通风冷却塔、废水处理系统、生活污水处理系统、锅炉补给水处理系统、汽机及变压器事故油池、油罐区、各废水（污水）处理调节池等这些半地下非可视部位发生小面积渗漏时，可能有少量污染物通过漏点，逐步渗入土壤。</w:t>
      </w:r>
    </w:p>
    <w:p>
      <w:pPr>
        <w:spacing w:line="360" w:lineRule="auto"/>
        <w:ind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因此，本工程对地下水环境产生明显污染的主要因素不是污水的正常产生和排放，为污水非正常工况下渗漏，主要污染物为</w:t>
      </w:r>
      <w:r>
        <w:rPr>
          <w:rFonts w:hint="eastAsia" w:ascii="Times New Roman" w:hAnsi="Times New Roman" w:cs="Times New Roman"/>
          <w:color w:val="000000" w:themeColor="text1"/>
          <w:sz w:val="24"/>
          <w:lang w:val="en-US" w:eastAsia="zh-CN"/>
          <w14:textFill>
            <w14:solidFill>
              <w14:schemeClr w14:val="tx1"/>
            </w14:solidFill>
          </w14:textFill>
        </w:rPr>
        <w:t>COD、氨氮、石油类、硫酸盐。</w:t>
      </w:r>
    </w:p>
    <w:p>
      <w:pPr>
        <w:spacing w:line="360" w:lineRule="auto"/>
        <w:ind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项目产生废水种类主要有生产装置工艺废水、循环冷却水系统排污水、设备地面冲洗废水以及生活污水等，设计采取分类分质收集和处理。本项目产生的污水均得到了合理有效的处置，不外排。</w:t>
      </w:r>
    </w:p>
    <w:p>
      <w:pPr>
        <w:spacing w:line="360" w:lineRule="auto"/>
        <w:ind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对地下水的污染途径主要来自于厂区内跑、冒、滴、漏的污水经图层渗透，污染地下水以及原辅材料、产品、固废等临时贮存场所污染物下渗影响。为防止浅层地下水的污染，评价要求，厂区生产区和储运设施区，包括废水沟管、循环水池、固废临时贮存设施等设施均应按规范做防渗处理。采取以上措施后，正常生产情况下，本项目对厂区及附近地下水环境影响小。</w:t>
      </w:r>
    </w:p>
    <w:p>
      <w:pPr>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事故情况下，对地下水可能造成影响的主要因素为生产废水和污水管网等的泄漏事故。废水主要含有氨氮、悬浮物等，污染因子为非持续性，由常去的包气带岩性可以看出，废水首先进入地表以下的包气带中，该区域的包气带岩性主要为棕漠土夹砾石。地下水水位埋深大，其对氨氮、SS等的吸附能力强，可有效减少废水污染物的入渗。考虑到地下水自净能力差，本评价认为：为避免事故状态对地下水污染，需采取必要的措施，最大限度预防事故，降低事故发生频率；建立完善的地下水监测网络，一旦发现水质异常，立即启动应急机制，解决问题。</w:t>
      </w:r>
    </w:p>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Pr>
        <w:pStyle w:val="5"/>
        <w:spacing w:before="0" w:after="0" w:line="360" w:lineRule="auto"/>
        <w:rPr>
          <w:rFonts w:hint="default" w:ascii="Times New Roman" w:hAnsi="Times New Roman" w:cs="Times New Roman"/>
          <w:color w:val="000000" w:themeColor="text1"/>
          <w14:textFill>
            <w14:solidFill>
              <w14:schemeClr w14:val="tx1"/>
            </w14:solidFill>
          </w14:textFill>
        </w:rPr>
      </w:pPr>
      <w:bookmarkStart w:id="306" w:name="_Toc423104812"/>
      <w:bookmarkStart w:id="307" w:name="_Toc416372450"/>
      <w:bookmarkStart w:id="308" w:name="_Toc422855411"/>
      <w:bookmarkStart w:id="309" w:name="_Toc422841292"/>
      <w:bookmarkStart w:id="310" w:name="_Toc427763134"/>
      <w:bookmarkStart w:id="311" w:name="_Toc422841761"/>
      <w:bookmarkStart w:id="312" w:name="_Toc416885946"/>
      <w:bookmarkStart w:id="313" w:name="_Toc418097225"/>
      <w:bookmarkStart w:id="314" w:name="_Toc413749050"/>
      <w:bookmarkStart w:id="315" w:name="_Toc413669394"/>
      <w:bookmarkStart w:id="316" w:name="_Toc413665547"/>
      <w:bookmarkStart w:id="317" w:name="_Toc444772146"/>
      <w:bookmarkStart w:id="318" w:name="_Toc530667317"/>
      <w:bookmarkStart w:id="319" w:name="_Toc530666882"/>
      <w:bookmarkStart w:id="320" w:name="_Toc11320"/>
      <w:bookmarkStart w:id="321" w:name="_Toc19794"/>
      <w:bookmarkStart w:id="322" w:name="_Toc29245"/>
      <w:bookmarkStart w:id="323" w:name="_Toc30122"/>
      <w:bookmarkStart w:id="324" w:name="_Toc20008"/>
      <w:r>
        <w:rPr>
          <w:rFonts w:hint="default" w:ascii="Times New Roman" w:hAnsi="Times New Roman" w:cs="Times New Roman"/>
          <w:color w:val="000000" w:themeColor="text1"/>
          <w14:textFill>
            <w14:solidFill>
              <w14:schemeClr w14:val="tx1"/>
            </w14:solidFill>
          </w14:textFill>
        </w:rPr>
        <w:t>5.3.</w:t>
      </w:r>
      <w:r>
        <w:rPr>
          <w:rFonts w:hint="eastAsia" w:ascii="Times New Roman" w:hAnsi="Times New Roman" w:cs="Times New Roman"/>
          <w:color w:val="000000" w:themeColor="text1"/>
          <w:lang w:val="en-US" w:eastAsia="zh-CN"/>
          <w14:textFill>
            <w14:solidFill>
              <w14:schemeClr w14:val="tx1"/>
            </w14:solidFill>
          </w14:textFill>
        </w:rPr>
        <w:t xml:space="preserve">3 </w:t>
      </w:r>
      <w:r>
        <w:rPr>
          <w:rFonts w:hint="default" w:ascii="Times New Roman" w:hAnsi="Times New Roman" w:cs="Times New Roman"/>
          <w:color w:val="000000" w:themeColor="text1"/>
          <w14:textFill>
            <w14:solidFill>
              <w14:schemeClr w14:val="tx1"/>
            </w14:solidFill>
          </w14:textFill>
        </w:rPr>
        <w:t>地下水</w:t>
      </w:r>
      <w:bookmarkEnd w:id="306"/>
      <w:bookmarkEnd w:id="307"/>
      <w:bookmarkEnd w:id="308"/>
      <w:bookmarkEnd w:id="309"/>
      <w:bookmarkEnd w:id="310"/>
      <w:bookmarkEnd w:id="311"/>
      <w:bookmarkEnd w:id="312"/>
      <w:bookmarkEnd w:id="313"/>
      <w:bookmarkEnd w:id="314"/>
      <w:bookmarkEnd w:id="315"/>
      <w:bookmarkEnd w:id="316"/>
      <w:r>
        <w:rPr>
          <w:rFonts w:hint="default" w:ascii="Times New Roman" w:hAnsi="Times New Roman" w:cs="Times New Roman"/>
          <w:color w:val="000000" w:themeColor="text1"/>
          <w14:textFill>
            <w14:solidFill>
              <w14:schemeClr w14:val="tx1"/>
            </w14:solidFill>
          </w14:textFill>
        </w:rPr>
        <w:t>污染防控对策</w:t>
      </w:r>
      <w:bookmarkEnd w:id="317"/>
      <w:bookmarkEnd w:id="318"/>
      <w:bookmarkEnd w:id="319"/>
      <w:bookmarkEnd w:id="320"/>
    </w:p>
    <w:p>
      <w:pPr>
        <w:pStyle w:val="138"/>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本项目在正常工况下，对地下水环境影响有限。但是在个别工况情景下，对地下水环境存在一定程度的影响(参照《地下水质量标准》(GB/T14848-</w:t>
      </w:r>
      <w:r>
        <w:rPr>
          <w:rFonts w:hint="default" w:ascii="Times New Roman" w:hAnsi="Times New Roman" w:cs="Times New Roman"/>
          <w:color w:val="000000" w:themeColor="text1"/>
          <w:lang w:val="en-US" w:eastAsia="zh-CN"/>
          <w14:textFill>
            <w14:solidFill>
              <w14:schemeClr w14:val="tx1"/>
            </w14:solidFill>
          </w14:textFill>
        </w:rPr>
        <w:t>2017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Ⅲ</w:t>
      </w:r>
      <w:r>
        <w:rPr>
          <w:rFonts w:hint="default" w:ascii="Times New Roman" w:hAnsi="Times New Roman" w:cs="Times New Roman"/>
          <w:color w:val="000000" w:themeColor="text1"/>
          <w14:textFill>
            <w14:solidFill>
              <w14:schemeClr w14:val="tx1"/>
            </w14:solidFill>
          </w14:textFill>
        </w:rPr>
        <w:t>类标)。按照《中华人民共和国水污染防治法》以及《环境影响评价技术导则—地下水环境》(HJ610-2016)的要求，本工程按照“源头控制、分区防控、污染监控、应急响应”相结合的原则，从污染物的产生、入渗、扩散、应急响应进行控制。在建设和正常运行期间，应尽量防止管道、设备以及构筑物等产生渗漏和跑冒滴漏情况发生。</w:t>
      </w:r>
    </w:p>
    <w:p>
      <w:pPr>
        <w:pStyle w:val="6"/>
        <w:spacing w:before="0" w:after="0" w:line="360" w:lineRule="auto"/>
        <w:rPr>
          <w:rFonts w:hint="default" w:ascii="Times New Roman" w:hAnsi="Times New Roman" w:eastAsia="宋体" w:cs="Times New Roman"/>
          <w:b/>
          <w:bCs/>
          <w:color w:val="000000" w:themeColor="text1"/>
          <w14:textFill>
            <w14:solidFill>
              <w14:schemeClr w14:val="tx1"/>
            </w14:solidFill>
          </w14:textFill>
        </w:rPr>
      </w:pPr>
      <w:bookmarkStart w:id="325" w:name="_Toc413665548"/>
      <w:bookmarkStart w:id="326" w:name="_Toc422841762"/>
      <w:bookmarkStart w:id="327" w:name="_Toc416885947"/>
      <w:bookmarkStart w:id="328" w:name="_Toc427763135"/>
      <w:bookmarkStart w:id="329" w:name="_Toc422841293"/>
      <w:bookmarkStart w:id="330" w:name="_Toc418097226"/>
      <w:bookmarkStart w:id="331" w:name="_Toc422855412"/>
      <w:bookmarkStart w:id="332" w:name="_Toc413669395"/>
      <w:bookmarkStart w:id="333" w:name="_Toc423104813"/>
      <w:bookmarkStart w:id="334" w:name="_Toc530667318"/>
      <w:bookmarkStart w:id="335" w:name="_Toc444772147"/>
      <w:bookmarkStart w:id="336" w:name="_Toc413749051"/>
      <w:bookmarkStart w:id="337" w:name="_Toc530666883"/>
      <w:bookmarkStart w:id="338" w:name="_Toc416372451"/>
      <w:r>
        <w:rPr>
          <w:rFonts w:hint="default" w:ascii="Times New Roman" w:hAnsi="Times New Roman" w:eastAsia="宋体" w:cs="Times New Roman"/>
          <w:b/>
          <w:bCs/>
          <w:color w:val="000000" w:themeColor="text1"/>
          <w14:textFill>
            <w14:solidFill>
              <w14:schemeClr w14:val="tx1"/>
            </w14:solidFill>
          </w14:textFill>
        </w:rPr>
        <w:t>5.3.</w:t>
      </w:r>
      <w:r>
        <w:rPr>
          <w:rFonts w:hint="eastAsia" w:ascii="Times New Roman" w:hAnsi="Times New Roman" w:eastAsia="宋体"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.1源头控制措施</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pPr>
        <w:pStyle w:val="138"/>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工程对产生的废水进行合理的治理和综合利用，以先进工艺、管道、设备、装置，尽可能从源头上减少废水产生；严格按照国家相关规范要求，对工艺、管道、设备、污水储存构筑物采取相应的措施，以防止和降低废水的跑、冒、滴、漏，将废水泄漏的环境风险事故降低到最低程度；优化排水系统设计，废水在厂区内收集后通过管线</w:t>
      </w:r>
      <w:r>
        <w:rPr>
          <w:rFonts w:hint="default" w:ascii="Times New Roman" w:hAnsi="Times New Roman" w:cs="Times New Roman"/>
          <w:snapToGrid w:val="0"/>
          <w:color w:val="000000" w:themeColor="text1"/>
          <w:kern w:val="0"/>
          <w14:textFill>
            <w14:solidFill>
              <w14:schemeClr w14:val="tx1"/>
            </w14:solidFill>
          </w14:textFill>
        </w:rPr>
        <w:t>直接排入城市污水管网</w:t>
      </w:r>
      <w:r>
        <w:rPr>
          <w:rFonts w:hint="default" w:ascii="Times New Roman" w:hAnsi="Times New Roman" w:cs="Times New Roman"/>
          <w:color w:val="000000" w:themeColor="text1"/>
          <w14:textFill>
            <w14:solidFill>
              <w14:schemeClr w14:val="tx1"/>
            </w14:solidFill>
          </w14:textFill>
        </w:rPr>
        <w:t>；厂房内管线敷设尽量采用“可视化”原则，即管道尽可能地上敷设，做到污染物“早发现、早处理”，以减少由于埋地管道泄漏而可能造成的地下水污染；</w:t>
      </w:r>
      <w:r>
        <w:rPr>
          <w:rFonts w:hint="default" w:ascii="Times New Roman" w:hAnsi="Times New Roman" w:cs="Times New Roman"/>
          <w:color w:val="000000" w:themeColor="text1"/>
          <w:kern w:val="24"/>
          <w:szCs w:val="24"/>
          <w14:textFill>
            <w14:solidFill>
              <w14:schemeClr w14:val="tx1"/>
            </w14:solidFill>
          </w14:textFill>
        </w:rPr>
        <w:t>污泥在运输过程中采用全密闭专用运输车辆，防止污泥在运输过程中发生泄漏</w:t>
      </w:r>
      <w:r>
        <w:rPr>
          <w:rFonts w:hint="default" w:ascii="Times New Roman" w:hAnsi="Times New Roman" w:cs="Times New Roman"/>
          <w:color w:val="000000" w:themeColor="text1"/>
          <w14:textFill>
            <w14:solidFill>
              <w14:schemeClr w14:val="tx1"/>
            </w14:solidFill>
          </w14:textFill>
        </w:rPr>
        <w:t>。</w:t>
      </w:r>
    </w:p>
    <w:p>
      <w:pPr>
        <w:pStyle w:val="6"/>
        <w:spacing w:before="0" w:after="0" w:line="360" w:lineRule="auto"/>
        <w:rPr>
          <w:rFonts w:hint="default" w:ascii="Times New Roman" w:hAnsi="Times New Roman" w:eastAsia="宋体" w:cs="Times New Roman"/>
          <w:b/>
          <w:bCs/>
          <w:color w:val="000000" w:themeColor="text1"/>
          <w14:textFill>
            <w14:solidFill>
              <w14:schemeClr w14:val="tx1"/>
            </w14:solidFill>
          </w14:textFill>
        </w:rPr>
      </w:pPr>
      <w:bookmarkStart w:id="339" w:name="_Toc413749052"/>
      <w:bookmarkStart w:id="340" w:name="_Toc422841294"/>
      <w:bookmarkStart w:id="341" w:name="_Toc444772148"/>
      <w:bookmarkStart w:id="342" w:name="_Toc530666884"/>
      <w:bookmarkStart w:id="343" w:name="_Toc416885948"/>
      <w:bookmarkStart w:id="344" w:name="_Toc422855413"/>
      <w:bookmarkStart w:id="345" w:name="_Toc418097227"/>
      <w:bookmarkStart w:id="346" w:name="_Toc423104814"/>
      <w:bookmarkStart w:id="347" w:name="_Toc530667319"/>
      <w:bookmarkStart w:id="348" w:name="_Toc416372452"/>
      <w:bookmarkStart w:id="349" w:name="_Toc427763136"/>
      <w:bookmarkStart w:id="350" w:name="_Toc413669396"/>
      <w:bookmarkStart w:id="351" w:name="_Toc413665549"/>
      <w:bookmarkStart w:id="352" w:name="_Toc422841763"/>
      <w:r>
        <w:rPr>
          <w:rFonts w:hint="default" w:ascii="Times New Roman" w:hAnsi="Times New Roman" w:eastAsia="宋体" w:cs="Times New Roman"/>
          <w:b/>
          <w:bCs/>
          <w:color w:val="000000" w:themeColor="text1"/>
          <w14:textFill>
            <w14:solidFill>
              <w14:schemeClr w14:val="tx1"/>
            </w14:solidFill>
          </w14:textFill>
        </w:rPr>
        <w:t>5.3.</w:t>
      </w:r>
      <w:r>
        <w:rPr>
          <w:rFonts w:hint="eastAsia" w:ascii="Times New Roman" w:hAnsi="Times New Roman" w:eastAsia="宋体"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.2分区防控措施</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pPr>
        <w:pStyle w:val="138"/>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工程区可能泄漏废水的污染区地面进行防渗处理，并及时地将泄漏/渗漏的废水收集起来进行处理，可有效防止洒落地面的废水渗入地下。污染防渗区各构筑物在满足其工程设计的前提下，污染防渗措施根据《环境影响评价技术导则 地下水环境》（HJ610-2016）表7要求执行，结合目前施工过程中的可操作性和技术水平，针对不同的防渗区域采用局部防渗措施。</w:t>
      </w:r>
    </w:p>
    <w:p>
      <w:pPr>
        <w:numPr>
          <w:ilvl w:val="0"/>
          <w:numId w:val="7"/>
        </w:num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bookmarkStart w:id="353" w:name="_Toc423104815"/>
      <w:bookmarkStart w:id="354" w:name="_Toc444772149"/>
      <w:bookmarkStart w:id="355" w:name="_Toc416372453"/>
      <w:bookmarkStart w:id="356" w:name="_Toc416885949"/>
      <w:bookmarkStart w:id="357" w:name="_Toc530667320"/>
      <w:bookmarkStart w:id="358" w:name="_Toc418097228"/>
      <w:bookmarkStart w:id="359" w:name="_Toc422841764"/>
      <w:bookmarkStart w:id="360" w:name="_Toc422841295"/>
      <w:bookmarkStart w:id="361" w:name="_Toc413749053"/>
      <w:bookmarkStart w:id="362" w:name="_Toc413669397"/>
      <w:bookmarkStart w:id="363" w:name="_Toc422855414"/>
      <w:bookmarkStart w:id="364" w:name="_Toc427763137"/>
      <w:bookmarkStart w:id="365" w:name="_Toc413665550"/>
      <w:bookmarkStart w:id="366" w:name="_Toc530666885"/>
      <w:r>
        <w:rPr>
          <w:rFonts w:hint="default" w:ascii="Times New Roman" w:hAnsi="Times New Roman" w:cs="Times New Roman"/>
          <w:bCs/>
          <w:color w:val="000000" w:themeColor="text1"/>
          <w:sz w:val="24"/>
          <w14:textFill>
            <w14:solidFill>
              <w14:schemeClr w14:val="tx1"/>
            </w14:solidFill>
          </w14:textFill>
        </w:rPr>
        <w:t>厂区污染防渗区划分</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pPr>
        <w:pStyle w:val="138"/>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根据厂区各生产、生活功能单元可能产生废水的地区，划分为重点防渗区、一般防渗区、简单防渗区。</w:t>
      </w:r>
    </w:p>
    <w:p>
      <w:pPr>
        <w:pStyle w:val="138"/>
        <w:numPr>
          <w:ilvl w:val="0"/>
          <w:numId w:val="8"/>
        </w:num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重点防渗区</w:t>
      </w:r>
    </w:p>
    <w:p>
      <w:pPr>
        <w:pStyle w:val="138"/>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参照《环境影响评价技术导则 地下水环境》(HJ610-2016)表7要求，结合本工程具体情况，厂区内半地下生产功能单元，污染物质泄漏后，不容易被及时发现和处理的区域，以及虽可被及时发现并处理，但污染物泄漏后污染状况较严重的生产功能单元确定为重点防渗区，主要包括：事故池、生活污水处理水池等。</w:t>
      </w:r>
    </w:p>
    <w:p>
      <w:pPr>
        <w:pStyle w:val="138"/>
        <w:numPr>
          <w:ilvl w:val="0"/>
          <w:numId w:val="8"/>
        </w:num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一般防渗区</w:t>
      </w:r>
    </w:p>
    <w:p>
      <w:pPr>
        <w:pStyle w:val="138"/>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参照《环境影响评价技术导则 地下水环境》(HJ610-2016)表7要求，结合本工程具体情况，将厂区内裸露于地面的生产功能单元，污染物质泄漏后，容易被及时发现和处理的区域，以及其它需采取必要防渗措施的水工构筑物等确定为一般防渗区；主要包括各罐区等。</w:t>
      </w:r>
    </w:p>
    <w:p>
      <w:pPr>
        <w:pStyle w:val="138"/>
        <w:numPr>
          <w:ilvl w:val="0"/>
          <w:numId w:val="8"/>
        </w:num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简单防渗区</w:t>
      </w:r>
    </w:p>
    <w:p>
      <w:pPr>
        <w:pStyle w:val="138"/>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除重点防渗区、一般防渗区之外的污染区域确定为简单防渗区，如</w:t>
      </w:r>
      <w:bookmarkStart w:id="367" w:name="OLE_LINK2"/>
      <w:r>
        <w:rPr>
          <w:rFonts w:hint="default" w:ascii="Times New Roman" w:hAnsi="Times New Roman" w:cs="Times New Roman"/>
          <w:color w:val="000000" w:themeColor="text1"/>
          <w14:textFill>
            <w14:solidFill>
              <w14:schemeClr w14:val="tx1"/>
            </w14:solidFill>
          </w14:textFill>
        </w:rPr>
        <w:t>停车场、行政综合楼、厂区内道路</w:t>
      </w:r>
      <w:bookmarkEnd w:id="367"/>
      <w:r>
        <w:rPr>
          <w:rFonts w:hint="default" w:ascii="Times New Roman" w:hAnsi="Times New Roman" w:cs="Times New Roman"/>
          <w:color w:val="000000" w:themeColor="text1"/>
          <w14:textFill>
            <w14:solidFill>
              <w14:schemeClr w14:val="tx1"/>
            </w14:solidFill>
          </w14:textFill>
        </w:rPr>
        <w:t>等，可根据具体情况采取一般地面硬化措施。</w:t>
      </w:r>
    </w:p>
    <w:p>
      <w:pPr>
        <w:pStyle w:val="5"/>
        <w:spacing w:before="0" w:after="0" w:line="360" w:lineRule="auto"/>
        <w:rPr>
          <w:rFonts w:hint="default" w:ascii="Times New Roman" w:hAnsi="Times New Roman" w:cs="Times New Roman"/>
          <w:color w:val="000000" w:themeColor="text1"/>
          <w14:textFill>
            <w14:solidFill>
              <w14:schemeClr w14:val="tx1"/>
            </w14:solidFill>
          </w14:textFill>
        </w:rPr>
      </w:pPr>
      <w:bookmarkStart w:id="368" w:name="_Toc1980"/>
      <w:r>
        <w:rPr>
          <w:rFonts w:hint="default" w:ascii="Times New Roman" w:hAnsi="Times New Roman" w:cs="Times New Roman"/>
          <w:color w:val="000000" w:themeColor="text1"/>
          <w14:textFill>
            <w14:solidFill>
              <w14:schemeClr w14:val="tx1"/>
            </w14:solidFill>
          </w14:textFill>
        </w:rPr>
        <w:t>5.3.</w:t>
      </w:r>
      <w:bookmarkEnd w:id="321"/>
      <w:bookmarkEnd w:id="322"/>
      <w:bookmarkEnd w:id="323"/>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地下水影响评价结论</w:t>
      </w:r>
      <w:bookmarkEnd w:id="324"/>
      <w:bookmarkEnd w:id="368"/>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（1）项目区地下水质良好，水量较丰富，是重要的环境敏感目标；项目区包气带地层防护能力较强，有利于地下水环境保护。</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）为防止出现污染地下水质的不利情形，要根据不同的污染源类型在不同部位设置防渗措施，并进行有效的地下水环境监控；一旦出现可能污染地下水的情形，要及时抢险处置，并采用后续修复治理工作。</w:t>
      </w:r>
    </w:p>
    <w:p>
      <w:pPr>
        <w:pStyle w:val="4"/>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Times New Roman" w:hAnsi="Times New Roman" w:cs="Times New Roman"/>
          <w:color w:val="000000" w:themeColor="text1"/>
          <w14:textFill>
            <w14:solidFill>
              <w14:schemeClr w14:val="tx1"/>
            </w14:solidFill>
          </w14:textFill>
        </w:rPr>
      </w:pPr>
      <w:bookmarkStart w:id="369" w:name="_Toc28949"/>
      <w:bookmarkStart w:id="370" w:name="_Toc31621"/>
      <w:bookmarkStart w:id="371" w:name="_Toc3778_WPSOffice_Level2"/>
      <w:bookmarkStart w:id="372" w:name="_Toc31250"/>
      <w:bookmarkStart w:id="373" w:name="_Toc11192"/>
      <w:bookmarkStart w:id="374" w:name="_Toc19270"/>
      <w:r>
        <w:rPr>
          <w:rFonts w:hint="default" w:ascii="Times New Roman" w:hAnsi="Times New Roman" w:cs="Times New Roman"/>
          <w:color w:val="000000" w:themeColor="text1"/>
          <w14:textFill>
            <w14:solidFill>
              <w14:schemeClr w14:val="tx1"/>
            </w14:solidFill>
          </w14:textFill>
        </w:rPr>
        <w:t>5.4声环境影响预测与评价</w:t>
      </w:r>
      <w:bookmarkEnd w:id="369"/>
      <w:bookmarkEnd w:id="370"/>
      <w:bookmarkEnd w:id="371"/>
      <w:bookmarkEnd w:id="372"/>
      <w:bookmarkEnd w:id="373"/>
      <w:bookmarkEnd w:id="374"/>
    </w:p>
    <w:p>
      <w:pPr>
        <w:pStyle w:val="5"/>
        <w:keepNext w:val="0"/>
        <w:keepLines w:val="0"/>
        <w:overflowPunct w:val="0"/>
        <w:spacing w:before="0" w:after="0" w:line="360" w:lineRule="auto"/>
        <w:rPr>
          <w:rFonts w:hint="default" w:ascii="Times New Roman" w:hAnsi="Times New Roman" w:cs="Times New Roman"/>
          <w:bCs w:val="0"/>
          <w:color w:val="000000" w:themeColor="text1"/>
          <w:kern w:val="0"/>
          <w:sz w:val="28"/>
          <w:szCs w:val="28"/>
          <w:lang w:val="zh-CN"/>
          <w14:textFill>
            <w14:solidFill>
              <w14:schemeClr w14:val="tx1"/>
            </w14:solidFill>
          </w14:textFill>
        </w:rPr>
      </w:pPr>
      <w:bookmarkStart w:id="375" w:name="_Toc17956"/>
      <w:bookmarkStart w:id="376" w:name="_Toc29720"/>
      <w:r>
        <w:rPr>
          <w:rFonts w:hint="default" w:ascii="Times New Roman" w:hAnsi="Times New Roman" w:cs="Times New Roman"/>
          <w:bCs w:val="0"/>
          <w:color w:val="000000" w:themeColor="text1"/>
          <w:kern w:val="0"/>
          <w:sz w:val="28"/>
          <w:szCs w:val="28"/>
          <w:lang w:val="zh-CN"/>
          <w14:textFill>
            <w14:solidFill>
              <w14:schemeClr w14:val="tx1"/>
            </w14:solidFill>
          </w14:textFill>
        </w:rPr>
        <w:t>5.4.</w:t>
      </w:r>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1</w:t>
      </w:r>
      <w:r>
        <w:rPr>
          <w:rFonts w:hint="default" w:ascii="Times New Roman" w:hAnsi="Times New Roman" w:cs="Times New Roman"/>
          <w:bCs w:val="0"/>
          <w:color w:val="000000" w:themeColor="text1"/>
          <w:kern w:val="0"/>
          <w:sz w:val="28"/>
          <w:szCs w:val="28"/>
          <w:lang w:val="zh-CN"/>
          <w14:textFill>
            <w14:solidFill>
              <w14:schemeClr w14:val="tx1"/>
            </w14:solidFill>
          </w14:textFill>
        </w:rPr>
        <w:t xml:space="preserve"> </w:t>
      </w:r>
      <w:bookmarkEnd w:id="375"/>
      <w:bookmarkEnd w:id="376"/>
      <w:r>
        <w:rPr>
          <w:rFonts w:hint="eastAsia" w:ascii="Times New Roman" w:hAnsi="Times New Roman" w:cs="Times New Roman"/>
          <w:bCs w:val="0"/>
          <w:color w:val="000000" w:themeColor="text1"/>
          <w:kern w:val="0"/>
          <w:sz w:val="28"/>
          <w:szCs w:val="28"/>
          <w:lang w:val="zh-CN"/>
          <w14:textFill>
            <w14:solidFill>
              <w14:schemeClr w14:val="tx1"/>
            </w14:solidFill>
          </w14:textFill>
        </w:rPr>
        <w:t>预测模式</w:t>
      </w:r>
    </w:p>
    <w:p>
      <w:pPr>
        <w:pStyle w:val="139"/>
        <w:overflowPunct w:val="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本次声环境影响评价的预测点为：东、南、西和北厂界，预测点距离地面高度为1.2m。</w:t>
      </w:r>
    </w:p>
    <w:p>
      <w:pPr>
        <w:pStyle w:val="6"/>
        <w:snapToGrid w:val="0"/>
        <w:spacing w:beforeLines="50" w:after="0" w:line="360" w:lineRule="auto"/>
        <w:jc w:val="left"/>
        <w:textAlignment w:val="auto"/>
        <w:rPr>
          <w:rFonts w:hint="default" w:ascii="Times New Roman" w:hAnsi="Times New Roman" w:eastAsia="宋体" w:cs="Times New Roman"/>
          <w:bCs w:val="0"/>
          <w:color w:val="000000" w:themeColor="text1"/>
          <w:sz w:val="24"/>
          <w:lang w:val="zh-CN"/>
          <w14:textFill>
            <w14:solidFill>
              <w14:schemeClr w14:val="tx1"/>
            </w14:solidFill>
          </w14:textFill>
        </w:rPr>
      </w:pPr>
      <w:r>
        <w:rPr>
          <w:rFonts w:hint="default" w:ascii="Times New Roman" w:hAnsi="Times New Roman" w:eastAsia="宋体" w:cs="Times New Roman"/>
          <w:bCs w:val="0"/>
          <w:color w:val="000000" w:themeColor="text1"/>
          <w:sz w:val="24"/>
          <w14:textFill>
            <w14:solidFill>
              <w14:schemeClr w14:val="tx1"/>
            </w14:solidFill>
          </w14:textFill>
        </w:rPr>
        <w:t>5.4.2.1</w:t>
      </w:r>
      <w:r>
        <w:rPr>
          <w:rFonts w:hint="eastAsia" w:ascii="Times New Roman" w:hAnsi="Times New Roman" w:eastAsia="宋体" w:cs="Times New Roman"/>
          <w:bCs w:val="0"/>
          <w:color w:val="000000" w:themeColor="text1"/>
          <w:sz w:val="24"/>
          <w:lang w:val="zh-CN"/>
          <w14:textFill>
            <w14:solidFill>
              <w14:schemeClr w14:val="tx1"/>
            </w14:solidFill>
          </w14:textFill>
        </w:rPr>
        <w:t>噪声源分析</w:t>
      </w:r>
    </w:p>
    <w:p>
      <w:pPr>
        <w:spacing w:line="360" w:lineRule="auto"/>
        <w:ind w:firstLine="480" w:firstLineChars="200"/>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工程主要噪声源主要包含以下四个方面：</w:t>
      </w:r>
    </w:p>
    <w:p>
      <w:pPr>
        <w:numPr>
          <w:ilvl w:val="0"/>
          <w:numId w:val="9"/>
        </w:numPr>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机械动力噪声：</w:t>
      </w:r>
      <w:r>
        <w:rPr>
          <w:rFonts w:hint="eastAsia" w:ascii="Times New Roman" w:hAnsi="Times New Roman" w:cs="Times New Roman"/>
          <w:color w:val="000000" w:themeColor="text1"/>
          <w:sz w:val="24"/>
          <w:szCs w:val="24"/>
          <w:lang w:val="en-US" w:eastAsia="zh-CN"/>
          <w14:textFill>
            <w14:solidFill>
              <w14:schemeClr w14:val="tx1"/>
            </w14:solidFill>
          </w14:textFill>
        </w:rPr>
        <w:t>由机械设备运转、摩、撞击、振动所产生，如：各种泵类、输送系统等。这类噪声以低中频为主。</w:t>
      </w:r>
      <w:r>
        <w:rPr>
          <w:rFonts w:hint="eastAsia" w:ascii="Times New Roman" w:hAnsi="Times New Roman" w:cs="Times New Roman"/>
          <w:color w:val="000000" w:themeColor="text1"/>
          <w:sz w:val="24"/>
          <w:szCs w:val="24"/>
          <w:lang w:val="en-US" w:eastAsia="zh-CN"/>
          <w14:textFill>
            <w14:solidFill>
              <w14:schemeClr w14:val="tx1"/>
            </w14:solidFill>
          </w14:textFill>
        </w:rPr>
        <w:br w:type="textWrapping"/>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2）气体动力性噪声:由各种风机(机力通风冷却塔风机)、喷燃器、汽机汽管中高压汽流运动、扩容、节流、排汽、漏汽等气体振动产生的噪声具有低、中、高各类频谱。其中锅炉排汽为超高强间歇性噪声，对周围环境干扰最大。声级一般为140dB(A)。</w:t>
      </w:r>
      <w:r>
        <w:rPr>
          <w:rFonts w:hint="eastAsia" w:ascii="Times New Roman" w:hAnsi="Times New Roman" w:cs="Times New Roman"/>
          <w:color w:val="000000" w:themeColor="text1"/>
          <w:sz w:val="24"/>
          <w:szCs w:val="24"/>
          <w:lang w:val="en-US" w:eastAsia="zh-CN"/>
          <w14:textFill>
            <w14:solidFill>
              <w14:schemeClr w14:val="tx1"/>
            </w14:solidFill>
          </w14:textFill>
        </w:rPr>
        <w:br w:type="textWrapping"/>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（3）电磁性噪声：发电机、励磁机、变压器以及其它电器设备，由于磁场交变运动过程中产生的噪声，以低，中频为主。</w:t>
      </w:r>
      <w:r>
        <w:rPr>
          <w:rFonts w:hint="eastAsia" w:ascii="Times New Roman" w:hAnsi="Times New Roman" w:cs="Times New Roman"/>
          <w:color w:val="000000" w:themeColor="text1"/>
          <w:sz w:val="24"/>
          <w:szCs w:val="24"/>
          <w:lang w:val="en-US" w:eastAsia="zh-CN"/>
          <w14:textFill>
            <w14:solidFill>
              <w14:schemeClr w14:val="tx1"/>
            </w14:solidFill>
          </w14:textFill>
        </w:rPr>
        <w:br w:type="textWrapping"/>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（4）交通及其他噪声：厂区内各种车辆行驶的喇叭、辅机冷却水动力噪声、人流活动产生的噪声，一般低，中、高频均有，对局部环境有一定影响。</w:t>
      </w:r>
      <w:r>
        <w:rPr>
          <w:rFonts w:hint="eastAsia" w:ascii="Times New Roman" w:hAnsi="Times New Roman" w:cs="Times New Roman"/>
          <w:color w:val="000000" w:themeColor="text1"/>
          <w:sz w:val="24"/>
          <w:szCs w:val="24"/>
          <w:lang w:val="en-US" w:eastAsia="zh-CN"/>
          <w14:textFill>
            <w14:solidFill>
              <w14:schemeClr w14:val="tx1"/>
            </w14:solidFill>
          </w14:textFill>
        </w:rPr>
        <w:br w:type="textWrapping"/>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以上几类噪声，就能量和影响大小而言，前三类噪声较为突出，各种设备产生的噪声，往往是二类或三类噪声的叠加，由于上述前三类噪声源的设备大部分集中分布在主厂房区域，所以主厂房区域集中了本工程的主要噪声源。</w:t>
      </w:r>
    </w:p>
    <w:p>
      <w:pPr>
        <w:numPr>
          <w:ilvl w:val="0"/>
          <w:numId w:val="0"/>
        </w:numPr>
        <w:spacing w:line="360" w:lineRule="auto"/>
        <w:ind w:firstLine="480" w:firstLineChars="200"/>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本工程主厂房区域是主要噪声源的集合，其中具有持续性影响的主要声源为汽轮机、锅炉等运行噪声，对外部环境有一定影响。但对周围环境影响较大的噪声源是机组安全排汽和起炉、停炉的排汽所产生的噪声，但这类噪声具有不连续性，产生次数少。</w:t>
      </w:r>
    </w:p>
    <w:p>
      <w:pPr>
        <w:spacing w:line="360" w:lineRule="auto"/>
        <w:ind w:firstLine="480" w:firstLineChars="200"/>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根据与同等规模机组设备噪声的类比数据：类比在距离噪声源源强</w:t>
      </w:r>
      <w:r>
        <w:rPr>
          <w:rFonts w:hint="eastAsia" w:ascii="Times New Roman" w:hAnsi="Times New Roman" w:cs="Times New Roman"/>
          <w:color w:val="000000" w:themeColor="text1"/>
          <w:sz w:val="24"/>
          <w:szCs w:val="24"/>
          <w:lang w:val="en-US" w:eastAsia="zh-CN"/>
          <w14:textFill>
            <w14:solidFill>
              <w14:schemeClr w14:val="tx1"/>
            </w14:solidFill>
          </w14:textFill>
        </w:rPr>
        <w:t>1m处的混合叠加噪声，以及经厂房构筑物、隔声罩或者内墙吸声等隔声设施隔声后并在距离声源构筑物1m处的声源源强，最终降噪量在20dB（A）左右。本工程采取降噪措施后主要声源设备噪声声压级作为源强值，见表5.4-1。</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表5.</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-1    本工程设备噪声源    单位：dB（A）</w:t>
      </w:r>
    </w:p>
    <w:tbl>
      <w:tblPr>
        <w:tblStyle w:val="22"/>
        <w:tblW w:w="8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2136"/>
        <w:gridCol w:w="756"/>
        <w:gridCol w:w="2112"/>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7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设备</w:t>
            </w:r>
          </w:p>
        </w:tc>
        <w:tc>
          <w:tcPr>
            <w:tcW w:w="2892"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位置特征</w:t>
            </w:r>
          </w:p>
        </w:tc>
        <w:tc>
          <w:tcPr>
            <w:tcW w:w="4353"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噪声声压级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7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2892"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211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降噪前</w:t>
            </w:r>
          </w:p>
        </w:tc>
        <w:tc>
          <w:tcPr>
            <w:tcW w:w="224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降噪后（厂房、声屏障、构筑物外声级）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7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汽轮发电机</w:t>
            </w:r>
          </w:p>
        </w:tc>
        <w:tc>
          <w:tcPr>
            <w:tcW w:w="21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汽机房</w:t>
            </w:r>
          </w:p>
        </w:tc>
        <w:tc>
          <w:tcPr>
            <w:tcW w:w="756"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室内声源</w:t>
            </w:r>
          </w:p>
        </w:tc>
        <w:tc>
          <w:tcPr>
            <w:tcW w:w="211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90</w:t>
            </w:r>
          </w:p>
        </w:tc>
        <w:tc>
          <w:tcPr>
            <w:tcW w:w="224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7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循环水泵</w:t>
            </w:r>
          </w:p>
        </w:tc>
        <w:tc>
          <w:tcPr>
            <w:tcW w:w="21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供热首站（汽机房内）</w:t>
            </w:r>
          </w:p>
        </w:tc>
        <w:tc>
          <w:tcPr>
            <w:tcW w:w="75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211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85</w:t>
            </w:r>
          </w:p>
        </w:tc>
        <w:tc>
          <w:tcPr>
            <w:tcW w:w="224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7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给料机</w:t>
            </w:r>
          </w:p>
        </w:tc>
        <w:tc>
          <w:tcPr>
            <w:tcW w:w="21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输送泵房</w:t>
            </w:r>
          </w:p>
        </w:tc>
        <w:tc>
          <w:tcPr>
            <w:tcW w:w="75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211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90</w:t>
            </w:r>
          </w:p>
        </w:tc>
        <w:tc>
          <w:tcPr>
            <w:tcW w:w="224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7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锅炉</w:t>
            </w:r>
          </w:p>
        </w:tc>
        <w:tc>
          <w:tcPr>
            <w:tcW w:w="21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锅炉房</w:t>
            </w:r>
          </w:p>
        </w:tc>
        <w:tc>
          <w:tcPr>
            <w:tcW w:w="75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211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88</w:t>
            </w:r>
          </w:p>
        </w:tc>
        <w:tc>
          <w:tcPr>
            <w:tcW w:w="224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7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风机</w:t>
            </w:r>
          </w:p>
        </w:tc>
        <w:tc>
          <w:tcPr>
            <w:tcW w:w="21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锅炉房</w:t>
            </w:r>
          </w:p>
        </w:tc>
        <w:tc>
          <w:tcPr>
            <w:tcW w:w="75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211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92</w:t>
            </w:r>
          </w:p>
        </w:tc>
        <w:tc>
          <w:tcPr>
            <w:tcW w:w="224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7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引风机</w:t>
            </w:r>
          </w:p>
        </w:tc>
        <w:tc>
          <w:tcPr>
            <w:tcW w:w="21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引风机室</w:t>
            </w:r>
          </w:p>
        </w:tc>
        <w:tc>
          <w:tcPr>
            <w:tcW w:w="75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211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92</w:t>
            </w:r>
          </w:p>
        </w:tc>
        <w:tc>
          <w:tcPr>
            <w:tcW w:w="224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7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空压机</w:t>
            </w:r>
          </w:p>
        </w:tc>
        <w:tc>
          <w:tcPr>
            <w:tcW w:w="21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空压机室</w:t>
            </w:r>
          </w:p>
        </w:tc>
        <w:tc>
          <w:tcPr>
            <w:tcW w:w="75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211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91</w:t>
            </w:r>
          </w:p>
        </w:tc>
        <w:tc>
          <w:tcPr>
            <w:tcW w:w="224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7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水泵</w:t>
            </w:r>
          </w:p>
        </w:tc>
        <w:tc>
          <w:tcPr>
            <w:tcW w:w="21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综合水泵房</w:t>
            </w:r>
          </w:p>
        </w:tc>
        <w:tc>
          <w:tcPr>
            <w:tcW w:w="75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211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85</w:t>
            </w:r>
          </w:p>
        </w:tc>
        <w:tc>
          <w:tcPr>
            <w:tcW w:w="224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7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主变</w:t>
            </w:r>
          </w:p>
        </w:tc>
        <w:tc>
          <w:tcPr>
            <w:tcW w:w="21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主厂房南侧</w:t>
            </w:r>
          </w:p>
        </w:tc>
        <w:tc>
          <w:tcPr>
            <w:tcW w:w="756"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室外声源</w:t>
            </w:r>
          </w:p>
        </w:tc>
        <w:tc>
          <w:tcPr>
            <w:tcW w:w="211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75</w:t>
            </w:r>
          </w:p>
        </w:tc>
        <w:tc>
          <w:tcPr>
            <w:tcW w:w="224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7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冷却塔</w:t>
            </w:r>
          </w:p>
        </w:tc>
        <w:tc>
          <w:tcPr>
            <w:tcW w:w="21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厂区东侧</w:t>
            </w:r>
          </w:p>
        </w:tc>
        <w:tc>
          <w:tcPr>
            <w:tcW w:w="75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211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78</w:t>
            </w:r>
          </w:p>
        </w:tc>
        <w:tc>
          <w:tcPr>
            <w:tcW w:w="224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7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锅炉排汽</w:t>
            </w:r>
          </w:p>
        </w:tc>
        <w:tc>
          <w:tcPr>
            <w:tcW w:w="21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排汽口</w:t>
            </w:r>
          </w:p>
        </w:tc>
        <w:tc>
          <w:tcPr>
            <w:tcW w:w="75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211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140</w:t>
            </w:r>
          </w:p>
        </w:tc>
        <w:tc>
          <w:tcPr>
            <w:tcW w:w="224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110</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除上述主要噪声源外，厂区大宗物料运输还产生持续的交通噪声，主要来自物料运输车辆产生的噪声，影响厂区和周边声环境</w:t>
      </w:r>
      <w:r>
        <w:rPr>
          <w:rFonts w:hint="eastAsia"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hint="default" w:ascii="Times New Roman" w:hAnsi="Times New Roman" w:cs="Times New Roman"/>
          <w:b/>
          <w:color w:val="000000" w:themeColor="text1"/>
          <w:sz w:val="24"/>
          <w:lang w:val="zh-CN"/>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 xml:space="preserve">5.4.2.2 </w:t>
      </w:r>
      <w:r>
        <w:rPr>
          <w:rFonts w:hint="eastAsia" w:ascii="Times New Roman" w:hAnsi="Times New Roman" w:cs="Times New Roman"/>
          <w:b/>
          <w:color w:val="000000" w:themeColor="text1"/>
          <w:sz w:val="24"/>
          <w:lang w:val="zh-CN"/>
          <w14:textFill>
            <w14:solidFill>
              <w14:schemeClr w14:val="tx1"/>
            </w14:solidFill>
          </w14:textFill>
        </w:rPr>
        <w:t>预测条件</w:t>
      </w:r>
    </w:p>
    <w:p>
      <w:pPr>
        <w:pStyle w:val="139"/>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cs="Times New Roman"/>
          <w:color w:val="000000" w:themeColor="text1"/>
          <w:szCs w:val="24"/>
          <w:lang w:eastAsia="zh-CN"/>
          <w14:textFill>
            <w14:solidFill>
              <w14:schemeClr w14:val="tx1"/>
            </w14:solidFill>
          </w14:textFill>
        </w:rPr>
      </w:pPr>
      <w:r>
        <w:rPr>
          <w:rFonts w:hint="eastAsia" w:cs="Times New Roman"/>
          <w:color w:val="000000" w:themeColor="text1"/>
          <w:szCs w:val="24"/>
          <w:lang w:eastAsia="zh-CN"/>
          <w14:textFill>
            <w14:solidFill>
              <w14:schemeClr w14:val="tx1"/>
            </w14:solidFill>
          </w14:textFill>
        </w:rPr>
        <w:t>预测条件假设</w:t>
      </w:r>
    </w:p>
    <w:p>
      <w:pPr>
        <w:pStyle w:val="139"/>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cs="Times New Roman"/>
          <w:color w:val="000000" w:themeColor="text1"/>
          <w:szCs w:val="24"/>
          <w:lang w:eastAsia="zh-CN"/>
          <w14:textFill>
            <w14:solidFill>
              <w14:schemeClr w14:val="tx1"/>
            </w14:solidFill>
          </w14:textFill>
        </w:rPr>
      </w:pPr>
      <w:r>
        <w:rPr>
          <w:rFonts w:hint="eastAsia" w:cs="Times New Roman"/>
          <w:color w:val="000000" w:themeColor="text1"/>
          <w:szCs w:val="24"/>
          <w:lang w:eastAsia="zh-CN"/>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1</w:t>
      </w:r>
      <w:r>
        <w:rPr>
          <w:rFonts w:hint="eastAsia" w:cs="Times New Roman"/>
          <w:color w:val="000000" w:themeColor="text1"/>
          <w:szCs w:val="24"/>
          <w:lang w:eastAsia="zh-CN"/>
          <w14:textFill>
            <w14:solidFill>
              <w14:schemeClr w14:val="tx1"/>
            </w14:solidFill>
          </w14:textFill>
        </w:rPr>
        <w:t>）所有产噪设备均在正常工况条件下运行；</w:t>
      </w:r>
    </w:p>
    <w:p>
      <w:pPr>
        <w:pStyle w:val="139"/>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cs="Times New Roman"/>
          <w:color w:val="000000" w:themeColor="text1"/>
          <w:szCs w:val="24"/>
          <w:lang w:eastAsia="zh-CN"/>
          <w14:textFill>
            <w14:solidFill>
              <w14:schemeClr w14:val="tx1"/>
            </w14:solidFill>
          </w14:textFill>
        </w:rPr>
      </w:pPr>
      <w:r>
        <w:rPr>
          <w:rFonts w:hint="eastAsia" w:cs="Times New Roman"/>
          <w:color w:val="000000" w:themeColor="text1"/>
          <w:szCs w:val="24"/>
          <w:lang w:eastAsia="zh-CN"/>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2</w:t>
      </w:r>
      <w:r>
        <w:rPr>
          <w:rFonts w:hint="eastAsia" w:cs="Times New Roman"/>
          <w:color w:val="000000" w:themeColor="text1"/>
          <w:szCs w:val="24"/>
          <w:lang w:eastAsia="zh-CN"/>
          <w14:textFill>
            <w14:solidFill>
              <w14:schemeClr w14:val="tx1"/>
            </w14:solidFill>
          </w14:textFill>
        </w:rPr>
        <w:t>）室内噪声源考虑声源所在厂房维护结构的隔声作用；</w:t>
      </w:r>
    </w:p>
    <w:p>
      <w:pPr>
        <w:pStyle w:val="139"/>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cs="Times New Roman"/>
          <w:color w:val="000000" w:themeColor="text1"/>
          <w:szCs w:val="24"/>
          <w:lang w:eastAsia="zh-CN"/>
          <w14:textFill>
            <w14:solidFill>
              <w14:schemeClr w14:val="tx1"/>
            </w14:solidFill>
          </w14:textFill>
        </w:rPr>
      </w:pPr>
      <w:r>
        <w:rPr>
          <w:rFonts w:hint="eastAsia" w:cs="Times New Roman"/>
          <w:color w:val="000000" w:themeColor="text1"/>
          <w:szCs w:val="24"/>
          <w:lang w:eastAsia="zh-CN"/>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3</w:t>
      </w:r>
      <w:r>
        <w:rPr>
          <w:rFonts w:hint="eastAsia" w:cs="Times New Roman"/>
          <w:color w:val="000000" w:themeColor="text1"/>
          <w:szCs w:val="24"/>
          <w:lang w:eastAsia="zh-CN"/>
          <w14:textFill>
            <w14:solidFill>
              <w14:schemeClr w14:val="tx1"/>
            </w14:solidFill>
          </w14:textFill>
        </w:rPr>
        <w:t>）为便于预测计算，将各车间噪声源概化叠加作为源强；</w:t>
      </w:r>
    </w:p>
    <w:p>
      <w:pPr>
        <w:pStyle w:val="139"/>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cs="Times New Roman"/>
          <w:color w:val="000000" w:themeColor="text1"/>
          <w:szCs w:val="24"/>
          <w:lang w:eastAsia="zh-CN"/>
          <w14:textFill>
            <w14:solidFill>
              <w14:schemeClr w14:val="tx1"/>
            </w14:solidFill>
          </w14:textFill>
        </w:rPr>
      </w:pPr>
      <w:r>
        <w:rPr>
          <w:rFonts w:hint="eastAsia" w:cs="Times New Roman"/>
          <w:color w:val="000000" w:themeColor="text1"/>
          <w:szCs w:val="24"/>
          <w:lang w:eastAsia="zh-CN"/>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4</w:t>
      </w:r>
      <w:r>
        <w:rPr>
          <w:rFonts w:hint="eastAsia" w:cs="Times New Roman"/>
          <w:color w:val="000000" w:themeColor="text1"/>
          <w:szCs w:val="24"/>
          <w:lang w:eastAsia="zh-CN"/>
          <w14:textFill>
            <w14:solidFill>
              <w14:schemeClr w14:val="tx1"/>
            </w14:solidFill>
          </w14:textFill>
        </w:rPr>
        <w:t>）考虑声源至预测点的距离衰减，忽略传播中建筑物的阻挡、地面反射以及空气吸收、雨、雪、温度等影响。</w:t>
      </w:r>
    </w:p>
    <w:p>
      <w:pPr>
        <w:pStyle w:val="6"/>
        <w:keepNext/>
        <w:keepLines/>
        <w:pageBreakBefore w:val="0"/>
        <w:widowControl w:val="0"/>
        <w:kinsoku/>
        <w:wordWrap/>
        <w:overflowPunct/>
        <w:topLinePunct w:val="0"/>
        <w:autoSpaceDE/>
        <w:autoSpaceDN/>
        <w:bidi w:val="0"/>
        <w:adjustRightInd w:val="0"/>
        <w:snapToGrid w:val="0"/>
        <w:spacing w:before="0" w:after="0" w:line="360" w:lineRule="auto"/>
        <w:jc w:val="left"/>
        <w:textAlignment w:val="auto"/>
        <w:rPr>
          <w:rFonts w:hint="default" w:ascii="Times New Roman" w:hAnsi="Times New Roman" w:eastAsia="宋体" w:cs="Times New Roman"/>
          <w:bCs w:val="0"/>
          <w:color w:val="000000" w:themeColor="text1"/>
          <w:sz w:val="24"/>
          <w:lang w:val="zh-CN"/>
          <w14:textFill>
            <w14:solidFill>
              <w14:schemeClr w14:val="tx1"/>
            </w14:solidFill>
          </w14:textFill>
        </w:rPr>
      </w:pPr>
      <w:r>
        <w:rPr>
          <w:rFonts w:hint="default" w:ascii="Times New Roman" w:hAnsi="Times New Roman" w:eastAsia="宋体" w:cs="Times New Roman"/>
          <w:bCs w:val="0"/>
          <w:color w:val="000000" w:themeColor="text1"/>
          <w:sz w:val="24"/>
          <w14:textFill>
            <w14:solidFill>
              <w14:schemeClr w14:val="tx1"/>
            </w14:solidFill>
          </w14:textFill>
        </w:rPr>
        <w:t xml:space="preserve">5.4.2.3 </w:t>
      </w:r>
      <w:r>
        <w:rPr>
          <w:rFonts w:hint="default" w:ascii="Times New Roman" w:hAnsi="Times New Roman" w:eastAsia="宋体" w:cs="Times New Roman"/>
          <w:bCs w:val="0"/>
          <w:color w:val="000000" w:themeColor="text1"/>
          <w:sz w:val="24"/>
          <w:lang w:val="zh-CN"/>
          <w14:textFill>
            <w14:solidFill>
              <w14:schemeClr w14:val="tx1"/>
            </w14:solidFill>
          </w14:textFill>
        </w:rPr>
        <w:t>预测内容</w:t>
      </w:r>
    </w:p>
    <w:p>
      <w:pPr>
        <w:pStyle w:val="139"/>
        <w:keepNext w:val="0"/>
        <w:keepLines w:val="0"/>
        <w:pageBreakBefore w:val="0"/>
        <w:widowControl w:val="0"/>
        <w:kinsoku/>
        <w:wordWrap/>
        <w:overflowPunct w:val="0"/>
        <w:topLinePunct w:val="0"/>
        <w:autoSpaceDE/>
        <w:autoSpaceDN/>
        <w:bidi w:val="0"/>
        <w:adjustRightInd/>
        <w:snapToGrid/>
        <w:jc w:val="both"/>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本项目噪声预测的内容包括：</w:t>
      </w:r>
    </w:p>
    <w:p>
      <w:pPr>
        <w:pStyle w:val="139"/>
        <w:keepNext w:val="0"/>
        <w:keepLines w:val="0"/>
        <w:pageBreakBefore w:val="0"/>
        <w:widowControl w:val="0"/>
        <w:kinsoku/>
        <w:wordWrap/>
        <w:overflowPunct w:val="0"/>
        <w:topLinePunct w:val="0"/>
        <w:autoSpaceDE/>
        <w:autoSpaceDN/>
        <w:bidi w:val="0"/>
        <w:adjustRightInd/>
        <w:snapToGrid/>
        <w:jc w:val="both"/>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（1）预测主要声源在项目边界的贡献值；</w:t>
      </w:r>
    </w:p>
    <w:p>
      <w:pPr>
        <w:pStyle w:val="139"/>
        <w:keepNext w:val="0"/>
        <w:keepLines w:val="0"/>
        <w:pageBreakBefore w:val="0"/>
        <w:widowControl w:val="0"/>
        <w:kinsoku/>
        <w:wordWrap/>
        <w:overflowPunct w:val="0"/>
        <w:topLinePunct w:val="0"/>
        <w:autoSpaceDE/>
        <w:autoSpaceDN/>
        <w:bidi w:val="0"/>
        <w:adjustRightInd/>
        <w:snapToGrid/>
        <w:jc w:val="both"/>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（2）根据边界受噪声影响的状况，明确影响边界声环境质量的主要声源，若出现超标，分析超标原因。</w:t>
      </w:r>
    </w:p>
    <w:p>
      <w:pPr>
        <w:pStyle w:val="6"/>
        <w:keepNext/>
        <w:keepLines/>
        <w:pageBreakBefore w:val="0"/>
        <w:widowControl w:val="0"/>
        <w:kinsoku/>
        <w:wordWrap/>
        <w:overflowPunct/>
        <w:topLinePunct w:val="0"/>
        <w:autoSpaceDE/>
        <w:autoSpaceDN/>
        <w:bidi w:val="0"/>
        <w:adjustRightInd w:val="0"/>
        <w:snapToGrid w:val="0"/>
        <w:spacing w:before="0" w:after="0" w:line="360" w:lineRule="auto"/>
        <w:jc w:val="left"/>
        <w:textAlignment w:val="auto"/>
        <w:rPr>
          <w:rFonts w:hint="default" w:ascii="Times New Roman" w:hAnsi="Times New Roman" w:eastAsia="宋体" w:cs="Times New Roman"/>
          <w:bCs w:val="0"/>
          <w:color w:val="000000" w:themeColor="text1"/>
          <w:sz w:val="24"/>
          <w:lang w:val="zh-CN"/>
          <w14:textFill>
            <w14:solidFill>
              <w14:schemeClr w14:val="tx1"/>
            </w14:solidFill>
          </w14:textFill>
        </w:rPr>
      </w:pPr>
      <w:r>
        <w:rPr>
          <w:rFonts w:hint="default" w:ascii="Times New Roman" w:hAnsi="Times New Roman" w:eastAsia="宋体" w:cs="Times New Roman"/>
          <w:bCs w:val="0"/>
          <w:color w:val="000000" w:themeColor="text1"/>
          <w:sz w:val="24"/>
          <w14:textFill>
            <w14:solidFill>
              <w14:schemeClr w14:val="tx1"/>
            </w14:solidFill>
          </w14:textFill>
        </w:rPr>
        <w:t xml:space="preserve">5.4.2.4 </w:t>
      </w:r>
      <w:r>
        <w:rPr>
          <w:rFonts w:hint="default" w:ascii="Times New Roman" w:hAnsi="Times New Roman" w:eastAsia="宋体" w:cs="Times New Roman"/>
          <w:bCs w:val="0"/>
          <w:color w:val="000000" w:themeColor="text1"/>
          <w:sz w:val="24"/>
          <w:lang w:val="zh-CN"/>
          <w14:textFill>
            <w14:solidFill>
              <w14:schemeClr w14:val="tx1"/>
            </w14:solidFill>
          </w14:textFill>
        </w:rPr>
        <w:t>评价标准</w:t>
      </w:r>
    </w:p>
    <w:p>
      <w:pPr>
        <w:overflowPunct w:val="0"/>
        <w:spacing w:line="360" w:lineRule="auto"/>
        <w:ind w:firstLine="480" w:firstLineChars="20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项目区位于工业园区，属于3类声环境功能区，项目区域的噪声执行《声环境质量标准》(GB3096-2008)中的3类标准，具体标准值，见表5.</w:t>
      </w:r>
      <w:r>
        <w:rPr>
          <w:rFonts w:hint="eastAsia" w:ascii="Times New Roman" w:hAnsi="Times New Roman" w:cs="Times New Roman"/>
          <w:bCs/>
          <w:color w:val="000000" w:themeColor="text1"/>
          <w:sz w:val="24"/>
          <w:szCs w:val="24"/>
          <w:lang w:val="en-US" w:eastAsia="zh-CN"/>
          <w14:textFill>
            <w14:solidFill>
              <w14:schemeClr w14:val="tx1"/>
            </w14:solidFill>
          </w14:textFill>
        </w:rPr>
        <w:t>4-2</w:t>
      </w:r>
      <w:r>
        <w:rPr>
          <w:rFonts w:hint="default" w:ascii="Times New Roman" w:hAnsi="Times New Roman" w:cs="Times New Roman"/>
          <w:color w:val="000000" w:themeColor="text1"/>
          <w:sz w:val="24"/>
          <w:szCs w:val="24"/>
          <w14:textFill>
            <w14:solidFill>
              <w14:schemeClr w14:val="tx1"/>
            </w14:solidFill>
          </w14:textFill>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表5.4-</w:t>
      </w:r>
      <w:r>
        <w:rPr>
          <w:rFonts w:hint="eastAsia" w:ascii="Times New Roman" w:hAnsi="Times New Roman" w:eastAsia="黑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黑体" w:cs="Times New Roman"/>
          <w:color w:val="000000" w:themeColor="text1"/>
          <w:sz w:val="21"/>
          <w:szCs w:val="21"/>
          <w:lang w:val="en-US" w:eastAsia="zh-CN"/>
          <w14:textFill>
            <w14:solidFill>
              <w14:schemeClr w14:val="tx1"/>
            </w14:solidFill>
          </w14:textFill>
        </w:rPr>
        <w:t xml:space="preserve">    声环境质量标准     单位：dB(A)</w:t>
      </w:r>
    </w:p>
    <w:tbl>
      <w:tblPr>
        <w:tblStyle w:val="21"/>
        <w:tblW w:w="836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2594"/>
        <w:gridCol w:w="2869"/>
        <w:gridCol w:w="289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284" w:hRule="atLeast"/>
          <w:jc w:val="center"/>
        </w:trPr>
        <w:tc>
          <w:tcPr>
            <w:tcW w:w="2594"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类别</w:t>
            </w:r>
          </w:p>
        </w:tc>
        <w:tc>
          <w:tcPr>
            <w:tcW w:w="2869"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昼间</w:t>
            </w:r>
          </w:p>
        </w:tc>
        <w:tc>
          <w:tcPr>
            <w:tcW w:w="2899"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284" w:hRule="atLeast"/>
          <w:jc w:val="center"/>
        </w:trPr>
        <w:tc>
          <w:tcPr>
            <w:tcW w:w="2594"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2869"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w:t>
            </w:r>
          </w:p>
        </w:tc>
        <w:tc>
          <w:tcPr>
            <w:tcW w:w="2899" w:type="dxa"/>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55</w:t>
            </w:r>
          </w:p>
        </w:tc>
      </w:tr>
    </w:tbl>
    <w:p>
      <w:pPr>
        <w:pStyle w:val="6"/>
        <w:keepNext/>
        <w:keepLines/>
        <w:pageBreakBefore w:val="0"/>
        <w:widowControl w:val="0"/>
        <w:kinsoku/>
        <w:wordWrap/>
        <w:overflowPunct/>
        <w:topLinePunct w:val="0"/>
        <w:autoSpaceDE/>
        <w:autoSpaceDN/>
        <w:bidi w:val="0"/>
        <w:adjustRightInd w:val="0"/>
        <w:snapToGrid w:val="0"/>
        <w:spacing w:before="327" w:beforeLines="100" w:after="0" w:line="360" w:lineRule="auto"/>
        <w:jc w:val="left"/>
        <w:textAlignment w:val="auto"/>
        <w:rPr>
          <w:rFonts w:hint="default" w:ascii="Times New Roman" w:hAnsi="Times New Roman" w:eastAsia="宋体" w:cs="Times New Roman"/>
          <w:bCs w:val="0"/>
          <w:color w:val="000000" w:themeColor="text1"/>
          <w:sz w:val="24"/>
          <w:lang w:val="zh-CN"/>
          <w14:textFill>
            <w14:solidFill>
              <w14:schemeClr w14:val="tx1"/>
            </w14:solidFill>
          </w14:textFill>
        </w:rPr>
      </w:pPr>
      <w:r>
        <w:rPr>
          <w:rFonts w:hint="default" w:ascii="Times New Roman" w:hAnsi="Times New Roman" w:eastAsia="宋体" w:cs="Times New Roman"/>
          <w:bCs w:val="0"/>
          <w:color w:val="000000" w:themeColor="text1"/>
          <w:sz w:val="24"/>
          <w14:textFill>
            <w14:solidFill>
              <w14:schemeClr w14:val="tx1"/>
            </w14:solidFill>
          </w14:textFill>
        </w:rPr>
        <w:t xml:space="preserve">5.4.2.5 </w:t>
      </w:r>
      <w:r>
        <w:rPr>
          <w:rFonts w:hint="default" w:ascii="Times New Roman" w:hAnsi="Times New Roman" w:eastAsia="宋体" w:cs="Times New Roman"/>
          <w:bCs w:val="0"/>
          <w:color w:val="000000" w:themeColor="text1"/>
          <w:sz w:val="24"/>
          <w:lang w:val="zh-CN"/>
          <w14:textFill>
            <w14:solidFill>
              <w14:schemeClr w14:val="tx1"/>
            </w14:solidFill>
          </w14:textFill>
        </w:rPr>
        <w:t>预测模式</w:t>
      </w:r>
    </w:p>
    <w:p>
      <w:pPr>
        <w:overflowPunct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噪声源分为室外室内两种声源。噪声声波在传播过程中，将通过距离衰减，空气吸收衰减达到各预测点。另外，雨、雪、雾和温度梯度等因素忽略不计，作为满足预测精度前提下的一定安全保证值。以保证未来实际噪声环境较预测结果优越。</w:t>
      </w:r>
    </w:p>
    <w:p>
      <w:pPr>
        <w:overflowPunct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具体噪声预测模式采用《环境影响评价技术导则》声环境HJ2.4－2009中推荐模式形式进行预测：</w:t>
      </w:r>
    </w:p>
    <w:p>
      <w:pPr>
        <w:overflowPunct w:val="0"/>
        <w:spacing w:line="360" w:lineRule="auto"/>
        <w:ind w:firstLine="480"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室外声源</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position w:val="-26"/>
          <w:sz w:val="24"/>
          <w:szCs w:val="24"/>
          <w:lang w:eastAsia="zh-CN"/>
          <w14:textFill>
            <w14:solidFill>
              <w14:schemeClr w14:val="tx1"/>
            </w14:solidFill>
          </w14:textFill>
        </w:rPr>
        <w:object>
          <v:shape id="_x0000_i1032" o:spt="75" type="#_x0000_t75" style="height:31.95pt;width:157pt;" o:ole="t" filled="f" o:preferrelative="t" stroked="f" coordsize="21600,21600">
            <v:path/>
            <v:fill on="f" focussize="0,0"/>
            <v:stroke on="f"/>
            <v:imagedata r:id="rId41" o:title=""/>
            <o:lock v:ext="edit" aspectratio="t"/>
            <w10:wrap type="none"/>
            <w10:anchorlock/>
          </v:shape>
          <o:OLEObject Type="Embed" ProgID="Equation.KSEE3" ShapeID="_x0000_i1032" DrawAspect="Content" ObjectID="_1468075732" r:id="rId40">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式1</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式中：</w:t>
      </w:r>
      <w:r>
        <w:rPr>
          <w:rFonts w:hint="eastAsia" w:ascii="Times New Roman" w:hAnsi="Times New Roman" w:cs="Times New Roman"/>
          <w:color w:val="000000" w:themeColor="text1"/>
          <w:position w:val="-14"/>
          <w:sz w:val="24"/>
          <w:szCs w:val="24"/>
          <w:lang w:val="en-US" w:eastAsia="zh-CN"/>
          <w14:textFill>
            <w14:solidFill>
              <w14:schemeClr w14:val="tx1"/>
            </w14:solidFill>
          </w14:textFill>
        </w:rPr>
        <w:object>
          <v:shape id="_x0000_i1033" o:spt="75" type="#_x0000_t75" style="height:19pt;width:30pt;" o:ole="t" filled="f" o:preferrelative="t" stroked="f" coordsize="21600,21600">
            <v:path/>
            <v:fill on="f" focussize="0,0"/>
            <v:stroke on="f"/>
            <v:imagedata r:id="rId43" o:title=""/>
            <o:lock v:ext="edit" aspectratio="t"/>
            <w10:wrap type="none"/>
            <w10:anchorlock/>
          </v:shape>
          <o:OLEObject Type="Embed" ProgID="Equation.KSEE3" ShapeID="_x0000_i1033" DrawAspect="Content" ObjectID="_1468075733" r:id="rId42">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——噪声源在预测点的声压级，dB（A）；</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position w:val="-14"/>
          <w:sz w:val="24"/>
          <w:szCs w:val="24"/>
          <w:lang w:val="en-US" w:eastAsia="zh-CN"/>
          <w14:textFill>
            <w14:solidFill>
              <w14:schemeClr w14:val="tx1"/>
            </w14:solidFill>
          </w14:textFill>
        </w:rPr>
        <w:object>
          <v:shape id="_x0000_i1034" o:spt="75" type="#_x0000_t75" style="height:19pt;width:31pt;" o:ole="t" filled="f" o:preferrelative="t" stroked="f" coordsize="21600,21600">
            <v:path/>
            <v:fill on="f" focussize="0,0"/>
            <v:stroke on="f"/>
            <v:imagedata r:id="rId45" o:title=""/>
            <o:lock v:ext="edit" aspectratio="t"/>
            <w10:wrap type="none"/>
            <w10:anchorlock/>
          </v:shape>
          <o:OLEObject Type="Embed" ProgID="Equation.KSEE3" ShapeID="_x0000_i1034" DrawAspect="Content" ObjectID="_1468075734" r:id="rId44">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——参考位置</w:t>
      </w:r>
      <w:r>
        <w:rPr>
          <w:rFonts w:hint="eastAsia" w:ascii="Times New Roman" w:hAnsi="Times New Roman" w:cs="Times New Roman"/>
          <w:color w:val="000000" w:themeColor="text1"/>
          <w:position w:val="-12"/>
          <w:sz w:val="24"/>
          <w:szCs w:val="24"/>
          <w:lang w:val="en-US" w:eastAsia="zh-CN"/>
          <w14:textFill>
            <w14:solidFill>
              <w14:schemeClr w14:val="tx1"/>
            </w14:solidFill>
          </w14:textFill>
        </w:rPr>
        <w:object>
          <v:shape id="_x0000_i1035" o:spt="75" type="#_x0000_t75" style="height:18pt;width:11pt;" o:ole="t" filled="f" o:preferrelative="t" stroked="f" coordsize="21600,21600">
            <v:path/>
            <v:fill on="f" focussize="0,0"/>
            <v:stroke on="f"/>
            <v:imagedata r:id="rId47" o:title=""/>
            <o:lock v:ext="edit" aspectratio="t"/>
            <w10:wrap type="none"/>
            <w10:anchorlock/>
          </v:shape>
          <o:OLEObject Type="Embed" ProgID="Equation.KSEE3" ShapeID="_x0000_i1035" DrawAspect="Content" ObjectID="_1468075735" r:id="rId46">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处的声压级，dB（A）；</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position w:val="-12"/>
          <w:sz w:val="24"/>
          <w:szCs w:val="24"/>
          <w:lang w:val="en-US" w:eastAsia="zh-CN"/>
          <w14:textFill>
            <w14:solidFill>
              <w14:schemeClr w14:val="tx1"/>
            </w14:solidFill>
          </w14:textFill>
        </w:rPr>
        <w:object>
          <v:shape id="_x0000_i1036" o:spt="75" type="#_x0000_t75" style="height:18pt;width:11pt;" o:ole="t" filled="f" o:preferrelative="t" stroked="f" coordsize="21600,21600">
            <v:path/>
            <v:fill on="f" focussize="0,0"/>
            <v:stroke on="f"/>
            <v:imagedata r:id="rId49" o:title=""/>
            <o:lock v:ext="edit" aspectratio="t"/>
            <w10:wrap type="none"/>
            <w10:anchorlock/>
          </v:shape>
          <o:OLEObject Type="Embed" ProgID="Equation.KSEE3" ShapeID="_x0000_i1036" DrawAspect="Content" ObjectID="_1468075736" r:id="rId48">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——参考位置距声源中心的位置，m；</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position w:val="-4"/>
          <w:sz w:val="24"/>
          <w:szCs w:val="24"/>
          <w:lang w:val="en-US" w:eastAsia="zh-CN"/>
          <w14:textFill>
            <w14:solidFill>
              <w14:schemeClr w14:val="tx1"/>
            </w14:solidFill>
          </w14:textFill>
        </w:rPr>
        <w:object>
          <v:shape id="_x0000_i1037" o:spt="75" type="#_x0000_t75" style="height:10pt;width:9pt;" o:ole="t" filled="f" o:preferrelative="t" stroked="f" coordsize="21600,21600">
            <v:path/>
            <v:fill on="f" focussize="0,0"/>
            <v:stroke on="f"/>
            <v:imagedata r:id="rId51" o:title=""/>
            <o:lock v:ext="edit" aspectratio="t"/>
            <w10:wrap type="none"/>
            <w10:anchorlock/>
          </v:shape>
          <o:OLEObject Type="Embed" ProgID="Equation.KSEE3" ShapeID="_x0000_i1037" DrawAspect="Content" ObjectID="_1468075737" r:id="rId50">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——声源中心至预测点的距离，m；</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position w:val="-4"/>
          <w:sz w:val="24"/>
          <w:szCs w:val="24"/>
          <w:lang w:val="en-US" w:eastAsia="zh-CN"/>
          <w14:textFill>
            <w14:solidFill>
              <w14:schemeClr w14:val="tx1"/>
            </w14:solidFill>
          </w14:textFill>
        </w:rPr>
        <w:object>
          <v:shape id="_x0000_i1038" o:spt="75" type="#_x0000_t75" style="height:13pt;width:18pt;" o:ole="t" filled="f" o:preferrelative="t" stroked="f" coordsize="21600,21600">
            <v:path/>
            <v:fill on="f" focussize="0,0"/>
            <v:stroke on="f"/>
            <v:imagedata r:id="rId53" o:title=""/>
            <o:lock v:ext="edit" aspectratio="t"/>
            <w10:wrap type="none"/>
            <w10:anchorlock/>
          </v:shape>
          <o:OLEObject Type="Embed" ProgID="Equation.KSEE3" ShapeID="_x0000_i1038" DrawAspect="Content" ObjectID="_1468075738" r:id="rId52">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——各种因素引起的声衰减量（如声屏障、遮挡物、空气吸收、地面吸收等引起的声衰减值），dB（A）。</w:t>
      </w:r>
    </w:p>
    <w:p>
      <w:pPr>
        <w:overflowPunct w:val="0"/>
        <w:spacing w:line="360" w:lineRule="auto"/>
        <w:ind w:firstLine="480"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室内声源</w:t>
      </w:r>
    </w:p>
    <w:p>
      <w:pPr>
        <w:overflowPunct w:val="0"/>
        <w:spacing w:line="360" w:lineRule="auto"/>
        <w:ind w:firstLine="480" w:firstLineChars="200"/>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①计算车间室内声源靠近围护结构处产生的声压级：</w:t>
      </w:r>
    </w:p>
    <w:p>
      <w:pPr>
        <w:overflowPunct w:val="0"/>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position w:val="-32"/>
          <w:sz w:val="24"/>
          <w:szCs w:val="24"/>
          <w:lang w:eastAsia="zh-CN"/>
          <w14:textFill>
            <w14:solidFill>
              <w14:schemeClr w14:val="tx1"/>
            </w14:solidFill>
          </w14:textFill>
        </w:rPr>
        <w:object>
          <v:shape id="_x0000_i1039" o:spt="75" type="#_x0000_t75" style="height:38pt;width:134pt;" o:ole="t" filled="f" o:preferrelative="t" stroked="f" coordsize="21600,21600">
            <v:path/>
            <v:fill on="f" focussize="0,0"/>
            <v:stroke on="f"/>
            <v:imagedata r:id="rId55" o:title=""/>
            <o:lock v:ext="edit" aspectratio="t"/>
            <w10:wrap type="none"/>
            <w10:anchorlock/>
          </v:shape>
          <o:OLEObject Type="Embed" ProgID="Equation.KSEE3" ShapeID="_x0000_i1039" DrawAspect="Content" ObjectID="_1468075739" r:id="rId54">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式2</w:t>
      </w:r>
    </w:p>
    <w:p>
      <w:pPr>
        <w:overflowPunct w:val="0"/>
        <w:spacing w:line="360" w:lineRule="auto"/>
        <w:ind w:firstLine="480" w:firstLineChars="200"/>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式中：</w:t>
      </w:r>
      <w:r>
        <w:rPr>
          <w:rFonts w:hint="eastAsia" w:ascii="Times New Roman" w:hAnsi="Times New Roman" w:cs="Times New Roman"/>
          <w:color w:val="000000" w:themeColor="text1"/>
          <w:position w:val="-10"/>
          <w:sz w:val="24"/>
          <w:szCs w:val="24"/>
          <w:lang w:eastAsia="zh-CN"/>
          <w14:textFill>
            <w14:solidFill>
              <w14:schemeClr w14:val="tx1"/>
            </w14:solidFill>
          </w14:textFill>
        </w:rPr>
        <w:object>
          <v:shape id="_x0000_i1040" o:spt="75" type="#_x0000_t75" style="height:16pt;width:12pt;" o:ole="t" filled="f" o:preferrelative="t" stroked="f" coordsize="21600,21600">
            <v:path/>
            <v:fill on="f" focussize="0,0"/>
            <v:stroke on="f"/>
            <v:imagedata r:id="rId57" o:title=""/>
            <o:lock v:ext="edit" aspectratio="t"/>
            <w10:wrap type="none"/>
            <w10:anchorlock/>
          </v:shape>
          <o:OLEObject Type="Embed" ProgID="Equation.KSEE3" ShapeID="_x0000_i1040" DrawAspect="Content" ObjectID="_1468075740" r:id="rId56">
            <o:LockedField>false</o:LockedField>
          </o:OLEObject>
        </w:object>
      </w:r>
      <w:r>
        <w:rPr>
          <w:rFonts w:hint="eastAsia" w:ascii="Times New Roman" w:hAnsi="Times New Roman" w:cs="Times New Roman"/>
          <w:color w:val="000000" w:themeColor="text1"/>
          <w:sz w:val="24"/>
          <w:szCs w:val="24"/>
          <w:lang w:eastAsia="zh-CN"/>
          <w14:textFill>
            <w14:solidFill>
              <w14:schemeClr w14:val="tx1"/>
            </w14:solidFill>
          </w14:textFill>
        </w:rPr>
        <w:t>——指向性因数，通常对无指向性声源，当声源放在房间中心时</w:t>
      </w:r>
      <w:r>
        <w:rPr>
          <w:rFonts w:hint="eastAsia" w:ascii="Times New Roman" w:hAnsi="Times New Roman" w:cs="Times New Roman"/>
          <w:color w:val="000000" w:themeColor="text1"/>
          <w:position w:val="-10"/>
          <w:sz w:val="24"/>
          <w:szCs w:val="24"/>
          <w:lang w:eastAsia="zh-CN"/>
          <w14:textFill>
            <w14:solidFill>
              <w14:schemeClr w14:val="tx1"/>
            </w14:solidFill>
          </w14:textFill>
        </w:rPr>
        <w:object>
          <v:shape id="_x0000_i1041" o:spt="75" type="#_x0000_t75" style="height:16pt;width:12pt;" o:ole="t" filled="f" o:preferrelative="t" stroked="f" coordsize="21600,21600">
            <v:path/>
            <v:fill on="f" focussize="0,0"/>
            <v:stroke on="f"/>
            <v:imagedata r:id="rId57" o:title=""/>
            <o:lock v:ext="edit" aspectratio="t"/>
            <w10:wrap type="none"/>
            <w10:anchorlock/>
          </v:shape>
          <o:OLEObject Type="Embed" ProgID="Equation.KSEE3" ShapeID="_x0000_i1041" DrawAspect="Content" ObjectID="_1468075741" r:id="rId58">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=1，当放在一面墙的中心时，</w:t>
      </w:r>
      <w:r>
        <w:rPr>
          <w:rFonts w:hint="eastAsia" w:ascii="Times New Roman" w:hAnsi="Times New Roman" w:cs="Times New Roman"/>
          <w:color w:val="000000" w:themeColor="text1"/>
          <w:position w:val="-10"/>
          <w:sz w:val="24"/>
          <w:szCs w:val="24"/>
          <w:lang w:eastAsia="zh-CN"/>
          <w14:textFill>
            <w14:solidFill>
              <w14:schemeClr w14:val="tx1"/>
            </w14:solidFill>
          </w14:textFill>
        </w:rPr>
        <w:object>
          <v:shape id="_x0000_i1042" o:spt="75" type="#_x0000_t75" style="height:16pt;width:12pt;" o:ole="t" filled="f" o:preferrelative="t" stroked="f" coordsize="21600,21600">
            <v:path/>
            <v:fill on="f" focussize="0,0"/>
            <v:stroke on="f"/>
            <v:imagedata r:id="rId57" o:title=""/>
            <o:lock v:ext="edit" aspectratio="t"/>
            <w10:wrap type="none"/>
            <w10:anchorlock/>
          </v:shape>
          <o:OLEObject Type="Embed" ProgID="Equation.KSEE3" ShapeID="_x0000_i1042" DrawAspect="Content" ObjectID="_1468075742" r:id="rId59">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=2；当放在两面墙夹角处时</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position w:val="-10"/>
          <w:sz w:val="24"/>
          <w:szCs w:val="24"/>
          <w:lang w:eastAsia="zh-CN"/>
          <w14:textFill>
            <w14:solidFill>
              <w14:schemeClr w14:val="tx1"/>
            </w14:solidFill>
          </w14:textFill>
        </w:rPr>
        <w:object>
          <v:shape id="_x0000_i1043" o:spt="75" type="#_x0000_t75" style="height:16pt;width:12pt;" o:ole="t" filled="f" o:preferrelative="t" stroked="f" coordsize="21600,21600">
            <v:path/>
            <v:fill on="f" focussize="0,0"/>
            <v:stroke on="f"/>
            <v:imagedata r:id="rId57" o:title=""/>
            <o:lock v:ext="edit" aspectratio="t"/>
            <w10:wrap type="none"/>
            <w10:anchorlock/>
          </v:shape>
          <o:OLEObject Type="Embed" ProgID="Equation.KSEE3" ShapeID="_x0000_i1043" DrawAspect="Content" ObjectID="_1468075743" r:id="rId60">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=4，当放在三面墙夹角处时，</w:t>
      </w:r>
      <w:r>
        <w:rPr>
          <w:rFonts w:hint="eastAsia" w:ascii="Times New Roman" w:hAnsi="Times New Roman" w:cs="Times New Roman"/>
          <w:color w:val="000000" w:themeColor="text1"/>
          <w:position w:val="-10"/>
          <w:sz w:val="24"/>
          <w:szCs w:val="24"/>
          <w:lang w:eastAsia="zh-CN"/>
          <w14:textFill>
            <w14:solidFill>
              <w14:schemeClr w14:val="tx1"/>
            </w14:solidFill>
          </w14:textFill>
        </w:rPr>
        <w:object>
          <v:shape id="_x0000_i1044" o:spt="75" type="#_x0000_t75" style="height:16pt;width:12pt;" o:ole="t" filled="f" o:preferrelative="t" stroked="f" coordsize="21600,21600">
            <v:path/>
            <v:fill on="f" focussize="0,0"/>
            <v:stroke on="f"/>
            <v:imagedata r:id="rId57" o:title=""/>
            <o:lock v:ext="edit" aspectratio="t"/>
            <w10:wrap type="none"/>
            <w10:anchorlock/>
          </v:shape>
          <o:OLEObject Type="Embed" ProgID="Equation.KSEE3" ShapeID="_x0000_i1044" DrawAspect="Content" ObjectID="_1468075744" r:id="rId61">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=8</w:t>
      </w:r>
      <w:r>
        <w:rPr>
          <w:rFonts w:hint="eastAsia" w:ascii="Times New Roman" w:hAnsi="Times New Roman" w:cs="Times New Roman"/>
          <w:color w:val="000000" w:themeColor="text1"/>
          <w:sz w:val="24"/>
          <w:szCs w:val="24"/>
          <w:lang w:eastAsia="zh-CN"/>
          <w14:textFill>
            <w14:solidFill>
              <w14:schemeClr w14:val="tx1"/>
            </w14:solidFill>
          </w14:textFill>
        </w:rPr>
        <w:t>；</w:t>
      </w:r>
    </w:p>
    <w:p>
      <w:pPr>
        <w:overflowPunct w:val="0"/>
        <w:spacing w:line="360" w:lineRule="auto"/>
        <w:ind w:firstLine="1200" w:firstLineChars="5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position w:val="-12"/>
          <w:sz w:val="24"/>
          <w:szCs w:val="24"/>
          <w14:textFill>
            <w14:solidFill>
              <w14:schemeClr w14:val="tx1"/>
            </w14:solidFill>
          </w14:textFill>
        </w:rPr>
        <w:object>
          <v:shape id="_x0000_i1045" o:spt="75" type="#_x0000_t75" style="height:18pt;width:15pt;" o:ole="t" filled="f" o:preferrelative="t" stroked="f" coordsize="21600,21600">
            <v:path/>
            <v:fill on="f" focussize="0,0"/>
            <v:stroke on="f"/>
            <v:imagedata r:id="rId63" o:title=""/>
            <o:lock v:ext="edit" aspectratio="t"/>
            <w10:wrap type="none"/>
            <w10:anchorlock/>
          </v:shape>
          <o:OLEObject Type="Embed" ProgID="Equation.KSEE3" ShapeID="_x0000_i1045" DrawAspect="Content" ObjectID="_1468075745" r:id="rId62">
            <o:LockedField>false</o:LockedField>
          </o:OLEObject>
        </w:object>
      </w:r>
      <w:r>
        <w:rPr>
          <w:rFonts w:hint="eastAsia" w:ascii="Times New Roman" w:hAnsi="Times New Roman" w:cs="Times New Roman"/>
          <w:color w:val="000000" w:themeColor="text1"/>
          <w:sz w:val="24"/>
          <w:szCs w:val="24"/>
          <w:lang w:eastAsia="zh-CN"/>
          <w14:textFill>
            <w14:solidFill>
              <w14:schemeClr w14:val="tx1"/>
            </w14:solidFill>
          </w14:textFill>
        </w:rPr>
        <w:t>——室内声源声功率级，</w:t>
      </w:r>
      <w:r>
        <w:rPr>
          <w:rFonts w:hint="eastAsia" w:ascii="Times New Roman" w:hAnsi="Times New Roman" w:cs="Times New Roman"/>
          <w:color w:val="000000" w:themeColor="text1"/>
          <w:sz w:val="24"/>
          <w:szCs w:val="24"/>
          <w:lang w:val="en-US" w:eastAsia="zh-CN"/>
          <w14:textFill>
            <w14:solidFill>
              <w14:schemeClr w14:val="tx1"/>
            </w14:solidFill>
          </w14:textFill>
        </w:rPr>
        <w:t>dB；</w:t>
      </w:r>
    </w:p>
    <w:p>
      <w:pPr>
        <w:overflowPunct w:val="0"/>
        <w:spacing w:line="360" w:lineRule="auto"/>
        <w:ind w:firstLine="1200" w:firstLineChars="5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position w:val="-4"/>
          <w:sz w:val="24"/>
          <w:szCs w:val="24"/>
          <w14:textFill>
            <w14:solidFill>
              <w14:schemeClr w14:val="tx1"/>
            </w14:solidFill>
          </w14:textFill>
        </w:rPr>
        <w:object>
          <v:shape id="_x0000_i1046" o:spt="75" type="#_x0000_t75" style="height:12pt;width:12pt;" o:ole="t" filled="f" o:preferrelative="t" stroked="f" coordsize="21600,21600">
            <v:path/>
            <v:fill on="f" focussize="0,0"/>
            <v:stroke on="f"/>
            <v:imagedata r:id="rId65" o:title=""/>
            <o:lock v:ext="edit" aspectratio="t"/>
            <w10:wrap type="none"/>
            <w10:anchorlock/>
          </v:shape>
          <o:OLEObject Type="Embed" ProgID="Equation.KSEE3" ShapeID="_x0000_i1046" DrawAspect="Content" ObjectID="_1468075746" r:id="rId64">
            <o:LockedField>false</o:LockedField>
          </o:OLEObject>
        </w:object>
      </w:r>
      <w:r>
        <w:rPr>
          <w:rFonts w:hint="eastAsia" w:ascii="Times New Roman" w:hAnsi="Times New Roman" w:cs="Times New Roman"/>
          <w:color w:val="000000" w:themeColor="text1"/>
          <w:sz w:val="24"/>
          <w:szCs w:val="24"/>
          <w:lang w:eastAsia="zh-CN"/>
          <w14:textFill>
            <w14:solidFill>
              <w14:schemeClr w14:val="tx1"/>
            </w14:solidFill>
          </w14:textFill>
        </w:rPr>
        <w:t>——房间常数，</w:t>
      </w:r>
      <w:r>
        <w:rPr>
          <w:rFonts w:hint="eastAsia" w:ascii="Times New Roman" w:hAnsi="Times New Roman" w:cs="Times New Roman"/>
          <w:color w:val="000000" w:themeColor="text1"/>
          <w:position w:val="-10"/>
          <w:sz w:val="24"/>
          <w:szCs w:val="24"/>
          <w:lang w:eastAsia="zh-CN"/>
          <w14:textFill>
            <w14:solidFill>
              <w14:schemeClr w14:val="tx1"/>
            </w14:solidFill>
          </w14:textFill>
        </w:rPr>
        <w:object>
          <v:shape id="_x0000_i1047" o:spt="75" type="#_x0000_t75" style="height:16pt;width:76pt;" o:ole="t" filled="f" o:preferrelative="t" stroked="f" coordsize="21600,21600">
            <v:path/>
            <v:fill on="f" focussize="0,0"/>
            <v:stroke on="f"/>
            <v:imagedata r:id="rId67" o:title=""/>
            <o:lock v:ext="edit" aspectratio="t"/>
            <w10:wrap type="none"/>
            <w10:anchorlock/>
          </v:shape>
          <o:OLEObject Type="Embed" ProgID="Equation.KSEE3" ShapeID="_x0000_i1047" DrawAspect="Content" ObjectID="_1468075747" r:id="rId66">
            <o:LockedField>false</o:LockedField>
          </o:OLEObject>
        </w:object>
      </w:r>
      <w:r>
        <w:rPr>
          <w:rFonts w:hint="eastAsia" w:ascii="Times New Roman" w:hAnsi="Times New Roman" w:cs="Times New Roman"/>
          <w:color w:val="000000" w:themeColor="text1"/>
          <w:position w:val="-10"/>
          <w:sz w:val="24"/>
          <w:szCs w:val="24"/>
          <w:lang w:eastAsia="zh-CN"/>
          <w14:textFill>
            <w14:solidFill>
              <w14:schemeClr w14:val="tx1"/>
            </w14:solidFill>
          </w14:textFill>
        </w:rPr>
        <w:t>，</w:t>
      </w:r>
      <w:r>
        <w:rPr>
          <w:rFonts w:hint="eastAsia" w:ascii="Times New Roman" w:hAnsi="Times New Roman" w:cs="Times New Roman"/>
          <w:color w:val="000000" w:themeColor="text1"/>
          <w:position w:val="-6"/>
          <w:sz w:val="24"/>
          <w:szCs w:val="24"/>
          <w:lang w:eastAsia="zh-CN"/>
          <w14:textFill>
            <w14:solidFill>
              <w14:schemeClr w14:val="tx1"/>
            </w14:solidFill>
          </w14:textFill>
        </w:rPr>
        <w:object>
          <v:shape id="_x0000_i1048" o:spt="75" type="#_x0000_t75" style="height:13.95pt;width:11pt;" o:ole="t" filled="f" o:preferrelative="t" stroked="f" coordsize="21600,21600">
            <v:path/>
            <v:fill on="f" focussize="0,0"/>
            <v:stroke on="f"/>
            <v:imagedata r:id="rId69" o:title=""/>
            <o:lock v:ext="edit" aspectratio="t"/>
            <w10:wrap type="none"/>
            <w10:anchorlock/>
          </v:shape>
          <o:OLEObject Type="Embed" ProgID="Equation.KSEE3" ShapeID="_x0000_i1048" DrawAspect="Content" ObjectID="_1468075748" r:id="rId68">
            <o:LockedField>false</o:LockedField>
          </o:OLEObject>
        </w:object>
      </w:r>
      <w:r>
        <w:rPr>
          <w:rFonts w:hint="eastAsia" w:ascii="Times New Roman" w:hAnsi="Times New Roman" w:cs="Times New Roman"/>
          <w:color w:val="000000" w:themeColor="text1"/>
          <w:sz w:val="24"/>
          <w:szCs w:val="24"/>
          <w:lang w:eastAsia="zh-CN"/>
          <w14:textFill>
            <w14:solidFill>
              <w14:schemeClr w14:val="tx1"/>
            </w14:solidFill>
          </w14:textFill>
        </w:rPr>
        <w:t>为房间内表面面积，</w:t>
      </w:r>
      <w:r>
        <w:rPr>
          <w:rFonts w:hint="eastAsia" w:ascii="Times New Roman" w:hAnsi="Times New Roman" w:cs="Times New Roman"/>
          <w:color w:val="000000" w:themeColor="text1"/>
          <w:sz w:val="24"/>
          <w:szCs w:val="24"/>
          <w:lang w:val="en-US" w:eastAsia="zh-CN"/>
          <w14:textFill>
            <w14:solidFill>
              <w14:schemeClr w14:val="tx1"/>
            </w14:solidFill>
          </w14:textFill>
        </w:rPr>
        <w:t>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position w:val="-6"/>
          <w:sz w:val="24"/>
          <w:szCs w:val="24"/>
          <w:lang w:val="en-US" w:eastAsia="zh-CN"/>
          <w14:textFill>
            <w14:solidFill>
              <w14:schemeClr w14:val="tx1"/>
            </w14:solidFill>
          </w14:textFill>
        </w:rPr>
        <w:object>
          <v:shape id="_x0000_i1049" o:spt="75" type="#_x0000_t75" style="height:11pt;width:12pt;" o:ole="t" filled="f" o:preferrelative="t" stroked="f" coordsize="21600,21600">
            <v:path/>
            <v:fill on="f" focussize="0,0"/>
            <v:stroke on="f"/>
            <v:imagedata r:id="rId71" o:title=""/>
            <o:lock v:ext="edit" aspectratio="t"/>
            <w10:wrap type="none"/>
            <w10:anchorlock/>
          </v:shape>
          <o:OLEObject Type="Embed" ProgID="Equation.KSEE3" ShapeID="_x0000_i1049" DrawAspect="Content" ObjectID="_1468075749" r:id="rId70">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为平均吸声系数。</w:t>
      </w:r>
    </w:p>
    <w:p>
      <w:pPr>
        <w:overflowPunct w:val="0"/>
        <w:spacing w:line="360" w:lineRule="auto"/>
        <w:ind w:firstLine="1200" w:firstLineChars="5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position w:val="-10"/>
          <w:sz w:val="24"/>
          <w:szCs w:val="24"/>
          <w14:textFill>
            <w14:solidFill>
              <w14:schemeClr w14:val="tx1"/>
            </w14:solidFill>
          </w14:textFill>
        </w:rPr>
        <w:object>
          <v:shape id="_x0000_i1050" o:spt="75" type="#_x0000_t75" style="height:17pt;width:10pt;" o:ole="t" filled="f" o:preferrelative="t" stroked="f" coordsize="21600,21600">
            <v:path/>
            <v:fill on="f" focussize="0,0"/>
            <v:stroke on="f"/>
            <v:imagedata r:id="rId73" o:title=""/>
            <o:lock v:ext="edit" aspectratio="t"/>
            <w10:wrap type="none"/>
            <w10:anchorlock/>
          </v:shape>
          <o:OLEObject Type="Embed" ProgID="Equation.KSEE3" ShapeID="_x0000_i1050" DrawAspect="Content" ObjectID="_1468075750" r:id="rId72">
            <o:LockedField>false</o:LockedField>
          </o:OLEObject>
        </w:object>
      </w:r>
      <w:r>
        <w:rPr>
          <w:rFonts w:hint="eastAsia" w:ascii="Times New Roman" w:hAnsi="Times New Roman" w:cs="Times New Roman"/>
          <w:color w:val="000000" w:themeColor="text1"/>
          <w:sz w:val="24"/>
          <w:szCs w:val="24"/>
          <w:lang w:eastAsia="zh-CN"/>
          <w14:textFill>
            <w14:solidFill>
              <w14:schemeClr w14:val="tx1"/>
            </w14:solidFill>
          </w14:textFill>
        </w:rPr>
        <w:t>——声源到靠近围护结构某点处的距离，</w:t>
      </w:r>
      <w:r>
        <w:rPr>
          <w:rFonts w:hint="eastAsia" w:ascii="Times New Roman" w:hAnsi="Times New Roman" w:cs="Times New Roman"/>
          <w:color w:val="000000" w:themeColor="text1"/>
          <w:sz w:val="24"/>
          <w:szCs w:val="24"/>
          <w:lang w:val="en-US" w:eastAsia="zh-CN"/>
          <w14:textFill>
            <w14:solidFill>
              <w14:schemeClr w14:val="tx1"/>
            </w14:solidFill>
          </w14:textFill>
        </w:rPr>
        <w:t>m。</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②</w:t>
      </w:r>
      <w:r>
        <w:rPr>
          <w:rFonts w:hint="eastAsia" w:ascii="Times New Roman" w:hAnsi="Times New Roman" w:cs="Times New Roman"/>
          <w:color w:val="000000" w:themeColor="text1"/>
          <w:sz w:val="24"/>
          <w:szCs w:val="24"/>
          <w:lang w:val="en-US" w:eastAsia="zh-CN"/>
          <w14:textFill>
            <w14:solidFill>
              <w14:schemeClr w14:val="tx1"/>
            </w14:solidFill>
          </w14:textFill>
        </w:rPr>
        <w:t>计算所有室内声源在围护结构处产生的叠加声压级：</w:t>
      </w:r>
    </w:p>
    <w:p>
      <w:pPr>
        <w:overflowPunct w:val="0"/>
        <w:spacing w:line="360" w:lineRule="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position w:val="-32"/>
          <w:sz w:val="24"/>
          <w:szCs w:val="24"/>
          <w:lang w:val="en-US" w:eastAsia="zh-CN"/>
          <w14:textFill>
            <w14:solidFill>
              <w14:schemeClr w14:val="tx1"/>
            </w14:solidFill>
          </w14:textFill>
        </w:rPr>
        <w:object>
          <v:shape id="_x0000_i1051" o:spt="75" type="#_x0000_t75" style="height:38pt;width:130pt;" o:ole="t" filled="f" o:preferrelative="t" stroked="f" coordsize="21600,21600">
            <v:path/>
            <v:fill on="f" focussize="0,0"/>
            <v:stroke on="f"/>
            <v:imagedata r:id="rId75" o:title=""/>
            <o:lock v:ext="edit" aspectratio="t"/>
            <w10:wrap type="none"/>
            <w10:anchorlock/>
          </v:shape>
          <o:OLEObject Type="Embed" ProgID="Equation.KSEE3" ShapeID="_x0000_i1051" DrawAspect="Content" ObjectID="_1468075751" r:id="rId74">
            <o:LockedField>false</o:LockedField>
          </o:OLEObject>
        </w:object>
      </w:r>
      <w:r>
        <w:rPr>
          <w:rFonts w:hint="eastAsia" w:ascii="Times New Roman" w:hAnsi="Times New Roman" w:cs="Times New Roman"/>
          <w:color w:val="000000" w:themeColor="text1"/>
          <w:position w:val="-32"/>
          <w:sz w:val="24"/>
          <w:szCs w:val="24"/>
          <w:lang w:val="en-US" w:eastAsia="zh-CN"/>
          <w14:textFill>
            <w14:solidFill>
              <w14:schemeClr w14:val="tx1"/>
            </w14:solidFill>
          </w14:textFill>
        </w:rPr>
        <w:t xml:space="preserve">                                      式3</w:t>
      </w:r>
    </w:p>
    <w:p>
      <w:pPr>
        <w:overflowPunct w:val="0"/>
        <w:spacing w:line="360" w:lineRule="auto"/>
        <w:ind w:firstLine="48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式中：</w:t>
      </w:r>
      <w:r>
        <w:rPr>
          <w:rFonts w:hint="eastAsia" w:ascii="Times New Roman" w:hAnsi="Times New Roman" w:cs="Times New Roman"/>
          <w:color w:val="000000" w:themeColor="text1"/>
          <w:position w:val="-14"/>
          <w:sz w:val="24"/>
          <w:szCs w:val="24"/>
          <w:lang w:val="en-US" w:eastAsia="zh-CN"/>
          <w14:textFill>
            <w14:solidFill>
              <w14:schemeClr w14:val="tx1"/>
            </w14:solidFill>
          </w14:textFill>
        </w:rPr>
        <w:object>
          <v:shape id="_x0000_i1052" o:spt="75" type="#_x0000_t75" style="height:19pt;width:36pt;" o:ole="t" filled="f" o:preferrelative="t" stroked="f" coordsize="21600,21600">
            <v:path/>
            <v:fill on="f" focussize="0,0"/>
            <v:stroke on="f"/>
            <v:imagedata r:id="rId77" o:title=""/>
            <o:lock v:ext="edit" aspectratio="t"/>
            <w10:wrap type="none"/>
            <w10:anchorlock/>
          </v:shape>
          <o:OLEObject Type="Embed" ProgID="Equation.KSEE3" ShapeID="_x0000_i1052" DrawAspect="Content" ObjectID="_1468075752" r:id="rId76">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——靠近围护结构处室内</w:t>
      </w:r>
      <w:r>
        <w:rPr>
          <w:rFonts w:hint="eastAsia" w:ascii="Times New Roman" w:hAnsi="Times New Roman" w:cs="Times New Roman"/>
          <w:i/>
          <w:iCs/>
          <w:color w:val="000000" w:themeColor="text1"/>
          <w:sz w:val="24"/>
          <w:szCs w:val="24"/>
          <w:lang w:val="en-US" w:eastAsia="zh-CN"/>
          <w14:textFill>
            <w14:solidFill>
              <w14:schemeClr w14:val="tx1"/>
            </w14:solidFill>
          </w14:textFill>
        </w:rPr>
        <w:t>N</w:t>
      </w:r>
      <w:r>
        <w:rPr>
          <w:rFonts w:hint="eastAsia" w:ascii="Times New Roman" w:hAnsi="Times New Roman" w:cs="Times New Roman"/>
          <w:color w:val="000000" w:themeColor="text1"/>
          <w:sz w:val="24"/>
          <w:szCs w:val="24"/>
          <w:lang w:val="en-US" w:eastAsia="zh-CN"/>
          <w14:textFill>
            <w14:solidFill>
              <w14:schemeClr w14:val="tx1"/>
            </w14:solidFill>
          </w14:textFill>
        </w:rPr>
        <w:t>个声源</w:t>
      </w:r>
      <w:r>
        <w:rPr>
          <w:rFonts w:hint="eastAsia" w:ascii="Times New Roman" w:hAnsi="Times New Roman" w:cs="Times New Roman"/>
          <w:i/>
          <w:iCs/>
          <w:color w:val="000000" w:themeColor="text1"/>
          <w:sz w:val="24"/>
          <w:szCs w:val="24"/>
          <w:lang w:val="en-US" w:eastAsia="zh-CN"/>
          <w14:textFill>
            <w14:solidFill>
              <w14:schemeClr w14:val="tx1"/>
            </w14:solidFill>
          </w14:textFill>
        </w:rPr>
        <w:t>i</w:t>
      </w:r>
      <w:r>
        <w:rPr>
          <w:rFonts w:hint="eastAsia" w:ascii="Times New Roman" w:hAnsi="Times New Roman" w:cs="Times New Roman"/>
          <w:color w:val="000000" w:themeColor="text1"/>
          <w:sz w:val="24"/>
          <w:szCs w:val="24"/>
          <w:lang w:val="en-US" w:eastAsia="zh-CN"/>
          <w14:textFill>
            <w14:solidFill>
              <w14:schemeClr w14:val="tx1"/>
            </w14:solidFill>
          </w14:textFill>
        </w:rPr>
        <w:t>倍频带的叠加声压级，dB；</w:t>
      </w:r>
    </w:p>
    <w:p>
      <w:pPr>
        <w:overflowPunct w:val="0"/>
        <w:spacing w:line="360" w:lineRule="auto"/>
        <w:ind w:firstLine="960" w:firstLineChars="4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position w:val="-14"/>
          <w:sz w:val="24"/>
          <w:szCs w:val="24"/>
          <w:lang w:val="en-US" w:eastAsia="zh-CN"/>
          <w14:textFill>
            <w14:solidFill>
              <w14:schemeClr w14:val="tx1"/>
            </w14:solidFill>
          </w14:textFill>
        </w:rPr>
        <w:object>
          <v:shape id="_x0000_i1053" o:spt="75" type="#_x0000_t75" style="height:19pt;width:22pt;" o:ole="t" filled="f" o:preferrelative="t" stroked="f" coordsize="21600,21600">
            <v:path/>
            <v:fill on="f" focussize="0,0"/>
            <v:stroke on="f"/>
            <v:imagedata r:id="rId79" o:title=""/>
            <o:lock v:ext="edit" aspectratio="t"/>
            <w10:wrap type="none"/>
            <w10:anchorlock/>
          </v:shape>
          <o:OLEObject Type="Embed" ProgID="Equation.KSEE3" ShapeID="_x0000_i1053" DrawAspect="Content" ObjectID="_1468075753" r:id="rId78">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——室内</w:t>
      </w:r>
      <w:r>
        <w:rPr>
          <w:rFonts w:hint="eastAsia" w:ascii="Times New Roman" w:hAnsi="Times New Roman" w:cs="Times New Roman"/>
          <w:i/>
          <w:iCs/>
          <w:color w:val="000000" w:themeColor="text1"/>
          <w:sz w:val="24"/>
          <w:szCs w:val="24"/>
          <w:lang w:val="en-US" w:eastAsia="zh-CN"/>
          <w14:textFill>
            <w14:solidFill>
              <w14:schemeClr w14:val="tx1"/>
            </w14:solidFill>
          </w14:textFill>
        </w:rPr>
        <w:t>j</w:t>
      </w:r>
      <w:r>
        <w:rPr>
          <w:rFonts w:hint="eastAsia" w:ascii="Times New Roman" w:hAnsi="Times New Roman" w:cs="Times New Roman"/>
          <w:color w:val="000000" w:themeColor="text1"/>
          <w:sz w:val="24"/>
          <w:szCs w:val="24"/>
          <w:lang w:val="en-US" w:eastAsia="zh-CN"/>
          <w14:textFill>
            <w14:solidFill>
              <w14:schemeClr w14:val="tx1"/>
            </w14:solidFill>
          </w14:textFill>
        </w:rPr>
        <w:t>声源</w:t>
      </w:r>
      <w:r>
        <w:rPr>
          <w:rFonts w:hint="eastAsia" w:ascii="Times New Roman" w:hAnsi="Times New Roman" w:cs="Times New Roman"/>
          <w:i/>
          <w:iCs/>
          <w:color w:val="000000" w:themeColor="text1"/>
          <w:sz w:val="24"/>
          <w:szCs w:val="24"/>
          <w:lang w:val="en-US" w:eastAsia="zh-CN"/>
          <w14:textFill>
            <w14:solidFill>
              <w14:schemeClr w14:val="tx1"/>
            </w14:solidFill>
          </w14:textFill>
        </w:rPr>
        <w:t>i</w:t>
      </w:r>
      <w:r>
        <w:rPr>
          <w:rFonts w:hint="eastAsia" w:ascii="Times New Roman" w:hAnsi="Times New Roman" w:cs="Times New Roman"/>
          <w:color w:val="000000" w:themeColor="text1"/>
          <w:sz w:val="24"/>
          <w:szCs w:val="24"/>
          <w:lang w:val="en-US" w:eastAsia="zh-CN"/>
          <w14:textFill>
            <w14:solidFill>
              <w14:schemeClr w14:val="tx1"/>
            </w14:solidFill>
          </w14:textFill>
        </w:rPr>
        <w:t>倍频带的声压级，dB；</w:t>
      </w:r>
    </w:p>
    <w:p>
      <w:pPr>
        <w:overflowPunct w:val="0"/>
        <w:spacing w:line="360" w:lineRule="auto"/>
        <w:ind w:firstLine="960" w:firstLineChars="4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i/>
          <w:iCs/>
          <w:color w:val="000000" w:themeColor="text1"/>
          <w:sz w:val="24"/>
          <w:szCs w:val="24"/>
          <w:lang w:val="en-US" w:eastAsia="zh-CN"/>
          <w14:textFill>
            <w14:solidFill>
              <w14:schemeClr w14:val="tx1"/>
            </w14:solidFill>
          </w14:textFill>
        </w:rPr>
        <w:t xml:space="preserve">N     </w:t>
      </w:r>
      <w:r>
        <w:rPr>
          <w:rFonts w:hint="eastAsia" w:ascii="Times New Roman" w:hAnsi="Times New Roman" w:cs="Times New Roman"/>
          <w:color w:val="000000" w:themeColor="text1"/>
          <w:sz w:val="24"/>
          <w:szCs w:val="24"/>
          <w:lang w:val="en-US" w:eastAsia="zh-CN"/>
          <w14:textFill>
            <w14:solidFill>
              <w14:schemeClr w14:val="tx1"/>
            </w14:solidFill>
          </w14:textFill>
        </w:rPr>
        <w:t>——室内声源总数。</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③</w:t>
      </w:r>
      <w:r>
        <w:rPr>
          <w:rFonts w:hint="eastAsia" w:ascii="Times New Roman" w:hAnsi="Times New Roman" w:cs="Times New Roman"/>
          <w:color w:val="000000" w:themeColor="text1"/>
          <w:sz w:val="24"/>
          <w:szCs w:val="24"/>
          <w:lang w:val="en-US" w:eastAsia="zh-CN"/>
          <w14:textFill>
            <w14:solidFill>
              <w14:schemeClr w14:val="tx1"/>
            </w14:solidFill>
          </w14:textFill>
        </w:rPr>
        <w:t>计算靠近室内围护结构处的声压级：</w:t>
      </w:r>
    </w:p>
    <w:p>
      <w:pPr>
        <w:overflowPunct w:val="0"/>
        <w:spacing w:line="360" w:lineRule="auto"/>
        <w:ind w:firstLine="960" w:firstLineChars="4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position w:val="-14"/>
          <w:sz w:val="24"/>
          <w:szCs w:val="24"/>
          <w:lang w:val="en-US" w:eastAsia="zh-CN"/>
          <w14:textFill>
            <w14:solidFill>
              <w14:schemeClr w14:val="tx1"/>
            </w14:solidFill>
          </w14:textFill>
        </w:rPr>
        <w:object>
          <v:shape id="_x0000_i1054" o:spt="75" type="#_x0000_t75" style="height:19pt;width:136pt;" o:ole="t" filled="f" o:preferrelative="t" stroked="f" coordsize="21600,21600">
            <v:path/>
            <v:fill on="f" focussize="0,0"/>
            <v:stroke on="f"/>
            <v:imagedata r:id="rId81" o:title=""/>
            <o:lock v:ext="edit" aspectratio="t"/>
            <w10:wrap type="none"/>
            <w10:anchorlock/>
          </v:shape>
          <o:OLEObject Type="Embed" ProgID="Equation.KSEE3" ShapeID="_x0000_i1054" DrawAspect="Content" ObjectID="_1468075754" r:id="rId80">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式4</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式中：</w:t>
      </w:r>
      <w:r>
        <w:rPr>
          <w:rFonts w:hint="eastAsia" w:ascii="Times New Roman" w:hAnsi="Times New Roman" w:cs="Times New Roman"/>
          <w:color w:val="000000" w:themeColor="text1"/>
          <w:position w:val="-14"/>
          <w:sz w:val="24"/>
          <w:szCs w:val="24"/>
          <w:lang w:eastAsia="zh-CN"/>
          <w14:textFill>
            <w14:solidFill>
              <w14:schemeClr w14:val="tx1"/>
            </w14:solidFill>
          </w14:textFill>
        </w:rPr>
        <w:object>
          <v:shape id="_x0000_i1055" o:spt="75" type="#_x0000_t75" style="height:19pt;width:39pt;" o:ole="t" filled="f" o:preferrelative="t" stroked="f" coordsize="21600,21600">
            <v:path/>
            <v:fill on="f" focussize="0,0"/>
            <v:stroke on="f"/>
            <v:imagedata r:id="rId83" o:title=""/>
            <o:lock v:ext="edit" aspectratio="t"/>
            <w10:wrap type="none"/>
            <w10:anchorlock/>
          </v:shape>
          <o:OLEObject Type="Embed" ProgID="Equation.KSEE3" ShapeID="_x0000_i1055" DrawAspect="Content" ObjectID="_1468075755" r:id="rId82">
            <o:LockedField>false</o:LockedField>
          </o:OLEObject>
        </w:object>
      </w:r>
      <w:r>
        <w:rPr>
          <w:rFonts w:hint="eastAsia" w:ascii="Times New Roman" w:hAnsi="Times New Roman" w:cs="Times New Roman"/>
          <w:color w:val="000000" w:themeColor="text1"/>
          <w:sz w:val="24"/>
          <w:szCs w:val="24"/>
          <w:lang w:eastAsia="zh-CN"/>
          <w14:textFill>
            <w14:solidFill>
              <w14:schemeClr w14:val="tx1"/>
            </w14:solidFill>
          </w14:textFill>
        </w:rPr>
        <w:t>——靠近围护结构处室外</w:t>
      </w:r>
      <w:r>
        <w:rPr>
          <w:rFonts w:hint="eastAsia" w:ascii="Times New Roman" w:hAnsi="Times New Roman" w:cs="Times New Roman"/>
          <w:i/>
          <w:iCs/>
          <w:color w:val="000000" w:themeColor="text1"/>
          <w:sz w:val="24"/>
          <w:szCs w:val="24"/>
          <w:lang w:val="en-US" w:eastAsia="zh-CN"/>
          <w14:textFill>
            <w14:solidFill>
              <w14:schemeClr w14:val="tx1"/>
            </w14:solidFill>
          </w14:textFill>
        </w:rPr>
        <w:t>N</w:t>
      </w:r>
      <w:r>
        <w:rPr>
          <w:rFonts w:hint="eastAsia" w:ascii="Times New Roman" w:hAnsi="Times New Roman" w:cs="Times New Roman"/>
          <w:color w:val="000000" w:themeColor="text1"/>
          <w:sz w:val="24"/>
          <w:szCs w:val="24"/>
          <w:lang w:val="en-US" w:eastAsia="zh-CN"/>
          <w14:textFill>
            <w14:solidFill>
              <w14:schemeClr w14:val="tx1"/>
            </w14:solidFill>
          </w14:textFill>
        </w:rPr>
        <w:t>个声源</w:t>
      </w:r>
      <w:r>
        <w:rPr>
          <w:rFonts w:hint="eastAsia" w:ascii="Times New Roman" w:hAnsi="Times New Roman" w:cs="Times New Roman"/>
          <w:i/>
          <w:iCs/>
          <w:color w:val="000000" w:themeColor="text1"/>
          <w:sz w:val="24"/>
          <w:szCs w:val="24"/>
          <w:lang w:val="en-US" w:eastAsia="zh-CN"/>
          <w14:textFill>
            <w14:solidFill>
              <w14:schemeClr w14:val="tx1"/>
            </w14:solidFill>
          </w14:textFill>
        </w:rPr>
        <w:t>i</w:t>
      </w:r>
      <w:r>
        <w:rPr>
          <w:rFonts w:hint="eastAsia" w:ascii="Times New Roman" w:hAnsi="Times New Roman" w:cs="Times New Roman"/>
          <w:color w:val="000000" w:themeColor="text1"/>
          <w:sz w:val="24"/>
          <w:szCs w:val="24"/>
          <w:lang w:val="en-US" w:eastAsia="zh-CN"/>
          <w14:textFill>
            <w14:solidFill>
              <w14:schemeClr w14:val="tx1"/>
            </w14:solidFill>
          </w14:textFill>
        </w:rPr>
        <w:t>倍频带的叠加声压级，dB；</w:t>
      </w:r>
    </w:p>
    <w:p>
      <w:pPr>
        <w:overflowPunct w:val="0"/>
        <w:spacing w:line="360" w:lineRule="auto"/>
        <w:ind w:firstLine="960" w:firstLineChars="4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position w:val="-12"/>
          <w:sz w:val="24"/>
          <w:szCs w:val="24"/>
          <w:lang w:eastAsia="zh-CN"/>
          <w14:textFill>
            <w14:solidFill>
              <w14:schemeClr w14:val="tx1"/>
            </w14:solidFill>
          </w14:textFill>
        </w:rPr>
        <w:object>
          <v:shape id="_x0000_i1056" o:spt="75" type="#_x0000_t75" style="height:18pt;width:18pt;" o:ole="t" filled="f" o:preferrelative="t" stroked="f" coordsize="21600,21600">
            <v:path/>
            <v:fill on="f" focussize="0,0"/>
            <v:stroke on="f"/>
            <v:imagedata r:id="rId85" o:title=""/>
            <o:lock v:ext="edit" aspectratio="t"/>
            <w10:wrap type="none"/>
            <w10:anchorlock/>
          </v:shape>
          <o:OLEObject Type="Embed" ProgID="Equation.KSEE3" ShapeID="_x0000_i1056" DrawAspect="Content" ObjectID="_1468075756" r:id="rId84">
            <o:LockedField>false</o:LockedField>
          </o:OLEObject>
        </w:object>
      </w:r>
      <w:r>
        <w:rPr>
          <w:rFonts w:hint="eastAsia" w:ascii="Times New Roman" w:hAnsi="Times New Roman" w:cs="Times New Roman"/>
          <w:color w:val="000000" w:themeColor="text1"/>
          <w:sz w:val="24"/>
          <w:szCs w:val="24"/>
          <w:lang w:eastAsia="zh-CN"/>
          <w14:textFill>
            <w14:solidFill>
              <w14:schemeClr w14:val="tx1"/>
            </w14:solidFill>
          </w14:textFill>
        </w:rPr>
        <w:t>——围护结构</w:t>
      </w:r>
      <w:r>
        <w:rPr>
          <w:rFonts w:hint="eastAsia" w:ascii="Times New Roman" w:hAnsi="Times New Roman" w:cs="Times New Roman"/>
          <w:i/>
          <w:iCs/>
          <w:color w:val="000000" w:themeColor="text1"/>
          <w:sz w:val="24"/>
          <w:szCs w:val="24"/>
          <w:lang w:val="en-US" w:eastAsia="zh-CN"/>
          <w14:textFill>
            <w14:solidFill>
              <w14:schemeClr w14:val="tx1"/>
            </w14:solidFill>
          </w14:textFill>
        </w:rPr>
        <w:t>i</w:t>
      </w:r>
      <w:r>
        <w:rPr>
          <w:rFonts w:hint="eastAsia" w:ascii="Times New Roman" w:hAnsi="Times New Roman" w:cs="Times New Roman"/>
          <w:color w:val="000000" w:themeColor="text1"/>
          <w:sz w:val="24"/>
          <w:szCs w:val="24"/>
          <w:lang w:val="en-US" w:eastAsia="zh-CN"/>
          <w14:textFill>
            <w14:solidFill>
              <w14:schemeClr w14:val="tx1"/>
            </w14:solidFill>
          </w14:textFill>
        </w:rPr>
        <w:t>倍频带的隔声量，dB；</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④</w:t>
      </w:r>
      <w:r>
        <w:rPr>
          <w:rFonts w:hint="eastAsia" w:ascii="Times New Roman" w:hAnsi="Times New Roman" w:cs="Times New Roman"/>
          <w:color w:val="000000" w:themeColor="text1"/>
          <w:sz w:val="24"/>
          <w:szCs w:val="24"/>
          <w:lang w:val="en-US" w:eastAsia="zh-CN"/>
          <w14:textFill>
            <w14:solidFill>
              <w14:schemeClr w14:val="tx1"/>
            </w14:solidFill>
          </w14:textFill>
        </w:rPr>
        <w:t>将室外声源的声压级和透过面积换算成等效的室外声源，计算中心位置位于头绳面积处的等效声源的声功率级：</w:t>
      </w:r>
    </w:p>
    <w:p>
      <w:pPr>
        <w:overflowPunct w:val="0"/>
        <w:spacing w:line="360" w:lineRule="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position w:val="-14"/>
          <w:sz w:val="24"/>
          <w:szCs w:val="24"/>
          <w:lang w:val="en-US" w:eastAsia="zh-CN"/>
          <w14:textFill>
            <w14:solidFill>
              <w14:schemeClr w14:val="tx1"/>
            </w14:solidFill>
          </w14:textFill>
        </w:rPr>
        <w:object>
          <v:shape id="_x0000_i1057" o:spt="75" type="#_x0000_t75" style="height:19pt;width:99pt;" o:ole="t" filled="f" o:preferrelative="t" stroked="f" coordsize="21600,21600">
            <v:path/>
            <v:fill on="f" focussize="0,0"/>
            <v:stroke on="f"/>
            <v:imagedata r:id="rId87" o:title=""/>
            <o:lock v:ext="edit" aspectratio="t"/>
            <w10:wrap type="none"/>
            <w10:anchorlock/>
          </v:shape>
          <o:OLEObject Type="Embed" ProgID="Equation.KSEE3" ShapeID="_x0000_i1057" DrawAspect="Content" ObjectID="_1468075757" r:id="rId86">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式5</w:t>
      </w:r>
    </w:p>
    <w:p>
      <w:pPr>
        <w:overflowPunct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⑤</w:t>
      </w:r>
      <w:r>
        <w:rPr>
          <w:rFonts w:hint="eastAsia" w:ascii="Times New Roman" w:hAnsi="Times New Roman" w:cs="Times New Roman"/>
          <w:color w:val="000000" w:themeColor="text1"/>
          <w:sz w:val="24"/>
          <w:szCs w:val="24"/>
          <w:lang w:val="en-US" w:eastAsia="zh-CN"/>
          <w14:textFill>
            <w14:solidFill>
              <w14:schemeClr w14:val="tx1"/>
            </w14:solidFill>
          </w14:textFill>
        </w:rPr>
        <w:t>按室外声源预测方法计算预测点处的声压级：</w:t>
      </w:r>
    </w:p>
    <w:p>
      <w:pPr>
        <w:overflowPunct w:val="0"/>
        <w:spacing w:line="360" w:lineRule="auto"/>
        <w:ind w:firstLine="240" w:firstLineChars="1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position w:val="-14"/>
          <w:sz w:val="24"/>
          <w:szCs w:val="24"/>
          <w:lang w:val="en-US" w:eastAsia="zh-CN"/>
          <w14:textFill>
            <w14:solidFill>
              <w14:schemeClr w14:val="tx1"/>
            </w14:solidFill>
          </w14:textFill>
        </w:rPr>
        <w:object>
          <v:shape id="_x0000_i1058" o:spt="75" type="#_x0000_t75" style="height:19pt;width:137pt;" o:ole="t" filled="f" o:preferrelative="t" stroked="f" coordsize="21600,21600">
            <v:path/>
            <v:fill on="f" focussize="0,0"/>
            <v:stroke on="f"/>
            <v:imagedata r:id="rId89" o:title=""/>
            <o:lock v:ext="edit" aspectratio="t"/>
            <w10:wrap type="none"/>
            <w10:anchorlock/>
          </v:shape>
          <o:OLEObject Type="Embed" ProgID="Equation.KSEE3" ShapeID="_x0000_i1058" DrawAspect="Content" ObjectID="_1468075758" r:id="rId88">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式6</w:t>
      </w:r>
    </w:p>
    <w:p>
      <w:pPr>
        <w:overflowPunct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⑥如预测点在靠近声源处，但不能满足声源条件时，需按线声源或面声源模式计算。</w:t>
      </w:r>
    </w:p>
    <w:p>
      <w:pPr>
        <w:overflowPunct w:val="0"/>
        <w:spacing w:line="360" w:lineRule="auto"/>
        <w:ind w:firstLine="480" w:firstLineChars="200"/>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eastAsia" w:ascii="Times New Roman" w:hAnsi="Times New Roman"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eastAsia" w:ascii="Times New Roman" w:hAnsi="Times New Roman" w:cs="Times New Roman"/>
          <w:b/>
          <w:bCs/>
          <w:color w:val="000000" w:themeColor="text1"/>
          <w:sz w:val="24"/>
          <w:szCs w:val="24"/>
          <w:lang w:eastAsia="zh-CN"/>
          <w14:textFill>
            <w14:solidFill>
              <w14:schemeClr w14:val="tx1"/>
            </w14:solidFill>
          </w14:textFill>
        </w:rPr>
        <w:t>总声压级</w:t>
      </w:r>
    </w:p>
    <w:p>
      <w:pPr>
        <w:overflowPunct w:val="0"/>
        <w:spacing w:line="36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position w:val="-34"/>
          <w:sz w:val="24"/>
          <w:szCs w:val="24"/>
          <w:lang w:val="en-US" w:eastAsia="zh-CN"/>
          <w14:textFill>
            <w14:solidFill>
              <w14:schemeClr w14:val="tx1"/>
            </w14:solidFill>
          </w14:textFill>
        </w:rPr>
        <w:object>
          <v:shape id="_x0000_i1059" o:spt="75" type="#_x0000_t75" style="height:40pt;width:204pt;" o:ole="t" filled="f" o:preferrelative="t" stroked="f" coordsize="21600,21600">
            <v:path/>
            <v:fill on="f" focussize="0,0"/>
            <v:stroke on="f"/>
            <v:imagedata r:id="rId91" o:title=""/>
            <o:lock v:ext="edit" aspectratio="t"/>
            <w10:wrap type="none"/>
            <w10:anchorlock/>
          </v:shape>
          <o:OLEObject Type="Embed" ProgID="Equation.KSEE3" ShapeID="_x0000_i1059" DrawAspect="Content" ObjectID="_1468075759" r:id="rId90">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式7</w:t>
      </w:r>
    </w:p>
    <w:p>
      <w:pPr>
        <w:overflowPunct w:val="0"/>
        <w:spacing w:line="360" w:lineRule="auto"/>
        <w:ind w:firstLine="48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式中：</w:t>
      </w:r>
      <w:r>
        <w:rPr>
          <w:rFonts w:hint="eastAsia" w:ascii="Times New Roman" w:hAnsi="Times New Roman" w:cs="Times New Roman"/>
          <w:color w:val="000000" w:themeColor="text1"/>
          <w:position w:val="-14"/>
          <w:sz w:val="24"/>
          <w:szCs w:val="24"/>
          <w:lang w:val="en-US" w:eastAsia="zh-CN"/>
          <w14:textFill>
            <w14:solidFill>
              <w14:schemeClr w14:val="tx1"/>
            </w14:solidFill>
          </w14:textFill>
        </w:rPr>
        <w:object>
          <v:shape id="_x0000_i1060" o:spt="75" type="#_x0000_t75" style="height:19pt;width:11pt;" o:ole="t" filled="f" o:preferrelative="t" stroked="f" coordsize="21600,21600">
            <v:path/>
            <v:fill on="f" focussize="0,0"/>
            <v:stroke on="f"/>
            <v:imagedata r:id="rId93" o:title=""/>
            <o:lock v:ext="edit" aspectratio="t"/>
            <w10:wrap type="none"/>
            <w10:anchorlock/>
          </v:shape>
          <o:OLEObject Type="Embed" ProgID="Equation.KSEE3" ShapeID="_x0000_i1060" DrawAspect="Content" ObjectID="_1468075760" r:id="rId92">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——在</w:t>
      </w:r>
      <w:r>
        <w:rPr>
          <w:rFonts w:hint="eastAsia" w:ascii="Times New Roman" w:hAnsi="Times New Roman" w:cs="Times New Roman"/>
          <w:i/>
          <w:iCs/>
          <w:color w:val="000000" w:themeColor="text1"/>
          <w:sz w:val="24"/>
          <w:szCs w:val="24"/>
          <w:lang w:val="en-US" w:eastAsia="zh-CN"/>
          <w14:textFill>
            <w14:solidFill>
              <w14:schemeClr w14:val="tx1"/>
            </w14:solidFill>
          </w14:textFill>
        </w:rPr>
        <w:t>T</w:t>
      </w:r>
      <w:r>
        <w:rPr>
          <w:rFonts w:hint="eastAsia" w:ascii="Times New Roman" w:hAnsi="Times New Roman" w:cs="Times New Roman"/>
          <w:color w:val="000000" w:themeColor="text1"/>
          <w:sz w:val="24"/>
          <w:szCs w:val="24"/>
          <w:lang w:val="en-US" w:eastAsia="zh-CN"/>
          <w14:textFill>
            <w14:solidFill>
              <w14:schemeClr w14:val="tx1"/>
            </w14:solidFill>
          </w14:textFill>
        </w:rPr>
        <w:t>时间</w:t>
      </w:r>
      <w:r>
        <w:rPr>
          <w:rFonts w:hint="eastAsia" w:ascii="Times New Roman" w:hAnsi="Times New Roman" w:cs="Times New Roman"/>
          <w:i w:val="0"/>
          <w:iCs w:val="0"/>
          <w:color w:val="000000" w:themeColor="text1"/>
          <w:sz w:val="24"/>
          <w:szCs w:val="24"/>
          <w:lang w:val="en-US" w:eastAsia="zh-CN"/>
          <w14:textFill>
            <w14:solidFill>
              <w14:schemeClr w14:val="tx1"/>
            </w14:solidFill>
          </w14:textFill>
        </w:rPr>
        <w:t>内</w:t>
      </w:r>
      <w:r>
        <w:rPr>
          <w:rFonts w:hint="eastAsia" w:ascii="Times New Roman" w:hAnsi="Times New Roman" w:cs="Times New Roman"/>
          <w:i/>
          <w:iCs/>
          <w:color w:val="000000" w:themeColor="text1"/>
          <w:sz w:val="24"/>
          <w:szCs w:val="24"/>
          <w:lang w:val="en-US" w:eastAsia="zh-CN"/>
          <w14:textFill>
            <w14:solidFill>
              <w14:schemeClr w14:val="tx1"/>
            </w14:solidFill>
          </w14:textFill>
        </w:rPr>
        <w:t>j</w:t>
      </w:r>
      <w:r>
        <w:rPr>
          <w:rFonts w:hint="eastAsia" w:ascii="Times New Roman" w:hAnsi="Times New Roman" w:cs="Times New Roman"/>
          <w:color w:val="000000" w:themeColor="text1"/>
          <w:sz w:val="24"/>
          <w:szCs w:val="24"/>
          <w:lang w:val="en-US" w:eastAsia="zh-CN"/>
          <w14:textFill>
            <w14:solidFill>
              <w14:schemeClr w14:val="tx1"/>
            </w14:solidFill>
          </w14:textFill>
        </w:rPr>
        <w:t>声源工作时间，s；</w:t>
      </w:r>
    </w:p>
    <w:p>
      <w:pPr>
        <w:overflowPunct w:val="0"/>
        <w:spacing w:line="360" w:lineRule="auto"/>
        <w:ind w:firstLine="1200" w:firstLineChars="5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position w:val="-12"/>
          <w:sz w:val="24"/>
          <w:szCs w:val="24"/>
          <w:lang w:val="en-US" w:eastAsia="zh-CN"/>
          <w14:textFill>
            <w14:solidFill>
              <w14:schemeClr w14:val="tx1"/>
            </w14:solidFill>
          </w14:textFill>
        </w:rPr>
        <w:object>
          <v:shape id="_x0000_i1061" o:spt="75" type="#_x0000_t75" style="height:18pt;width:9pt;" o:ole="t" filled="f" o:preferrelative="t" stroked="f" coordsize="21600,21600">
            <v:path/>
            <v:fill on="f" focussize="0,0"/>
            <v:stroke on="f"/>
            <v:imagedata r:id="rId95" o:title=""/>
            <o:lock v:ext="edit" aspectratio="t"/>
            <w10:wrap type="none"/>
            <w10:anchorlock/>
          </v:shape>
          <o:OLEObject Type="Embed" ProgID="Equation.KSEE3" ShapeID="_x0000_i1061" DrawAspect="Content" ObjectID="_1468075761" r:id="rId94">
            <o:LockedField>false</o:LockedField>
          </o:OLEObject>
        </w:object>
      </w:r>
      <w:r>
        <w:rPr>
          <w:rFonts w:hint="eastAsia" w:ascii="Times New Roman" w:hAnsi="Times New Roman" w:cs="Times New Roman"/>
          <w:color w:val="000000" w:themeColor="text1"/>
          <w:sz w:val="24"/>
          <w:szCs w:val="24"/>
          <w:lang w:val="en-US" w:eastAsia="zh-CN"/>
          <w14:textFill>
            <w14:solidFill>
              <w14:schemeClr w14:val="tx1"/>
            </w14:solidFill>
          </w14:textFill>
        </w:rPr>
        <w:t>——在</w:t>
      </w:r>
      <w:r>
        <w:rPr>
          <w:rFonts w:hint="eastAsia" w:ascii="Times New Roman" w:hAnsi="Times New Roman" w:cs="Times New Roman"/>
          <w:i/>
          <w:iCs/>
          <w:color w:val="000000" w:themeColor="text1"/>
          <w:sz w:val="24"/>
          <w:szCs w:val="24"/>
          <w:lang w:val="en-US" w:eastAsia="zh-CN"/>
          <w14:textFill>
            <w14:solidFill>
              <w14:schemeClr w14:val="tx1"/>
            </w14:solidFill>
          </w14:textFill>
        </w:rPr>
        <w:t>T</w:t>
      </w:r>
      <w:r>
        <w:rPr>
          <w:rFonts w:hint="eastAsia" w:ascii="Times New Roman" w:hAnsi="Times New Roman" w:cs="Times New Roman"/>
          <w:color w:val="000000" w:themeColor="text1"/>
          <w:sz w:val="24"/>
          <w:szCs w:val="24"/>
          <w:lang w:val="en-US" w:eastAsia="zh-CN"/>
          <w14:textFill>
            <w14:solidFill>
              <w14:schemeClr w14:val="tx1"/>
            </w14:solidFill>
          </w14:textFill>
        </w:rPr>
        <w:t>时间</w:t>
      </w:r>
      <w:r>
        <w:rPr>
          <w:rFonts w:hint="eastAsia" w:ascii="Times New Roman" w:hAnsi="Times New Roman" w:cs="Times New Roman"/>
          <w:i w:val="0"/>
          <w:iCs w:val="0"/>
          <w:color w:val="000000" w:themeColor="text1"/>
          <w:sz w:val="24"/>
          <w:szCs w:val="24"/>
          <w:lang w:val="en-US" w:eastAsia="zh-CN"/>
          <w14:textFill>
            <w14:solidFill>
              <w14:schemeClr w14:val="tx1"/>
            </w14:solidFill>
          </w14:textFill>
        </w:rPr>
        <w:t>内</w:t>
      </w:r>
      <w:r>
        <w:rPr>
          <w:rFonts w:hint="eastAsia" w:ascii="Times New Roman" w:hAnsi="Times New Roman" w:cs="Times New Roman"/>
          <w:i/>
          <w:iCs/>
          <w:color w:val="000000" w:themeColor="text1"/>
          <w:sz w:val="24"/>
          <w:szCs w:val="24"/>
          <w:lang w:val="en-US" w:eastAsia="zh-CN"/>
          <w14:textFill>
            <w14:solidFill>
              <w14:schemeClr w14:val="tx1"/>
            </w14:solidFill>
          </w14:textFill>
        </w:rPr>
        <w:t>i</w:t>
      </w:r>
      <w:r>
        <w:rPr>
          <w:rFonts w:hint="eastAsia" w:ascii="Times New Roman" w:hAnsi="Times New Roman" w:cs="Times New Roman"/>
          <w:color w:val="000000" w:themeColor="text1"/>
          <w:sz w:val="24"/>
          <w:szCs w:val="24"/>
          <w:lang w:val="en-US" w:eastAsia="zh-CN"/>
          <w14:textFill>
            <w14:solidFill>
              <w14:schemeClr w14:val="tx1"/>
            </w14:solidFill>
          </w14:textFill>
        </w:rPr>
        <w:t>声源工作时间，s；</w:t>
      </w:r>
    </w:p>
    <w:p>
      <w:pPr>
        <w:overflowPunct w:val="0"/>
        <w:spacing w:line="360" w:lineRule="auto"/>
        <w:ind w:firstLine="1200" w:firstLineChars="5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i/>
          <w:iCs/>
          <w:color w:val="000000" w:themeColor="text1"/>
          <w:sz w:val="24"/>
          <w:szCs w:val="24"/>
          <w:lang w:val="en-US" w:eastAsia="zh-CN"/>
          <w14:textFill>
            <w14:solidFill>
              <w14:schemeClr w14:val="tx1"/>
            </w14:solidFill>
          </w14:textFill>
        </w:rPr>
        <w:t>T</w:t>
      </w:r>
      <w:r>
        <w:rPr>
          <w:rFonts w:hint="eastAsia" w:ascii="Times New Roman" w:hAnsi="Times New Roman" w:cs="Times New Roman"/>
          <w:color w:val="000000" w:themeColor="text1"/>
          <w:sz w:val="24"/>
          <w:szCs w:val="24"/>
          <w:lang w:val="en-US" w:eastAsia="zh-CN"/>
          <w14:textFill>
            <w14:solidFill>
              <w14:schemeClr w14:val="tx1"/>
            </w14:solidFill>
          </w14:textFill>
        </w:rPr>
        <w:t>——用于计算等效声级的时间，s；</w:t>
      </w:r>
    </w:p>
    <w:p>
      <w:pPr>
        <w:overflowPunct w:val="0"/>
        <w:spacing w:line="360" w:lineRule="auto"/>
        <w:ind w:firstLine="1200" w:firstLineChars="5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i/>
          <w:iCs/>
          <w:color w:val="000000" w:themeColor="text1"/>
          <w:sz w:val="24"/>
          <w:szCs w:val="24"/>
          <w:lang w:val="en-US" w:eastAsia="zh-CN"/>
          <w14:textFill>
            <w14:solidFill>
              <w14:schemeClr w14:val="tx1"/>
            </w14:solidFill>
          </w14:textFill>
        </w:rPr>
        <w:t>N</w:t>
      </w:r>
      <w:r>
        <w:rPr>
          <w:rFonts w:hint="eastAsia" w:ascii="Times New Roman" w:hAnsi="Times New Roman" w:cs="Times New Roman"/>
          <w:color w:val="000000" w:themeColor="text1"/>
          <w:sz w:val="24"/>
          <w:szCs w:val="24"/>
          <w:lang w:val="en-US" w:eastAsia="zh-CN"/>
          <w14:textFill>
            <w14:solidFill>
              <w14:schemeClr w14:val="tx1"/>
            </w14:solidFill>
          </w14:textFill>
        </w:rPr>
        <w:t>——室外声源个数；</w:t>
      </w:r>
    </w:p>
    <w:p>
      <w:pPr>
        <w:overflowPunct w:val="0"/>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i/>
          <w:iCs/>
          <w:color w:val="000000" w:themeColor="text1"/>
          <w:sz w:val="24"/>
          <w:szCs w:val="24"/>
          <w:lang w:val="en-US" w:eastAsia="zh-CN"/>
          <w14:textFill>
            <w14:solidFill>
              <w14:schemeClr w14:val="tx1"/>
            </w14:solidFill>
          </w14:textFill>
        </w:rPr>
        <w:t>M</w:t>
      </w:r>
      <w:r>
        <w:rPr>
          <w:rFonts w:hint="eastAsia" w:ascii="Times New Roman" w:hAnsi="Times New Roman" w:cs="Times New Roman"/>
          <w:color w:val="000000" w:themeColor="text1"/>
          <w:sz w:val="24"/>
          <w:szCs w:val="24"/>
          <w:lang w:val="en-US" w:eastAsia="zh-CN"/>
          <w14:textFill>
            <w14:solidFill>
              <w14:schemeClr w14:val="tx1"/>
            </w14:solidFill>
          </w14:textFill>
        </w:rPr>
        <w:t>——等效室外声源个数。</w:t>
      </w:r>
    </w:p>
    <w:p>
      <w:pPr>
        <w:pStyle w:val="5"/>
        <w:keepNext w:val="0"/>
        <w:keepLines w:val="0"/>
        <w:overflowPunct w:val="0"/>
        <w:spacing w:before="0" w:after="0" w:line="360" w:lineRule="auto"/>
        <w:rPr>
          <w:rFonts w:hint="default" w:ascii="Times New Roman" w:hAnsi="Times New Roman" w:cs="Times New Roman"/>
          <w:bCs w:val="0"/>
          <w:color w:val="000000" w:themeColor="text1"/>
          <w:kern w:val="0"/>
          <w:sz w:val="28"/>
          <w:szCs w:val="28"/>
          <w:lang w:val="zh-CN"/>
          <w14:textFill>
            <w14:solidFill>
              <w14:schemeClr w14:val="tx1"/>
            </w14:solidFill>
          </w14:textFill>
        </w:rPr>
      </w:pPr>
      <w:r>
        <w:rPr>
          <w:rFonts w:hint="default" w:ascii="Times New Roman" w:hAnsi="Times New Roman" w:cs="Times New Roman"/>
          <w:bCs w:val="0"/>
          <w:color w:val="000000" w:themeColor="text1"/>
          <w:kern w:val="0"/>
          <w:sz w:val="28"/>
          <w:szCs w:val="28"/>
          <w:lang w:val="zh-CN"/>
          <w14:textFill>
            <w14:solidFill>
              <w14:schemeClr w14:val="tx1"/>
            </w14:solidFill>
          </w14:textFill>
        </w:rPr>
        <w:t>5.4.</w:t>
      </w:r>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2</w:t>
      </w:r>
      <w:r>
        <w:rPr>
          <w:rFonts w:hint="default" w:ascii="Times New Roman" w:hAnsi="Times New Roman" w:cs="Times New Roman"/>
          <w:bCs w:val="0"/>
          <w:color w:val="000000" w:themeColor="text1"/>
          <w:kern w:val="0"/>
          <w:sz w:val="28"/>
          <w:szCs w:val="28"/>
          <w:lang w:val="zh-CN"/>
          <w14:textFill>
            <w14:solidFill>
              <w14:schemeClr w14:val="tx1"/>
            </w14:solidFill>
          </w14:textFill>
        </w:rPr>
        <w:t xml:space="preserve"> </w:t>
      </w:r>
      <w:r>
        <w:rPr>
          <w:rFonts w:hint="eastAsia" w:ascii="Times New Roman" w:hAnsi="Times New Roman" w:cs="Times New Roman"/>
          <w:bCs w:val="0"/>
          <w:color w:val="000000" w:themeColor="text1"/>
          <w:kern w:val="0"/>
          <w:sz w:val="28"/>
          <w:szCs w:val="28"/>
          <w:lang w:val="zh-CN"/>
          <w14:textFill>
            <w14:solidFill>
              <w14:schemeClr w14:val="tx1"/>
            </w14:solidFill>
          </w14:textFill>
        </w:rPr>
        <w:t>预测结果与评价</w:t>
      </w:r>
    </w:p>
    <w:p>
      <w:pPr>
        <w:overflowPunct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在本次声环境影响预测与评价中，根据室内声源衰减模式，同时结合该项目的建筑物特征，</w:t>
      </w:r>
      <w:r>
        <w:rPr>
          <w:rFonts w:hint="eastAsia" w:ascii="Times New Roman" w:hAnsi="Times New Roman" w:cs="Times New Roman"/>
          <w:color w:val="000000" w:themeColor="text1"/>
          <w:sz w:val="24"/>
          <w:szCs w:val="24"/>
          <w:lang w:eastAsia="zh-CN"/>
          <w14:textFill>
            <w14:solidFill>
              <w14:schemeClr w14:val="tx1"/>
            </w14:solidFill>
          </w14:textFill>
        </w:rPr>
        <w:t>结合本次环评针对各种噪声源的特征提出的细化噪声防治措施，预测按照采取环评治理措施后的影响进行计算，厂界噪声预测结果，</w:t>
      </w:r>
      <w:r>
        <w:rPr>
          <w:rFonts w:hint="default" w:ascii="Times New Roman" w:hAnsi="Times New Roman" w:cs="Times New Roman"/>
          <w:color w:val="000000" w:themeColor="text1"/>
          <w:sz w:val="24"/>
          <w:szCs w:val="24"/>
          <w14:textFill>
            <w14:solidFill>
              <w14:schemeClr w14:val="tx1"/>
            </w14:solidFill>
          </w14:textFill>
        </w:rPr>
        <w:t>见表5.4-</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pPr>
        <w:spacing w:beforeLines="50"/>
        <w:jc w:val="center"/>
        <w:rPr>
          <w:rFonts w:hint="default" w:ascii="Times New Roman" w:hAnsi="Times New Roman" w:eastAsia="黑体" w:cs="Times New Roman"/>
          <w:bCs/>
          <w:color w:val="000000" w:themeColor="text1"/>
          <w:sz w:val="21"/>
          <w:szCs w:val="21"/>
          <w14:textFill>
            <w14:solidFill>
              <w14:schemeClr w14:val="tx1"/>
            </w14:solidFill>
          </w14:textFill>
        </w:rPr>
      </w:pPr>
      <w:r>
        <w:rPr>
          <w:rFonts w:hint="default" w:ascii="Times New Roman" w:hAnsi="Times New Roman" w:eastAsia="黑体" w:cs="Times New Roman"/>
          <w:bCs/>
          <w:color w:val="000000" w:themeColor="text1"/>
          <w:sz w:val="21"/>
          <w:szCs w:val="21"/>
          <w14:textFill>
            <w14:solidFill>
              <w14:schemeClr w14:val="tx1"/>
            </w14:solidFill>
          </w14:textFill>
        </w:rPr>
        <w:t>表5.4-</w:t>
      </w:r>
      <w:r>
        <w:rPr>
          <w:rFonts w:hint="eastAsia" w:ascii="Times New Roman" w:hAnsi="Times New Roman" w:eastAsia="黑体" w:cs="Times New Roman"/>
          <w:bCs/>
          <w:color w:val="000000" w:themeColor="text1"/>
          <w:sz w:val="21"/>
          <w:szCs w:val="21"/>
          <w:lang w:val="en-US" w:eastAsia="zh-CN"/>
          <w14:textFill>
            <w14:solidFill>
              <w14:schemeClr w14:val="tx1"/>
            </w14:solidFill>
          </w14:textFill>
        </w:rPr>
        <w:t>3</w:t>
      </w:r>
      <w:r>
        <w:rPr>
          <w:rFonts w:hint="default" w:ascii="Times New Roman" w:hAnsi="Times New Roman" w:eastAsia="黑体" w:cs="Times New Roman"/>
          <w:bCs/>
          <w:color w:val="000000" w:themeColor="text1"/>
          <w:sz w:val="21"/>
          <w:szCs w:val="21"/>
          <w14:textFill>
            <w14:solidFill>
              <w14:schemeClr w14:val="tx1"/>
            </w14:solidFill>
          </w14:textFill>
        </w:rPr>
        <w:t xml:space="preserve">     厂界噪声预测结果一览表         单位：dB（A）</w:t>
      </w:r>
    </w:p>
    <w:tbl>
      <w:tblPr>
        <w:tblStyle w:val="21"/>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857"/>
        <w:gridCol w:w="858"/>
        <w:gridCol w:w="857"/>
        <w:gridCol w:w="858"/>
        <w:gridCol w:w="858"/>
        <w:gridCol w:w="857"/>
        <w:gridCol w:w="858"/>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vMerge w:val="restar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厂界噪声</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dB（A）</w:t>
            </w:r>
          </w:p>
        </w:tc>
        <w:tc>
          <w:tcPr>
            <w:tcW w:w="1715" w:type="dxa"/>
            <w:gridSpan w:val="2"/>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东厂界</w:t>
            </w:r>
          </w:p>
        </w:tc>
        <w:tc>
          <w:tcPr>
            <w:tcW w:w="1715" w:type="dxa"/>
            <w:gridSpan w:val="2"/>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南厂界</w:t>
            </w:r>
          </w:p>
        </w:tc>
        <w:tc>
          <w:tcPr>
            <w:tcW w:w="1715" w:type="dxa"/>
            <w:gridSpan w:val="2"/>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西厂界</w:t>
            </w:r>
          </w:p>
        </w:tc>
        <w:tc>
          <w:tcPr>
            <w:tcW w:w="1716" w:type="dxa"/>
            <w:gridSpan w:val="2"/>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5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昼</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夜</w:t>
            </w:r>
          </w:p>
        </w:tc>
        <w:tc>
          <w:tcPr>
            <w:tcW w:w="85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昼</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夜</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昼</w:t>
            </w:r>
          </w:p>
        </w:tc>
        <w:tc>
          <w:tcPr>
            <w:tcW w:w="85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夜</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昼</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贡献值</w:t>
            </w:r>
          </w:p>
        </w:tc>
        <w:tc>
          <w:tcPr>
            <w:tcW w:w="85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45</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45</w:t>
            </w:r>
          </w:p>
        </w:tc>
        <w:tc>
          <w:tcPr>
            <w:tcW w:w="85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35</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35</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25.7</w:t>
            </w:r>
          </w:p>
        </w:tc>
        <w:tc>
          <w:tcPr>
            <w:tcW w:w="85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25.7</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29</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背景值</w:t>
            </w:r>
          </w:p>
        </w:tc>
        <w:tc>
          <w:tcPr>
            <w:tcW w:w="85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48.5</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44.1</w:t>
            </w:r>
          </w:p>
        </w:tc>
        <w:tc>
          <w:tcPr>
            <w:tcW w:w="85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48</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43.9</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47.6</w:t>
            </w:r>
          </w:p>
        </w:tc>
        <w:tc>
          <w:tcPr>
            <w:tcW w:w="85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43.4</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48.2</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预测值</w:t>
            </w:r>
          </w:p>
        </w:tc>
        <w:tc>
          <w:tcPr>
            <w:tcW w:w="85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50.1</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47.58</w:t>
            </w:r>
          </w:p>
        </w:tc>
        <w:tc>
          <w:tcPr>
            <w:tcW w:w="85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48.21</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44.43</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47.63</w:t>
            </w:r>
          </w:p>
        </w:tc>
        <w:tc>
          <w:tcPr>
            <w:tcW w:w="85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43.47</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48.25</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标准值</w:t>
            </w:r>
          </w:p>
        </w:tc>
        <w:tc>
          <w:tcPr>
            <w:tcW w:w="85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55</w:t>
            </w:r>
          </w:p>
        </w:tc>
        <w:tc>
          <w:tcPr>
            <w:tcW w:w="85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55</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w:t>
            </w:r>
          </w:p>
        </w:tc>
        <w:tc>
          <w:tcPr>
            <w:tcW w:w="85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55</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w:t>
            </w:r>
          </w:p>
        </w:tc>
        <w:tc>
          <w:tcPr>
            <w:tcW w:w="858"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55</w:t>
            </w:r>
          </w:p>
        </w:tc>
      </w:tr>
    </w:tbl>
    <w:p>
      <w:pPr>
        <w:keepNext w:val="0"/>
        <w:keepLines w:val="0"/>
        <w:pageBreakBefore w:val="0"/>
        <w:widowControl w:val="0"/>
        <w:kinsoku/>
        <w:wordWrap/>
        <w:overflowPunct w:val="0"/>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项目厂界噪声执行</w:t>
      </w:r>
      <w:r>
        <w:rPr>
          <w:rFonts w:hint="default" w:ascii="Times New Roman" w:hAnsi="Times New Roman" w:cs="Times New Roman"/>
          <w:color w:val="000000" w:themeColor="text1"/>
          <w:sz w:val="24"/>
          <w:szCs w:val="24"/>
          <w14:textFill>
            <w14:solidFill>
              <w14:schemeClr w14:val="tx1"/>
            </w14:solidFill>
          </w14:textFill>
        </w:rPr>
        <w:t>《工业企业厂界环境噪声排放标准》（GB12348－2008）中的3类标准限值。</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预测结果表明，项目在各厂界的最大预测值在</w:t>
      </w:r>
      <w:r>
        <w:rPr>
          <w:rFonts w:hint="eastAsia" w:ascii="Times New Roman" w:hAnsi="Times New Roman" w:cs="Times New Roman"/>
          <w:color w:val="000000" w:themeColor="text1"/>
          <w:sz w:val="24"/>
          <w:szCs w:val="24"/>
          <w:lang w:val="en-US" w:eastAsia="zh-CN"/>
          <w14:textFill>
            <w14:solidFill>
              <w14:schemeClr w14:val="tx1"/>
            </w14:solidFill>
          </w14:textFill>
        </w:rPr>
        <w:t>25.7~45dB（A）之间，贡献值与背景值最大叠加值昼间在47.63~50.1dB（A）之间，夜间在43.47~48.75dB（A）之间。拟建项目预测值及与背景值的昼、夜间叠加值均符合</w:t>
      </w:r>
      <w:r>
        <w:rPr>
          <w:rFonts w:hint="default" w:ascii="Times New Roman" w:hAnsi="Times New Roman" w:cs="Times New Roman"/>
          <w:color w:val="000000" w:themeColor="text1"/>
          <w:sz w:val="24"/>
          <w:szCs w:val="24"/>
          <w14:textFill>
            <w14:solidFill>
              <w14:schemeClr w14:val="tx1"/>
            </w14:solidFill>
          </w14:textFill>
        </w:rPr>
        <w:t>《工业企业厂界环境噪声排放标准》（GB12348－2008）</w:t>
      </w:r>
      <w:r>
        <w:rPr>
          <w:rFonts w:hint="eastAsia" w:ascii="Times New Roman" w:hAnsi="Times New Roman" w:cs="Times New Roman"/>
          <w:color w:val="000000" w:themeColor="text1"/>
          <w:sz w:val="24"/>
          <w:szCs w:val="24"/>
          <w:lang w:eastAsia="zh-CN"/>
          <w14:textFill>
            <w14:solidFill>
              <w14:schemeClr w14:val="tx1"/>
            </w14:solidFill>
          </w14:textFill>
        </w:rPr>
        <w:t>要求，拟建项目不会降低厂界声环境质量级别。</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各厂界受声点比较，东厂届、南厂界受拟建项目的影响最大，主要是厂区东侧布置有热电站，南厂界布置有气化装置。项目区用地现在已进行工业开发，没有常住居民，项目建设过程中在厂界进行了绿化，并加强对噪声源的减噪、降噪措施，本项目的建设不会对外环境造成显著影响。随着区域经济高的发展，厂址周围可能分布其他工业企业，建设方应保证生产设备正常运转，并采取隔音降噪措施，将主要噪声设备设置于厂区中心位置，远离厂界，并不至于车间厂房内，同事加大厂区周围绿化，以减少噪声对外传播。</w:t>
      </w:r>
    </w:p>
    <w:p>
      <w:pPr>
        <w:pStyle w:val="5"/>
        <w:keepNext w:val="0"/>
        <w:keepLines w:val="0"/>
        <w:overflowPunct w:val="0"/>
        <w:spacing w:before="0" w:after="0" w:line="360" w:lineRule="auto"/>
        <w:rPr>
          <w:rFonts w:hint="default" w:ascii="Times New Roman" w:hAnsi="Times New Roman" w:cs="Times New Roman"/>
          <w:bCs w:val="0"/>
          <w:color w:val="000000" w:themeColor="text1"/>
          <w:kern w:val="0"/>
          <w:sz w:val="28"/>
          <w:szCs w:val="28"/>
          <w:lang w:val="zh-CN"/>
          <w14:textFill>
            <w14:solidFill>
              <w14:schemeClr w14:val="tx1"/>
            </w14:solidFill>
          </w14:textFill>
        </w:rPr>
      </w:pPr>
      <w:bookmarkStart w:id="377" w:name="_Toc31209"/>
      <w:bookmarkStart w:id="378" w:name="_Toc13646"/>
      <w:r>
        <w:rPr>
          <w:rFonts w:hint="default" w:ascii="Times New Roman" w:hAnsi="Times New Roman" w:cs="Times New Roman"/>
          <w:bCs w:val="0"/>
          <w:color w:val="000000" w:themeColor="text1"/>
          <w:kern w:val="0"/>
          <w:sz w:val="28"/>
          <w:szCs w:val="28"/>
          <w:lang w:val="zh-CN"/>
          <w14:textFill>
            <w14:solidFill>
              <w14:schemeClr w14:val="tx1"/>
            </w14:solidFill>
          </w14:textFill>
        </w:rPr>
        <w:t>5.4.3声环境影响评价结论</w:t>
      </w:r>
      <w:bookmarkEnd w:id="377"/>
      <w:bookmarkEnd w:id="378"/>
      <w:r>
        <w:rPr>
          <w:rFonts w:hint="default" w:ascii="Times New Roman" w:hAnsi="Times New Roman" w:cs="Times New Roman"/>
          <w:bCs w:val="0"/>
          <w:color w:val="000000" w:themeColor="text1"/>
          <w:kern w:val="0"/>
          <w:sz w:val="28"/>
          <w:szCs w:val="28"/>
          <w:lang w:val="zh-CN"/>
          <w14:textFill>
            <w14:solidFill>
              <w14:schemeClr w14:val="tx1"/>
            </w14:solidFill>
          </w14:textFill>
        </w:rPr>
        <w:t xml:space="preserve"> </w:t>
      </w:r>
    </w:p>
    <w:p>
      <w:pPr>
        <w:overflowPunct w:val="0"/>
        <w:spacing w:line="360" w:lineRule="auto"/>
        <w:ind w:firstLine="482"/>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本工程厂界噪声主要受主厂房的影响，厂房内锅炉、汽轮机组、高压流化风机、引风机等为本工程主要噪声源，以主厂房为中心向四周辐射。本工程</w:t>
      </w:r>
      <w:r>
        <w:rPr>
          <w:rFonts w:hint="default" w:ascii="Times New Roman" w:hAnsi="Times New Roman" w:cs="Times New Roman"/>
          <w:color w:val="000000" w:themeColor="text1"/>
          <w:sz w:val="24"/>
          <w:szCs w:val="24"/>
          <w14:textFill>
            <w14:solidFill>
              <w14:schemeClr w14:val="tx1"/>
            </w14:solidFill>
          </w14:textFill>
        </w:rPr>
        <w:t>叠加背景值后，</w:t>
      </w:r>
      <w:r>
        <w:rPr>
          <w:rFonts w:hint="eastAsia" w:ascii="Times New Roman" w:hAnsi="Times New Roman" w:cs="Times New Roman"/>
          <w:color w:val="000000" w:themeColor="text1"/>
          <w:sz w:val="24"/>
          <w:szCs w:val="24"/>
          <w:lang w:eastAsia="zh-CN"/>
          <w14:textFill>
            <w14:solidFill>
              <w14:schemeClr w14:val="tx1"/>
            </w14:solidFill>
          </w14:textFill>
        </w:rPr>
        <w:t>厂界昼间、夜间均达标，其中东厂届噪声值最大为</w:t>
      </w:r>
      <w:r>
        <w:rPr>
          <w:rFonts w:hint="eastAsia" w:ascii="Times New Roman" w:hAnsi="Times New Roman" w:cs="Times New Roman"/>
          <w:color w:val="000000" w:themeColor="text1"/>
          <w:sz w:val="24"/>
          <w:szCs w:val="24"/>
          <w:lang w:val="en-US" w:eastAsia="zh-CN"/>
          <w14:textFill>
            <w14:solidFill>
              <w14:schemeClr w14:val="tx1"/>
            </w14:solidFill>
          </w14:textFill>
        </w:rPr>
        <w:t>49.6dB（A），</w:t>
      </w:r>
      <w:r>
        <w:rPr>
          <w:rFonts w:hint="default" w:ascii="Times New Roman" w:hAnsi="Times New Roman" w:cs="Times New Roman"/>
          <w:color w:val="000000" w:themeColor="text1"/>
          <w:sz w:val="24"/>
          <w:szCs w:val="24"/>
          <w14:textFill>
            <w14:solidFill>
              <w14:schemeClr w14:val="tx1"/>
            </w14:solidFill>
          </w14:textFill>
        </w:rPr>
        <w:t>可以达到《工业企业厂界环境噪声排放标准》(GB12348 -2008)中3类标准要求，不会产生噪声扰民现象。</w:t>
      </w:r>
    </w:p>
    <w:p>
      <w:pPr>
        <w:pStyle w:val="4"/>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Times New Roman" w:hAnsi="Times New Roman" w:cs="Times New Roman"/>
          <w:color w:val="000000" w:themeColor="text1"/>
          <w14:textFill>
            <w14:solidFill>
              <w14:schemeClr w14:val="tx1"/>
            </w14:solidFill>
          </w14:textFill>
        </w:rPr>
      </w:pPr>
      <w:bookmarkStart w:id="379" w:name="_Toc7838"/>
      <w:bookmarkStart w:id="380" w:name="_Toc20925_WPSOffice_Level2"/>
      <w:bookmarkStart w:id="381" w:name="_Toc3758"/>
      <w:bookmarkStart w:id="382" w:name="_Toc19388"/>
      <w:bookmarkStart w:id="383" w:name="_Toc15978"/>
      <w:bookmarkStart w:id="384" w:name="_Toc30826"/>
      <w:bookmarkStart w:id="385" w:name="_Toc431406176"/>
      <w:bookmarkStart w:id="386" w:name="_Toc456091021"/>
      <w:bookmarkStart w:id="387" w:name="_Toc428817481"/>
      <w:bookmarkStart w:id="388" w:name="_Toc491857681"/>
      <w:r>
        <w:rPr>
          <w:rFonts w:hint="default" w:ascii="Times New Roman" w:hAnsi="Times New Roman" w:cs="Times New Roman"/>
          <w:color w:val="000000" w:themeColor="text1"/>
          <w14:textFill>
            <w14:solidFill>
              <w14:schemeClr w14:val="tx1"/>
            </w14:solidFill>
          </w14:textFill>
        </w:rPr>
        <w:t>5.5固体废弃物环境影响评价</w:t>
      </w:r>
      <w:bookmarkEnd w:id="379"/>
      <w:bookmarkEnd w:id="380"/>
      <w:bookmarkEnd w:id="381"/>
      <w:bookmarkEnd w:id="382"/>
      <w:bookmarkEnd w:id="383"/>
      <w:bookmarkEnd w:id="384"/>
    </w:p>
    <w:bookmarkEnd w:id="385"/>
    <w:bookmarkEnd w:id="386"/>
    <w:bookmarkEnd w:id="387"/>
    <w:bookmarkEnd w:id="388"/>
    <w:p>
      <w:pPr>
        <w:spacing w:line="360" w:lineRule="auto"/>
        <w:ind w:firstLine="480" w:firstLineChars="200"/>
        <w:rPr>
          <w:rFonts w:hint="default" w:ascii="Times New Roman" w:hAnsi="Times New Roman" w:cs="Times New Roman"/>
          <w:sz w:val="24"/>
        </w:rPr>
      </w:pPr>
      <w:bookmarkStart w:id="389" w:name="_Toc24739"/>
      <w:bookmarkStart w:id="390" w:name="_Toc29584"/>
      <w:bookmarkStart w:id="391" w:name="_Toc13267"/>
      <w:r>
        <w:rPr>
          <w:rFonts w:hint="default" w:ascii="Times New Roman" w:hAnsi="Times New Roman" w:cs="Times New Roman"/>
          <w:sz w:val="24"/>
        </w:rPr>
        <w:t>运营期产生的固体废物主要为热源站的炉灰、脱硫灰、收集的烟粉尘以及工作人员的生活垃圾。</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经计算，项目锅炉排出的炉灰量约为62580t/a。</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同时，本项目脱硫灰产生量约为12313t/a。</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项目采用布袋除尘器，除尘器收集的烟粉尘量为69821.25t/a。</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合计工业固废总量约为14.47万t/a。</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bCs/>
          <w:sz w:val="24"/>
        </w:rPr>
        <w:t>炉灰、脱硫灰和收集的烟尘一并</w:t>
      </w:r>
      <w:r>
        <w:rPr>
          <w:rFonts w:hint="default" w:ascii="Times New Roman" w:hAnsi="Times New Roman" w:cs="Times New Roman"/>
          <w:sz w:val="24"/>
        </w:rPr>
        <w:t>在站内新建的贮灰仓暂存，</w:t>
      </w:r>
      <w:r>
        <w:rPr>
          <w:rFonts w:hint="default" w:ascii="Times New Roman" w:hAnsi="Times New Roman" w:cs="Times New Roman"/>
          <w:bCs/>
          <w:sz w:val="24"/>
        </w:rPr>
        <w:t>用于建筑材料外售，</w:t>
      </w:r>
      <w:r>
        <w:rPr>
          <w:rFonts w:hint="default" w:ascii="Times New Roman" w:hAnsi="Times New Roman" w:cs="Times New Roman"/>
          <w:sz w:val="24"/>
        </w:rPr>
        <w:t>全部综合利用，日产日清。灰仓的建设和使用须符合《一般工业固体废物贮存、处置场污染控制标准》（GB18599-2001）Ⅱ类场地要求。</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现阶段工业固废按全部综合利用，投资方已有意向合作方（固废处置合同见附件），用于制作混凝土钢化地坪。事故情况在克拉玛依市三坪镇建筑垃圾场临时堆放。本工程不新设置灰场。三坪镇建筑垃圾场临时堆放采取有效的抑尘措施（如洒水车洒水、压路机碾压和覆盖），建设和运行应满足《一般工业固体废物贮存、处置场污染控制标准》（GB18599-2001）中采用1.5mm厚HDPE防渗的要求。</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本项目在运营中产生的固体废物还有少量的生活垃圾，本项目劳动定员180人，人均生活垃圾产生量按0.5kg/人·d计算，则生活垃圾产生量约为90kg/d、27t/a。在站内办公生活区设垃圾箱，集中收集后，生活垃圾交由环卫部门统一清运。</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通过落实各项固废处置方法，固废对周围环境基本没有影响。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在厂区内设临时贮存库，临时贮存库严格执行《危险废物贮存污染控制标准》(GB18597-2001)及其修改单的要求“按危险废物的种类和特性进行分区贮存；每个贮存区域之间宜设置挡墙间隔；建立危险物贮存的台账制度，危险废物出入库交接记录。每批出入库的废物均应及时登记，定期汇总出入库废物的种类，数量；危险废物贮存设施都必须按GB15562.2的规定设置警示标示（见表5.5-1）。危险废物贮存设施周围应设置围墙或其他防护栅栏。危验废物贮存设施应配备通讯设备、照明设备、安全防护服装及工具，并设有应急防护设施”。在贮存和转移过程中，要加强防水、防压等措施，严禁将其提供给无经营资质的单位从事经营活动，转移危险废物应执行危险废物转移联单制度。</w:t>
      </w:r>
    </w:p>
    <w:p>
      <w:pPr>
        <w:keepNext w:val="0"/>
        <w:keepLines w:val="0"/>
        <w:pageBreakBefore w:val="0"/>
        <w:widowControl w:val="0"/>
        <w:kinsoku/>
        <w:wordWrap/>
        <w:overflowPunct/>
        <w:topLinePunct w:val="0"/>
        <w:autoSpaceDE/>
        <w:autoSpaceDN/>
        <w:bidi w:val="0"/>
        <w:adjustRightInd/>
        <w:snapToGrid/>
        <w:spacing w:beforeLines="50"/>
        <w:jc w:val="center"/>
        <w:textAlignment w:val="auto"/>
        <w:rPr>
          <w:rFonts w:hint="default" w:ascii="Times New Roman" w:hAnsi="Times New Roman" w:eastAsia="黑体" w:cs="Times New Roman"/>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Lines="50"/>
        <w:jc w:val="center"/>
        <w:textAlignment w:val="auto"/>
        <w:rPr>
          <w:rFonts w:hint="default" w:ascii="Times New Roman" w:hAnsi="Times New Roman" w:eastAsia="黑体" w:cs="Times New Roman"/>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Lines="50"/>
        <w:jc w:val="center"/>
        <w:textAlignment w:val="auto"/>
        <w:rPr>
          <w:rFonts w:hint="default" w:ascii="Times New Roman" w:hAnsi="Times New Roman" w:eastAsia="黑体" w:cs="Times New Roman"/>
          <w:bCs/>
          <w:color w:val="000000" w:themeColor="text1"/>
          <w:sz w:val="21"/>
          <w:szCs w:val="21"/>
          <w14:textFill>
            <w14:solidFill>
              <w14:schemeClr w14:val="tx1"/>
            </w14:solidFill>
          </w14:textFill>
        </w:rPr>
      </w:pPr>
      <w:r>
        <w:rPr>
          <w:rFonts w:hint="default" w:ascii="Times New Roman" w:hAnsi="Times New Roman" w:eastAsia="黑体" w:cs="Times New Roman"/>
          <w:bCs/>
          <w:color w:val="000000" w:themeColor="text1"/>
          <w:sz w:val="21"/>
          <w:szCs w:val="21"/>
          <w14:textFill>
            <w14:solidFill>
              <w14:schemeClr w14:val="tx1"/>
            </w14:solidFill>
          </w14:textFill>
        </w:rPr>
        <w:t>表5.5-</w:t>
      </w:r>
      <w:r>
        <w:rPr>
          <w:rFonts w:hint="eastAsia" w:ascii="Times New Roman" w:hAnsi="Times New Roman" w:eastAsia="黑体" w:cs="Times New Roman"/>
          <w:bCs/>
          <w:color w:val="000000" w:themeColor="text1"/>
          <w:sz w:val="21"/>
          <w:szCs w:val="21"/>
          <w:lang w:val="en-US" w:eastAsia="zh-CN"/>
          <w14:textFill>
            <w14:solidFill>
              <w14:schemeClr w14:val="tx1"/>
            </w14:solidFill>
          </w14:textFill>
        </w:rPr>
        <w:t>1</w:t>
      </w:r>
      <w:r>
        <w:rPr>
          <w:rFonts w:hint="default" w:ascii="Times New Roman" w:hAnsi="Times New Roman" w:eastAsia="黑体" w:cs="Times New Roman"/>
          <w:bCs/>
          <w:color w:val="000000" w:themeColor="text1"/>
          <w:sz w:val="21"/>
          <w:szCs w:val="21"/>
          <w14:textFill>
            <w14:solidFill>
              <w14:schemeClr w14:val="tx1"/>
            </w14:solidFill>
          </w14:textFill>
        </w:rPr>
        <w:t xml:space="preserve">      固废堆放场的环境保护图形标志</w:t>
      </w:r>
    </w:p>
    <w:tbl>
      <w:tblPr>
        <w:tblStyle w:val="2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1185"/>
        <w:gridCol w:w="1419"/>
        <w:gridCol w:w="1185"/>
        <w:gridCol w:w="1185"/>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91" w:type="dxa"/>
            <w:noWrap w:val="0"/>
            <w:vAlign w:val="center"/>
          </w:tcPr>
          <w:p>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固体废物堆放场</w:t>
            </w:r>
          </w:p>
        </w:tc>
        <w:tc>
          <w:tcPr>
            <w:tcW w:w="1185" w:type="dxa"/>
            <w:noWrap w:val="0"/>
            <w:vAlign w:val="center"/>
          </w:tcPr>
          <w:p>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图形标志</w:t>
            </w:r>
          </w:p>
        </w:tc>
        <w:tc>
          <w:tcPr>
            <w:tcW w:w="1419" w:type="dxa"/>
            <w:noWrap w:val="0"/>
            <w:vAlign w:val="center"/>
          </w:tcPr>
          <w:p>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形状</w:t>
            </w:r>
          </w:p>
        </w:tc>
        <w:tc>
          <w:tcPr>
            <w:tcW w:w="1185" w:type="dxa"/>
            <w:noWrap w:val="0"/>
            <w:vAlign w:val="center"/>
          </w:tcPr>
          <w:p>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背景颜色</w:t>
            </w:r>
          </w:p>
        </w:tc>
        <w:tc>
          <w:tcPr>
            <w:tcW w:w="1185" w:type="dxa"/>
            <w:noWrap w:val="0"/>
            <w:vAlign w:val="center"/>
          </w:tcPr>
          <w:p>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图形颜色</w:t>
            </w:r>
          </w:p>
        </w:tc>
        <w:tc>
          <w:tcPr>
            <w:tcW w:w="1657" w:type="dxa"/>
            <w:noWrap w:val="0"/>
            <w:vAlign w:val="center"/>
          </w:tcPr>
          <w:p>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提示图形符号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9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一般固废</w:t>
            </w:r>
          </w:p>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暂堆场所</w:t>
            </w:r>
          </w:p>
        </w:tc>
        <w:tc>
          <w:tcPr>
            <w:tcW w:w="1185"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提示标志</w:t>
            </w:r>
          </w:p>
        </w:tc>
        <w:tc>
          <w:tcPr>
            <w:tcW w:w="1419"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正方形边框</w:t>
            </w:r>
          </w:p>
        </w:tc>
        <w:tc>
          <w:tcPr>
            <w:tcW w:w="1185"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绿色</w:t>
            </w:r>
          </w:p>
        </w:tc>
        <w:tc>
          <w:tcPr>
            <w:tcW w:w="1185"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白色</w:t>
            </w:r>
          </w:p>
        </w:tc>
        <w:tc>
          <w:tcPr>
            <w:tcW w:w="1657"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451485" cy="438150"/>
                  <wp:effectExtent l="0" t="0" r="5715" b="0"/>
                  <wp:docPr id="52" name="图片 47"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7" descr="一般固废"/>
                          <pic:cNvPicPr>
                            <a:picLocks noChangeAspect="1"/>
                          </pic:cNvPicPr>
                        </pic:nvPicPr>
                        <pic:blipFill>
                          <a:blip r:embed="rId96"/>
                          <a:stretch>
                            <a:fillRect/>
                          </a:stretch>
                        </pic:blipFill>
                        <pic:spPr>
                          <a:xfrm>
                            <a:off x="0" y="0"/>
                            <a:ext cx="451485" cy="438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9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危废暂存点</w:t>
            </w:r>
          </w:p>
        </w:tc>
        <w:tc>
          <w:tcPr>
            <w:tcW w:w="1185"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提示标志</w:t>
            </w:r>
          </w:p>
        </w:tc>
        <w:tc>
          <w:tcPr>
            <w:tcW w:w="1419"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长方形边框</w:t>
            </w:r>
          </w:p>
        </w:tc>
        <w:tc>
          <w:tcPr>
            <w:tcW w:w="1185"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黄色</w:t>
            </w:r>
          </w:p>
        </w:tc>
        <w:tc>
          <w:tcPr>
            <w:tcW w:w="1185"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黑色</w:t>
            </w:r>
          </w:p>
        </w:tc>
        <w:tc>
          <w:tcPr>
            <w:tcW w:w="1657"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INCLUDEPICTURE "https://ss0.bdstatic.com/94oJfD_bAAcT8t7mm9GUKT-xh_/timg?image&amp;quality=100&amp;size=b4000_4000&amp;sec=1544348081&amp;di=7a8c2d2b2cdf57c4a224d8b1b1af3497&amp;src=http://pic167.nipic.com/file/20180601/26616488_092114361000_2.jpg" \* MERGEFORMATINET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834390" cy="1101725"/>
                  <wp:effectExtent l="0" t="0" r="3810" b="3175"/>
                  <wp:docPr id="53" name="图片 48" descr="26616488_092114361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8" descr="26616488_092114361000_2"/>
                          <pic:cNvPicPr>
                            <a:picLocks noChangeAspect="1"/>
                          </pic:cNvPicPr>
                        </pic:nvPicPr>
                        <pic:blipFill>
                          <a:blip r:embed="rId97"/>
                          <a:stretch>
                            <a:fillRect/>
                          </a:stretch>
                        </pic:blipFill>
                        <pic:spPr>
                          <a:xfrm>
                            <a:off x="0" y="0"/>
                            <a:ext cx="834390" cy="1101725"/>
                          </a:xfrm>
                          <a:prstGeom prst="rect">
                            <a:avLst/>
                          </a:prstGeom>
                          <a:noFill/>
                          <a:ln>
                            <a:noFill/>
                          </a:ln>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fldChar w:fldCharType="end"/>
            </w:r>
          </w:p>
        </w:tc>
      </w:tr>
      <w:bookmarkEnd w:id="389"/>
      <w:bookmarkEnd w:id="390"/>
      <w:bookmarkEnd w:id="391"/>
    </w:tbl>
    <w:p>
      <w:pPr>
        <w:pStyle w:val="4"/>
        <w:keepNext w:val="0"/>
        <w:keepLines w:val="0"/>
        <w:pageBreakBefore w:val="0"/>
        <w:widowControl w:val="0"/>
        <w:kinsoku/>
        <w:wordWrap/>
        <w:overflowPunct/>
        <w:topLinePunct w:val="0"/>
        <w:autoSpaceDE/>
        <w:autoSpaceDN/>
        <w:bidi w:val="0"/>
        <w:adjustRightInd/>
        <w:snapToGrid/>
        <w:spacing w:before="157" w:beforeLines="50" w:after="0" w:line="360" w:lineRule="auto"/>
        <w:jc w:val="left"/>
        <w:textAlignment w:val="auto"/>
        <w:rPr>
          <w:rFonts w:hint="default" w:ascii="Times New Roman" w:hAnsi="Times New Roman" w:cs="Times New Roman"/>
          <w:color w:val="000000" w:themeColor="text1"/>
          <w14:textFill>
            <w14:solidFill>
              <w14:schemeClr w14:val="tx1"/>
            </w14:solidFill>
          </w14:textFill>
        </w:rPr>
      </w:pPr>
      <w:bookmarkStart w:id="392" w:name="_Toc2546"/>
      <w:r>
        <w:rPr>
          <w:rFonts w:hint="eastAsia" w:ascii="Times New Roman" w:hAnsi="Times New Roman" w:cs="Times New Roman"/>
          <w:color w:val="000000" w:themeColor="text1"/>
          <w:lang w:eastAsia="zh-CN"/>
          <w14:textFill>
            <w14:solidFill>
              <w14:schemeClr w14:val="tx1"/>
            </w14:solidFill>
          </w14:textFill>
        </w:rPr>
        <w:t>5.6土壤</w:t>
      </w:r>
      <w:r>
        <w:rPr>
          <w:rFonts w:hint="default" w:ascii="Times New Roman" w:hAnsi="Times New Roman" w:cs="Times New Roman"/>
          <w:color w:val="000000" w:themeColor="text1"/>
          <w14:textFill>
            <w14:solidFill>
              <w14:schemeClr w14:val="tx1"/>
            </w14:solidFill>
          </w14:textFill>
        </w:rPr>
        <w:t>环境影响分析</w:t>
      </w:r>
      <w:bookmarkEnd w:id="392"/>
    </w:p>
    <w:p>
      <w:pPr>
        <w:pStyle w:val="5"/>
        <w:keepNext w:val="0"/>
        <w:keepLines w:val="0"/>
        <w:overflowPunct w:val="0"/>
        <w:spacing w:before="0" w:after="0" w:line="360" w:lineRule="auto"/>
        <w:rPr>
          <w:rFonts w:hint="eastAsia" w:ascii="Times New Roman" w:hAnsi="Times New Roman" w:eastAsia="宋体" w:cs="Times New Roman"/>
          <w:bCs w:val="0"/>
          <w:color w:val="000000" w:themeColor="text1"/>
          <w:kern w:val="0"/>
          <w:sz w:val="28"/>
          <w:szCs w:val="28"/>
          <w:lang w:val="en-US" w:eastAsia="zh-CN"/>
          <w14:textFill>
            <w14:solidFill>
              <w14:schemeClr w14:val="tx1"/>
            </w14:solidFill>
          </w14:textFill>
        </w:rPr>
      </w:pPr>
      <w:r>
        <w:rPr>
          <w:rFonts w:hint="eastAsia" w:ascii="Times New Roman" w:hAnsi="Times New Roman" w:cs="Times New Roman"/>
          <w:bCs w:val="0"/>
          <w:color w:val="000000" w:themeColor="text1"/>
          <w:kern w:val="0"/>
          <w:sz w:val="28"/>
          <w:szCs w:val="28"/>
          <w:lang w:val="zh-CN"/>
          <w14:textFill>
            <w14:solidFill>
              <w14:schemeClr w14:val="tx1"/>
            </w14:solidFill>
          </w14:textFill>
        </w:rPr>
        <w:t>5.6</w:t>
      </w:r>
      <w:r>
        <w:rPr>
          <w:rFonts w:hint="default" w:ascii="Times New Roman" w:hAnsi="Times New Roman" w:cs="Times New Roman"/>
          <w:bCs w:val="0"/>
          <w:color w:val="000000" w:themeColor="text1"/>
          <w:kern w:val="0"/>
          <w:sz w:val="28"/>
          <w:szCs w:val="28"/>
          <w:lang w:val="zh-CN"/>
          <w14:textFill>
            <w14:solidFill>
              <w14:schemeClr w14:val="tx1"/>
            </w14:solidFill>
          </w14:textFill>
        </w:rPr>
        <w:t>.1</w:t>
      </w:r>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 xml:space="preserve"> 预测等级及范围</w:t>
      </w:r>
    </w:p>
    <w:p>
      <w:pPr>
        <w:pStyle w:val="18"/>
        <w:keepNext w:val="0"/>
        <w:keepLines w:val="0"/>
        <w:pageBreakBefore w:val="0"/>
        <w:widowControl w:val="0"/>
        <w:kinsoku/>
        <w:wordWrap/>
        <w:overflowPunct/>
        <w:topLinePunct w:val="0"/>
        <w:autoSpaceDE/>
        <w:autoSpaceDN/>
        <w:bidi w:val="0"/>
        <w:adjustRightInd/>
        <w:snapToGrid/>
        <w:spacing w:before="0" w:after="0" w:line="360" w:lineRule="auto"/>
        <w:ind w:firstLine="512" w:firstLineChars="200"/>
        <w:textAlignment w:val="auto"/>
        <w:rPr>
          <w:rFonts w:hint="eastAsia" w:ascii="Times New Roman" w:hAnsi="Times New Roman" w:cs="Times New Roman"/>
          <w:color w:val="000000" w:themeColor="text1"/>
          <w:kern w:val="24"/>
          <w:sz w:val="24"/>
          <w:lang w:val="en-US" w:eastAsia="zh-CN"/>
          <w14:textFill>
            <w14:solidFill>
              <w14:schemeClr w14:val="tx1"/>
            </w14:solidFill>
          </w14:textFill>
        </w:rPr>
      </w:pPr>
      <w:r>
        <w:rPr>
          <w:rFonts w:hint="eastAsia" w:ascii="Times New Roman" w:hAnsi="Times New Roman" w:cs="Times New Roman"/>
          <w:color w:val="000000" w:themeColor="text1"/>
          <w:kern w:val="24"/>
          <w:sz w:val="24"/>
          <w:lang w:val="en-US" w:eastAsia="zh-CN"/>
          <w14:textFill>
            <w14:solidFill>
              <w14:schemeClr w14:val="tx1"/>
            </w14:solidFill>
          </w14:textFill>
        </w:rPr>
        <w:t>根据《环境影响评价技术导则 土壤环境(试行)》(HJ964-2018)规定，本项目为石油化工合成材料类项目，为Ⅱ类项目；本项目占地面积为6.2hm</w:t>
      </w:r>
      <w:r>
        <w:rPr>
          <w:rFonts w:hint="eastAsia" w:ascii="Times New Roman" w:hAnsi="Times New Roman" w:cs="Times New Roman"/>
          <w:color w:val="000000" w:themeColor="text1"/>
          <w:kern w:val="24"/>
          <w:sz w:val="24"/>
          <w:vertAlign w:val="superscript"/>
          <w:lang w:val="en-US" w:eastAsia="zh-CN"/>
          <w14:textFill>
            <w14:solidFill>
              <w14:schemeClr w14:val="tx1"/>
            </w14:solidFill>
          </w14:textFill>
        </w:rPr>
        <w:t>2</w:t>
      </w:r>
      <w:r>
        <w:rPr>
          <w:rFonts w:hint="eastAsia" w:ascii="Times New Roman" w:hAnsi="Times New Roman" w:cs="Times New Roman"/>
          <w:color w:val="000000" w:themeColor="text1"/>
          <w:kern w:val="24"/>
          <w:sz w:val="24"/>
          <w:lang w:val="en-US" w:eastAsia="zh-CN"/>
          <w14:textFill>
            <w14:solidFill>
              <w14:schemeClr w14:val="tx1"/>
            </w14:solidFill>
          </w14:textFill>
        </w:rPr>
        <w:t xml:space="preserve">，占地规模为中型。该项目位于克拉玛依高新技术产业开发区内，周边无“耕地、园地、牧草地、饮用水水源地或居住区、学校、医院、疗养院、养老院等土壤环境敏感目标”，因此，取敏感程度为不敏感。综上所述，本项目土壤环境评价等级为三级。 </w:t>
      </w:r>
    </w:p>
    <w:p>
      <w:pPr>
        <w:pStyle w:val="18"/>
        <w:keepNext w:val="0"/>
        <w:keepLines w:val="0"/>
        <w:pageBreakBefore w:val="0"/>
        <w:widowControl w:val="0"/>
        <w:kinsoku/>
        <w:wordWrap/>
        <w:overflowPunct/>
        <w:topLinePunct w:val="0"/>
        <w:autoSpaceDE/>
        <w:autoSpaceDN/>
        <w:bidi w:val="0"/>
        <w:adjustRightInd/>
        <w:snapToGrid/>
        <w:spacing w:before="0" w:after="0" w:line="360" w:lineRule="auto"/>
        <w:ind w:firstLine="512" w:firstLineChars="200"/>
        <w:textAlignment w:val="auto"/>
        <w:rPr>
          <w:rFonts w:hint="default" w:ascii="Times New Roman" w:hAnsi="Times New Roman" w:cs="Times New Roman"/>
          <w:color w:val="000000" w:themeColor="text1"/>
          <w:kern w:val="24"/>
          <w:sz w:val="24"/>
          <w:lang w:val="en-US" w:eastAsia="zh-CN"/>
          <w14:textFill>
            <w14:solidFill>
              <w14:schemeClr w14:val="tx1"/>
            </w14:solidFill>
          </w14:textFill>
        </w:rPr>
      </w:pPr>
      <w:r>
        <w:rPr>
          <w:rFonts w:hint="eastAsia" w:ascii="Times New Roman" w:hAnsi="Times New Roman" w:cs="Times New Roman"/>
          <w:color w:val="000000" w:themeColor="text1"/>
          <w:kern w:val="24"/>
          <w:sz w:val="24"/>
          <w:lang w:val="en-US" w:eastAsia="zh-CN"/>
          <w14:textFill>
            <w14:solidFill>
              <w14:schemeClr w14:val="tx1"/>
            </w14:solidFill>
          </w14:textFill>
        </w:rPr>
        <w:t>评价范围为项目占地范围外0.05km范围内。</w:t>
      </w:r>
    </w:p>
    <w:p>
      <w:pPr>
        <w:pStyle w:val="5"/>
        <w:keepNext w:val="0"/>
        <w:keepLines w:val="0"/>
        <w:overflowPunct w:val="0"/>
        <w:spacing w:before="0" w:after="0" w:line="360" w:lineRule="auto"/>
        <w:rPr>
          <w:rFonts w:hint="eastAsia" w:ascii="Times New Roman" w:hAnsi="Times New Roman" w:eastAsia="宋体" w:cs="Times New Roman"/>
          <w:bCs w:val="0"/>
          <w:color w:val="000000" w:themeColor="text1"/>
          <w:kern w:val="0"/>
          <w:sz w:val="28"/>
          <w:szCs w:val="28"/>
          <w:lang w:val="en-US" w:eastAsia="zh-CN"/>
          <w14:textFill>
            <w14:solidFill>
              <w14:schemeClr w14:val="tx1"/>
            </w14:solidFill>
          </w14:textFill>
        </w:rPr>
      </w:pPr>
      <w:r>
        <w:rPr>
          <w:rFonts w:hint="eastAsia" w:ascii="Times New Roman" w:hAnsi="Times New Roman" w:cs="Times New Roman"/>
          <w:bCs w:val="0"/>
          <w:color w:val="000000" w:themeColor="text1"/>
          <w:kern w:val="0"/>
          <w:sz w:val="28"/>
          <w:szCs w:val="28"/>
          <w:lang w:val="zh-CN"/>
          <w14:textFill>
            <w14:solidFill>
              <w14:schemeClr w14:val="tx1"/>
            </w14:solidFill>
          </w14:textFill>
        </w:rPr>
        <w:t>5.6</w:t>
      </w:r>
      <w:r>
        <w:rPr>
          <w:rFonts w:hint="default" w:ascii="Times New Roman" w:hAnsi="Times New Roman" w:cs="Times New Roman"/>
          <w:bCs w:val="0"/>
          <w:color w:val="000000" w:themeColor="text1"/>
          <w:kern w:val="0"/>
          <w:sz w:val="28"/>
          <w:szCs w:val="28"/>
          <w:lang w:val="zh-CN"/>
          <w14:textFill>
            <w14:solidFill>
              <w14:schemeClr w14:val="tx1"/>
            </w14:solidFill>
          </w14:textFill>
        </w:rPr>
        <w:t>.</w:t>
      </w:r>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2 预测分析</w:t>
      </w:r>
    </w:p>
    <w:p>
      <w:pPr>
        <w:pStyle w:val="6"/>
        <w:spacing w:before="0" w:after="0" w:line="360" w:lineRule="auto"/>
        <w:rPr>
          <w:rFonts w:hint="eastAsia" w:ascii="Times New Roman" w:hAnsi="Times New Roman" w:eastAsia="宋体" w:cs="Times New Roman"/>
          <w:b/>
          <w:bCs/>
          <w:color w:val="000000" w:themeColor="text1"/>
          <w:lang w:eastAsia="zh-CN"/>
          <w14:textFill>
            <w14:solidFill>
              <w14:schemeClr w14:val="tx1"/>
            </w14:solidFill>
          </w14:textFill>
        </w:rPr>
      </w:pPr>
      <w:r>
        <w:rPr>
          <w:rFonts w:hint="eastAsia" w:ascii="Times New Roman" w:hAnsi="Times New Roman" w:eastAsia="宋体" w:cs="Times New Roman"/>
          <w:b/>
          <w:bCs/>
          <w:color w:val="000000" w:themeColor="text1"/>
          <w:lang w:eastAsia="zh-CN"/>
          <w14:textFill>
            <w14:solidFill>
              <w14:schemeClr w14:val="tx1"/>
            </w14:solidFill>
          </w14:textFill>
        </w:rPr>
        <w:t>5.6</w:t>
      </w:r>
      <w:r>
        <w:rPr>
          <w:rFonts w:hint="default" w:ascii="Times New Roman" w:hAnsi="Times New Roman" w:eastAsia="宋体" w:cs="Times New Roman"/>
          <w:b/>
          <w:bCs/>
          <w:color w:val="000000" w:themeColor="text1"/>
          <w14:textFill>
            <w14:solidFill>
              <w14:schemeClr w14:val="tx1"/>
            </w14:solidFill>
          </w14:textFill>
        </w:rPr>
        <w:t>.</w:t>
      </w:r>
      <w:r>
        <w:rPr>
          <w:rFonts w:hint="eastAsia"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.1</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lang w:eastAsia="zh-CN"/>
          <w14:textFill>
            <w14:solidFill>
              <w14:schemeClr w14:val="tx1"/>
            </w14:solidFill>
          </w14:textFill>
        </w:rPr>
        <w:t>废气对土壤环境的影响</w:t>
      </w:r>
    </w:p>
    <w:p>
      <w:pPr>
        <w:pStyle w:val="18"/>
        <w:keepNext w:val="0"/>
        <w:keepLines w:val="0"/>
        <w:pageBreakBefore w:val="0"/>
        <w:widowControl w:val="0"/>
        <w:kinsoku/>
        <w:wordWrap/>
        <w:overflowPunct/>
        <w:topLinePunct w:val="0"/>
        <w:autoSpaceDE/>
        <w:autoSpaceDN/>
        <w:bidi w:val="0"/>
        <w:adjustRightInd/>
        <w:snapToGrid/>
        <w:spacing w:before="0" w:after="0" w:line="360" w:lineRule="auto"/>
        <w:ind w:firstLine="512" w:firstLineChars="200"/>
        <w:textAlignment w:val="auto"/>
        <w:rPr>
          <w:rFonts w:hint="eastAsia" w:ascii="Times New Roman" w:hAnsi="Times New Roman" w:cs="Times New Roman"/>
          <w:color w:val="000000" w:themeColor="text1"/>
          <w:kern w:val="24"/>
          <w:sz w:val="24"/>
          <w:lang w:val="en-US" w:eastAsia="zh-CN"/>
          <w14:textFill>
            <w14:solidFill>
              <w14:schemeClr w14:val="tx1"/>
            </w14:solidFill>
          </w14:textFill>
        </w:rPr>
      </w:pPr>
      <w:r>
        <w:rPr>
          <w:rFonts w:hint="eastAsia" w:ascii="Times New Roman" w:hAnsi="Times New Roman" w:cs="Times New Roman"/>
          <w:color w:val="000000" w:themeColor="text1"/>
          <w:kern w:val="24"/>
          <w:sz w:val="24"/>
          <w:lang w:val="en-US" w:eastAsia="zh-CN"/>
          <w14:textFill>
            <w14:solidFill>
              <w14:schemeClr w14:val="tx1"/>
            </w14:solidFill>
          </w14:textFill>
        </w:rPr>
        <w:t>本项目新建一座</w:t>
      </w:r>
      <w:r>
        <w:rPr>
          <w:rFonts w:hint="eastAsia" w:ascii="Times New Roman" w:cs="Times New Roman"/>
          <w:color w:val="000000" w:themeColor="text1"/>
          <w:kern w:val="24"/>
          <w:sz w:val="24"/>
          <w:lang w:val="en-US" w:eastAsia="zh-CN"/>
          <w14:textFill>
            <w14:solidFill>
              <w14:schemeClr w14:val="tx1"/>
            </w14:solidFill>
          </w14:textFill>
        </w:rPr>
        <w:t>80</w:t>
      </w:r>
      <w:r>
        <w:rPr>
          <w:rFonts w:hint="eastAsia" w:ascii="Times New Roman" w:hAnsi="Times New Roman" w:cs="Times New Roman"/>
          <w:color w:val="000000" w:themeColor="text1"/>
          <w:kern w:val="24"/>
          <w:sz w:val="24"/>
          <w:lang w:val="en-US" w:eastAsia="zh-CN"/>
          <w14:textFill>
            <w14:solidFill>
              <w14:schemeClr w14:val="tx1"/>
            </w14:solidFill>
          </w14:textFill>
        </w:rPr>
        <w:t>m高烟囱，除尘采用布袋除尘器，除尘效率不低十99.8%；烟气脱硫采用烟气循环流化床干法脱硫工艺，脱硫效率92%以上，系统综合脱硫效率达到95%以上；采用S</w:t>
      </w:r>
      <w:r>
        <w:rPr>
          <w:rFonts w:hint="eastAsia" w:ascii="Times New Roman" w:cs="Times New Roman"/>
          <w:color w:val="000000" w:themeColor="text1"/>
          <w:kern w:val="24"/>
          <w:sz w:val="24"/>
          <w:lang w:val="en-US" w:eastAsia="zh-CN"/>
          <w14:textFill>
            <w14:solidFill>
              <w14:schemeClr w14:val="tx1"/>
            </w14:solidFill>
          </w14:textFill>
        </w:rPr>
        <w:t>N</w:t>
      </w:r>
      <w:r>
        <w:rPr>
          <w:rFonts w:hint="eastAsia" w:ascii="Times New Roman" w:hAnsi="Times New Roman" w:cs="Times New Roman"/>
          <w:color w:val="000000" w:themeColor="text1"/>
          <w:kern w:val="24"/>
          <w:sz w:val="24"/>
          <w:lang w:val="en-US" w:eastAsia="zh-CN"/>
          <w14:textFill>
            <w14:solidFill>
              <w14:schemeClr w14:val="tx1"/>
            </w14:solidFill>
          </w14:textFill>
        </w:rPr>
        <w:t>CR脱硝装置脱硝，脱硝效率不低于</w:t>
      </w:r>
      <w:r>
        <w:rPr>
          <w:rFonts w:hint="eastAsia" w:ascii="Times New Roman" w:cs="Times New Roman"/>
          <w:color w:val="000000" w:themeColor="text1"/>
          <w:kern w:val="24"/>
          <w:sz w:val="24"/>
          <w:lang w:val="en-US" w:eastAsia="zh-CN"/>
          <w14:textFill>
            <w14:solidFill>
              <w14:schemeClr w14:val="tx1"/>
            </w14:solidFill>
          </w14:textFill>
        </w:rPr>
        <w:t>60</w:t>
      </w:r>
      <w:r>
        <w:rPr>
          <w:rFonts w:hint="eastAsia" w:ascii="Times New Roman" w:hAnsi="Times New Roman" w:cs="Times New Roman"/>
          <w:color w:val="000000" w:themeColor="text1"/>
          <w:kern w:val="24"/>
          <w:sz w:val="24"/>
          <w:lang w:val="en-US" w:eastAsia="zh-CN"/>
          <w14:textFill>
            <w14:solidFill>
              <w14:schemeClr w14:val="tx1"/>
            </w14:solidFill>
          </w14:textFill>
        </w:rPr>
        <w:t>%。产生的废物污染物主要包括SO</w:t>
      </w:r>
      <w:r>
        <w:rPr>
          <w:rFonts w:hint="eastAsia" w:ascii="Times New Roman" w:hAnsi="Times New Roman" w:cs="Times New Roman"/>
          <w:color w:val="000000" w:themeColor="text1"/>
          <w:kern w:val="24"/>
          <w:sz w:val="24"/>
          <w:vertAlign w:val="subscript"/>
          <w:lang w:val="en-US" w:eastAsia="zh-CN"/>
          <w14:textFill>
            <w14:solidFill>
              <w14:schemeClr w14:val="tx1"/>
            </w14:solidFill>
          </w14:textFill>
        </w:rPr>
        <w:t>2</w:t>
      </w:r>
      <w:r>
        <w:rPr>
          <w:rFonts w:hint="eastAsia" w:ascii="Times New Roman" w:hAnsi="Times New Roman" w:cs="Times New Roman"/>
          <w:color w:val="000000" w:themeColor="text1"/>
          <w:kern w:val="24"/>
          <w:sz w:val="24"/>
          <w:lang w:val="en-US" w:eastAsia="zh-CN"/>
          <w14:textFill>
            <w14:solidFill>
              <w14:schemeClr w14:val="tx1"/>
            </w14:solidFill>
          </w14:textFill>
        </w:rPr>
        <w:t>、NO</w:t>
      </w:r>
      <w:r>
        <w:rPr>
          <w:rFonts w:hint="eastAsia" w:ascii="Times New Roman" w:hAnsi="Times New Roman" w:cs="Times New Roman"/>
          <w:color w:val="000000" w:themeColor="text1"/>
          <w:kern w:val="24"/>
          <w:sz w:val="24"/>
          <w:vertAlign w:val="subscript"/>
          <w:lang w:val="en-US" w:eastAsia="zh-CN"/>
          <w14:textFill>
            <w14:solidFill>
              <w14:schemeClr w14:val="tx1"/>
            </w14:solidFill>
          </w14:textFill>
        </w:rPr>
        <w:t>x</w:t>
      </w:r>
      <w:r>
        <w:rPr>
          <w:rFonts w:hint="eastAsia" w:ascii="Times New Roman" w:hAnsi="Times New Roman" w:cs="Times New Roman"/>
          <w:color w:val="000000" w:themeColor="text1"/>
          <w:kern w:val="24"/>
          <w:sz w:val="24"/>
          <w:lang w:val="en-US" w:eastAsia="zh-CN"/>
          <w14:textFill>
            <w14:solidFill>
              <w14:schemeClr w14:val="tx1"/>
            </w14:solidFill>
          </w14:textFill>
        </w:rPr>
        <w:t>、颗粒物，其总量小，结合土壤质量标准，无对应的污染物指标，对土壤影响小。</w:t>
      </w:r>
    </w:p>
    <w:p>
      <w:pPr>
        <w:pStyle w:val="6"/>
        <w:spacing w:before="0" w:after="0" w:line="360" w:lineRule="auto"/>
        <w:rPr>
          <w:rFonts w:hint="eastAsia" w:ascii="Times New Roman" w:hAnsi="Times New Roman" w:eastAsia="宋体" w:cs="Times New Roman"/>
          <w:b/>
          <w:bCs/>
          <w:color w:val="000000" w:themeColor="text1"/>
          <w:lang w:eastAsia="zh-CN"/>
          <w14:textFill>
            <w14:solidFill>
              <w14:schemeClr w14:val="tx1"/>
            </w14:solidFill>
          </w14:textFill>
        </w:rPr>
      </w:pPr>
      <w:r>
        <w:rPr>
          <w:rFonts w:hint="eastAsia" w:ascii="Times New Roman" w:hAnsi="Times New Roman" w:eastAsia="宋体" w:cs="Times New Roman"/>
          <w:b/>
          <w:bCs/>
          <w:color w:val="000000" w:themeColor="text1"/>
          <w:lang w:eastAsia="zh-CN"/>
          <w14:textFill>
            <w14:solidFill>
              <w14:schemeClr w14:val="tx1"/>
            </w14:solidFill>
          </w14:textFill>
        </w:rPr>
        <w:t>5.6</w:t>
      </w:r>
      <w:r>
        <w:rPr>
          <w:rFonts w:hint="default" w:ascii="Times New Roman" w:hAnsi="Times New Roman" w:eastAsia="宋体" w:cs="Times New Roman"/>
          <w:b/>
          <w:bCs/>
          <w:color w:val="000000" w:themeColor="text1"/>
          <w14:textFill>
            <w14:solidFill>
              <w14:schemeClr w14:val="tx1"/>
            </w14:solidFill>
          </w14:textFill>
        </w:rPr>
        <w:t>.</w:t>
      </w:r>
      <w:r>
        <w:rPr>
          <w:rFonts w:hint="eastAsia"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2 </w:t>
      </w:r>
      <w:r>
        <w:rPr>
          <w:rFonts w:hint="eastAsia" w:ascii="Times New Roman" w:hAnsi="Times New Roman" w:eastAsia="宋体" w:cs="Times New Roman"/>
          <w:b/>
          <w:bCs/>
          <w:color w:val="000000" w:themeColor="text1"/>
          <w:lang w:eastAsia="zh-CN"/>
          <w14:textFill>
            <w14:solidFill>
              <w14:schemeClr w14:val="tx1"/>
            </w14:solidFill>
          </w14:textFill>
        </w:rPr>
        <w:t>废水对土壤环境的影响</w:t>
      </w:r>
    </w:p>
    <w:p>
      <w:pPr>
        <w:pStyle w:val="2"/>
        <w:keepNext w:val="0"/>
        <w:keepLines w:val="0"/>
        <w:pageBreakBefore w:val="0"/>
        <w:widowControl w:val="0"/>
        <w:shd w:val="clear" w:color="auto" w:fill="auto"/>
        <w:kinsoku/>
        <w:wordWrap/>
        <w:overflowPunct/>
        <w:topLinePunct w:val="0"/>
        <w:autoSpaceDE/>
        <w:autoSpaceDN/>
        <w:bidi w:val="0"/>
        <w:adjustRightInd w:val="0"/>
        <w:snapToGrid w:val="0"/>
        <w:spacing w:before="0" w:line="360" w:lineRule="auto"/>
        <w:ind w:firstLine="480" w:firstLineChars="200"/>
        <w:jc w:val="both"/>
        <w:textAlignment w:val="auto"/>
        <w:rPr>
          <w:rFonts w:hint="eastAsia" w:ascii="Times New Roman" w:hAnsi="Times New Roman" w:eastAsia="宋体" w:cs="Times New Roman"/>
          <w:snapToGrid w:val="0"/>
          <w:color w:val="000000" w:themeColor="text1"/>
          <w:kern w:val="0"/>
          <w:lang w:eastAsia="zh-CN"/>
          <w14:textFill>
            <w14:solidFill>
              <w14:schemeClr w14:val="tx1"/>
            </w14:solidFill>
          </w14:textFill>
        </w:rPr>
      </w:pP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主厂房和各辅助建筑物的生活污水，排入生活污水下水道并接入生活污水处理站进行处理，处理后的水夏季作为厂区绿化及道路浇洒用水。电厂冬季生活污水经处理后排入厂区工业废水处理站内的清水池内回用</w:t>
      </w:r>
      <w:r>
        <w:rPr>
          <w:rFonts w:hint="eastAsia" w:cs="Times New Roman"/>
          <w:color w:val="000000" w:themeColor="text1"/>
          <w:spacing w:val="0"/>
          <w:w w:val="100"/>
          <w:position w:val="0"/>
          <w:sz w:val="24"/>
          <w:szCs w:val="24"/>
          <w:u w:val="none"/>
          <w:lang w:val="zh-CN" w:eastAsia="zh-CN" w:bidi="zh-CN"/>
          <w14:textFill>
            <w14:solidFill>
              <w14:schemeClr w14:val="tx1"/>
            </w14:solidFill>
          </w14:textFill>
        </w:rPr>
        <w:t>；</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化学水处理室排出的水在化学水处理车间内分别进行回收至工业废水处理站处理后回用</w:t>
      </w:r>
      <w:r>
        <w:rPr>
          <w:rFonts w:hint="eastAsia" w:cs="Times New Roman"/>
          <w:color w:val="000000" w:themeColor="text1"/>
          <w:spacing w:val="0"/>
          <w:w w:val="100"/>
          <w:position w:val="0"/>
          <w:sz w:val="24"/>
          <w:szCs w:val="24"/>
          <w:u w:val="none"/>
          <w:lang w:val="zh-CN" w:eastAsia="zh-CN" w:bidi="zh-CN"/>
          <w14:textFill>
            <w14:solidFill>
              <w14:schemeClr w14:val="tx1"/>
            </w14:solidFill>
          </w14:textFill>
        </w:rPr>
        <w:t>；</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主厂房区域的锅炉定排水经过定排井回收后经升压送至厂区循环水系统</w:t>
      </w:r>
      <w:r>
        <w:rPr>
          <w:rFonts w:hint="eastAsia" w:cs="Times New Roman"/>
          <w:color w:val="000000" w:themeColor="text1"/>
          <w:spacing w:val="0"/>
          <w:w w:val="100"/>
          <w:position w:val="0"/>
          <w:sz w:val="24"/>
          <w:szCs w:val="24"/>
          <w:u w:val="none"/>
          <w:lang w:val="zh-CN" w:eastAsia="zh-CN" w:bidi="zh-CN"/>
          <w14:textFill>
            <w14:solidFill>
              <w14:schemeClr w14:val="tx1"/>
            </w14:solidFill>
          </w14:textFill>
        </w:rPr>
        <w:t>；</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根据锅炉补给水处理系</w:t>
      </w:r>
      <w:r>
        <w:rPr>
          <w:rFonts w:hint="eastAsia" w:ascii="Times New Roman" w:hAnsi="Times New Roman" w:eastAsia="宋体" w:cs="Times New Roman"/>
          <w:color w:val="000000" w:themeColor="text1"/>
          <w:kern w:val="24"/>
          <w:sz w:val="24"/>
          <w:szCs w:val="22"/>
          <w:lang w:val="zh-CN" w:eastAsia="zh-CN" w:bidi="ar-SA"/>
          <w14:textFill>
            <w14:solidFill>
              <w14:schemeClr w14:val="tx1"/>
            </w14:solidFill>
          </w14:textFill>
        </w:rPr>
        <w:t>统方案，本工程运行期间无外排废水</w:t>
      </w:r>
      <w:r>
        <w:rPr>
          <w:rFonts w:hint="default" w:ascii="Times New Roman" w:hAnsi="Times New Roman" w:eastAsia="宋体" w:cs="Times New Roman"/>
          <w:color w:val="000000" w:themeColor="text1"/>
          <w:kern w:val="24"/>
          <w:sz w:val="24"/>
          <w:szCs w:val="22"/>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4"/>
          <w:sz w:val="24"/>
          <w:szCs w:val="22"/>
          <w:lang w:val="en-US" w:eastAsia="zh-CN" w:bidi="ar-SA"/>
          <w14:textFill>
            <w14:solidFill>
              <w14:schemeClr w14:val="tx1"/>
            </w14:solidFill>
          </w14:textFill>
        </w:rPr>
        <w:t>其中</w:t>
      </w:r>
      <w:r>
        <w:rPr>
          <w:rFonts w:hint="eastAsia" w:ascii="Times New Roman" w:hAnsi="Times New Roman" w:cs="Times New Roman"/>
          <w:color w:val="000000" w:themeColor="text1"/>
          <w:kern w:val="24"/>
          <w:sz w:val="24"/>
          <w:szCs w:val="22"/>
          <w:lang w:val="en-US" w:eastAsia="zh-CN" w:bidi="ar-SA"/>
          <w14:textFill>
            <w14:solidFill>
              <w14:schemeClr w14:val="tx1"/>
            </w14:solidFill>
          </w14:textFill>
        </w:rPr>
        <w:t>废水中</w:t>
      </w:r>
      <w:r>
        <w:rPr>
          <w:rFonts w:hint="eastAsia" w:ascii="Times New Roman" w:hAnsi="Times New Roman" w:eastAsia="宋体" w:cs="Times New Roman"/>
          <w:color w:val="000000" w:themeColor="text1"/>
          <w:kern w:val="24"/>
          <w:sz w:val="24"/>
          <w:szCs w:val="22"/>
          <w:lang w:val="en-US" w:eastAsia="zh-CN" w:bidi="ar-SA"/>
          <w14:textFill>
            <w14:solidFill>
              <w14:schemeClr w14:val="tx1"/>
            </w14:solidFill>
          </w14:textFill>
        </w:rPr>
        <w:t>不包含重金属及常见的挥发性有机物，不对土壤产生影响。</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000000" w:themeColor="text1"/>
          <w:lang w:eastAsia="zh-CN"/>
          <w14:textFill>
            <w14:solidFill>
              <w14:schemeClr w14:val="tx1"/>
            </w14:solidFill>
          </w14:textFill>
        </w:rPr>
      </w:pPr>
      <w:r>
        <w:rPr>
          <w:rFonts w:hint="eastAsia" w:ascii="Times New Roman" w:hAnsi="Times New Roman" w:eastAsia="宋体" w:cs="Times New Roman"/>
          <w:b/>
          <w:bCs/>
          <w:color w:val="000000" w:themeColor="text1"/>
          <w:lang w:eastAsia="zh-CN"/>
          <w14:textFill>
            <w14:solidFill>
              <w14:schemeClr w14:val="tx1"/>
            </w14:solidFill>
          </w14:textFill>
        </w:rPr>
        <w:t>5.6</w:t>
      </w:r>
      <w:r>
        <w:rPr>
          <w:rFonts w:hint="default" w:ascii="Times New Roman" w:hAnsi="Times New Roman" w:eastAsia="宋体" w:cs="Times New Roman"/>
          <w:b/>
          <w:bCs/>
          <w:color w:val="000000" w:themeColor="text1"/>
          <w14:textFill>
            <w14:solidFill>
              <w14:schemeClr w14:val="tx1"/>
            </w14:solidFill>
          </w14:textFill>
        </w:rPr>
        <w:t>.</w:t>
      </w:r>
      <w:r>
        <w:rPr>
          <w:rFonts w:hint="eastAsia"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3 </w:t>
      </w:r>
      <w:r>
        <w:rPr>
          <w:rFonts w:hint="eastAsia" w:ascii="Times New Roman" w:hAnsi="Times New Roman" w:eastAsia="宋体" w:cs="Times New Roman"/>
          <w:b/>
          <w:bCs/>
          <w:color w:val="000000" w:themeColor="text1"/>
          <w:lang w:eastAsia="zh-CN"/>
          <w14:textFill>
            <w14:solidFill>
              <w14:schemeClr w14:val="tx1"/>
            </w14:solidFill>
          </w14:textFill>
        </w:rPr>
        <w:t>固体废弃物对土壤环境的影响</w:t>
      </w:r>
    </w:p>
    <w:p>
      <w:pPr>
        <w:pStyle w:val="18"/>
        <w:keepNext w:val="0"/>
        <w:keepLines w:val="0"/>
        <w:pageBreakBefore w:val="0"/>
        <w:widowControl w:val="0"/>
        <w:kinsoku/>
        <w:wordWrap/>
        <w:overflowPunct/>
        <w:topLinePunct w:val="0"/>
        <w:autoSpaceDE/>
        <w:autoSpaceDN/>
        <w:bidi w:val="0"/>
        <w:adjustRightInd/>
        <w:snapToGrid/>
        <w:spacing w:before="0" w:after="0" w:line="360" w:lineRule="auto"/>
        <w:ind w:firstLine="512" w:firstLineChars="200"/>
        <w:textAlignment w:val="auto"/>
        <w:rPr>
          <w:rFonts w:hint="default" w:ascii="Times New Roman" w:hAnsi="Times New Roman" w:cs="Times New Roman"/>
          <w:color w:val="000000" w:themeColor="text1"/>
          <w:kern w:val="24"/>
          <w:sz w:val="24"/>
          <w:lang w:val="en-US" w:eastAsia="zh-CN"/>
          <w14:textFill>
            <w14:solidFill>
              <w14:schemeClr w14:val="tx1"/>
            </w14:solidFill>
          </w14:textFill>
        </w:rPr>
      </w:pPr>
      <w:r>
        <w:rPr>
          <w:rFonts w:hint="default" w:ascii="Times New Roman" w:hAnsi="Times New Roman" w:cs="Times New Roman"/>
          <w:color w:val="000000" w:themeColor="text1"/>
          <w:kern w:val="24"/>
          <w:sz w:val="24"/>
          <w:lang w:val="en-US" w:eastAsia="zh-CN"/>
          <w14:textFill>
            <w14:solidFill>
              <w14:schemeClr w14:val="tx1"/>
            </w14:solidFill>
          </w14:textFill>
        </w:rPr>
        <w:t>固体废弃物在掩埋或堆放过程中产生的渗出液、滤沥液进入土壤，能改变土质和土壤结构，影响土壤微生物的活动，危害土壤环境。</w:t>
      </w:r>
    </w:p>
    <w:p>
      <w:pPr>
        <w:pStyle w:val="18"/>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color w:val="000000" w:themeColor="text1"/>
          <w:kern w:val="24"/>
          <w:sz w:val="24"/>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本项目锅炉采用水煤浆做燃料，锅炉无排渣</w:t>
      </w:r>
      <w:r>
        <w:rPr>
          <w:rFonts w:hint="default" w:ascii="Times New Roman" w:hAnsi="Times New Roman" w:cs="Times New Roman"/>
          <w:color w:val="000000" w:themeColor="text1"/>
          <w:spacing w:val="0"/>
          <w:w w:val="100"/>
          <w:position w:val="0"/>
          <w:sz w:val="24"/>
          <w:szCs w:val="24"/>
          <w:u w:val="none"/>
          <w:lang w:val="zh-CN" w:eastAsia="zh-CN" w:bidi="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脱硫后产生脱硫灰的输送采用管正压气力输灰系统输送至脱硫灰库。本项目设置一座钢筋混凝土脱硫灰库</w:t>
      </w:r>
      <w:r>
        <w:rPr>
          <w:rFonts w:hint="default" w:ascii="Times New Roman" w:hAnsi="Times New Roman" w:cs="Times New Roman"/>
          <w:color w:val="000000" w:themeColor="text1"/>
          <w:spacing w:val="0"/>
          <w:w w:val="100"/>
          <w:position w:val="0"/>
          <w:sz w:val="24"/>
          <w:szCs w:val="24"/>
          <w:u w:val="none"/>
          <w:lang w:val="zh-CN" w:eastAsia="zh-CN" w:bidi="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全厂运行期间生活垃圾排放量约</w:t>
      </w:r>
      <w:r>
        <w:rPr>
          <w:rFonts w:hint="default" w:ascii="Times New Roman" w:hAnsi="Times New Roman" w:eastAsia="宋体" w:cs="Times New Roman"/>
          <w:color w:val="000000" w:themeColor="text1"/>
          <w:spacing w:val="0"/>
          <w:w w:val="100"/>
          <w:position w:val="0"/>
          <w:sz w:val="24"/>
          <w:szCs w:val="24"/>
          <w:u w:val="none"/>
          <w:lang w:val="en-US" w:eastAsia="en-US" w:bidi="zh-CN"/>
          <w14:textFill>
            <w14:solidFill>
              <w14:schemeClr w14:val="tx1"/>
            </w14:solidFill>
          </w14:textFill>
        </w:rPr>
        <w:t>27</w:t>
      </w: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t</w:t>
      </w:r>
      <w:r>
        <w:rPr>
          <w:rFonts w:hint="default" w:ascii="Times New Roman" w:hAnsi="Times New Roman" w:eastAsia="宋体" w:cs="Times New Roman"/>
          <w:color w:val="000000" w:themeColor="text1"/>
          <w:spacing w:val="0"/>
          <w:w w:val="100"/>
          <w:position w:val="0"/>
          <w:sz w:val="24"/>
          <w:szCs w:val="24"/>
          <w:u w:val="none"/>
          <w:lang w:val="en-US" w:eastAsia="en-US" w:bidi="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a</w:t>
      </w:r>
      <w:r>
        <w:rPr>
          <w:rFonts w:hint="default" w:ascii="Times New Roman" w:hAnsi="Times New Roman" w:eastAsia="宋体" w:cs="Times New Roman"/>
          <w:color w:val="000000" w:themeColor="text1"/>
          <w:spacing w:val="0"/>
          <w:w w:val="100"/>
          <w:position w:val="0"/>
          <w:sz w:val="24"/>
          <w:szCs w:val="24"/>
          <w:u w:val="none"/>
          <w:lang w:val="en-US" w:eastAsia="en-US" w:bidi="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集中收集后统一运至当地生活垃圾填埋场处理</w:t>
      </w:r>
      <w:r>
        <w:rPr>
          <w:rFonts w:hint="default" w:ascii="Times New Roman" w:hAnsi="Times New Roman" w:cs="Times New Roman"/>
          <w:color w:val="000000" w:themeColor="text1"/>
          <w:kern w:val="24"/>
          <w:sz w:val="24"/>
          <w:lang w:val="en-US" w:eastAsia="zh-CN"/>
          <w14:textFill>
            <w14:solidFill>
              <w14:schemeClr w14:val="tx1"/>
            </w14:solidFill>
          </w14:textFill>
        </w:rPr>
        <w:t>。</w:t>
      </w:r>
    </w:p>
    <w:p>
      <w:pPr>
        <w:pStyle w:val="18"/>
        <w:keepNext w:val="0"/>
        <w:keepLines w:val="0"/>
        <w:pageBreakBefore w:val="0"/>
        <w:widowControl w:val="0"/>
        <w:kinsoku/>
        <w:wordWrap/>
        <w:overflowPunct/>
        <w:topLinePunct w:val="0"/>
        <w:autoSpaceDE/>
        <w:autoSpaceDN/>
        <w:bidi w:val="0"/>
        <w:adjustRightInd/>
        <w:snapToGrid/>
        <w:spacing w:before="0" w:after="0" w:line="360" w:lineRule="auto"/>
        <w:ind w:firstLine="512" w:firstLineChars="200"/>
        <w:textAlignment w:val="auto"/>
        <w:rPr>
          <w:rFonts w:hint="default" w:ascii="Times New Roman" w:hAnsi="Times New Roman" w:cs="Times New Roman"/>
          <w:color w:val="000000" w:themeColor="text1"/>
          <w:kern w:val="24"/>
          <w:sz w:val="24"/>
          <w:lang w:val="en-US" w:eastAsia="zh-CN"/>
          <w14:textFill>
            <w14:solidFill>
              <w14:schemeClr w14:val="tx1"/>
            </w14:solidFill>
          </w14:textFill>
        </w:rPr>
      </w:pPr>
      <w:r>
        <w:rPr>
          <w:rFonts w:hint="default" w:ascii="Times New Roman" w:hAnsi="Times New Roman" w:cs="Times New Roman"/>
          <w:color w:val="000000" w:themeColor="text1"/>
          <w:kern w:val="24"/>
          <w:sz w:val="24"/>
          <w:lang w:val="en-US" w:eastAsia="zh-CN"/>
          <w14:textFill>
            <w14:solidFill>
              <w14:schemeClr w14:val="tx1"/>
            </w14:solidFill>
          </w14:textFill>
        </w:rPr>
        <w:t>由上述处置措施可知，本项目各固废都得到了有效处置，脱硫灰有专门的</w:t>
      </w: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钢筋混凝土脱硫灰库</w:t>
      </w:r>
      <w:r>
        <w:rPr>
          <w:rFonts w:hint="default" w:ascii="Times New Roman" w:hAnsi="Times New Roman" w:cs="Times New Roman"/>
          <w:color w:val="000000" w:themeColor="text1"/>
          <w:kern w:val="24"/>
          <w:sz w:val="24"/>
          <w:lang w:val="en-US" w:eastAsia="zh-CN"/>
          <w14:textFill>
            <w14:solidFill>
              <w14:schemeClr w14:val="tx1"/>
            </w14:solidFill>
          </w14:textFill>
        </w:rPr>
        <w:t>，具有良好的防渗措施，且滤沥液中不含土壤质量限值中污染物项目，对土壤产生影响的可能性小。</w:t>
      </w:r>
    </w:p>
    <w:p>
      <w:pPr>
        <w:pStyle w:val="5"/>
        <w:keepNext w:val="0"/>
        <w:keepLines w:val="0"/>
        <w:pageBreakBefore w:val="0"/>
        <w:widowControl w:val="0"/>
        <w:kinsoku/>
        <w:wordWrap/>
        <w:overflowPunct w:val="0"/>
        <w:topLinePunct w:val="0"/>
        <w:autoSpaceDE/>
        <w:autoSpaceDN/>
        <w:bidi w:val="0"/>
        <w:adjustRightInd/>
        <w:snapToGrid/>
        <w:spacing w:before="0" w:after="0" w:line="360" w:lineRule="auto"/>
        <w:textAlignment w:val="auto"/>
        <w:rPr>
          <w:rFonts w:hint="eastAsia" w:ascii="Times New Roman" w:hAnsi="Times New Roman" w:eastAsia="宋体" w:cs="Times New Roman"/>
          <w:bCs w:val="0"/>
          <w:color w:val="000000" w:themeColor="text1"/>
          <w:kern w:val="0"/>
          <w:sz w:val="28"/>
          <w:szCs w:val="28"/>
          <w:lang w:val="en-US" w:eastAsia="zh-CN"/>
          <w14:textFill>
            <w14:solidFill>
              <w14:schemeClr w14:val="tx1"/>
            </w14:solidFill>
          </w14:textFill>
        </w:rPr>
      </w:pPr>
      <w:r>
        <w:rPr>
          <w:rFonts w:hint="eastAsia" w:ascii="Times New Roman" w:hAnsi="Times New Roman" w:cs="Times New Roman"/>
          <w:bCs w:val="0"/>
          <w:color w:val="000000" w:themeColor="text1"/>
          <w:kern w:val="0"/>
          <w:sz w:val="28"/>
          <w:szCs w:val="28"/>
          <w:lang w:val="zh-CN"/>
          <w14:textFill>
            <w14:solidFill>
              <w14:schemeClr w14:val="tx1"/>
            </w14:solidFill>
          </w14:textFill>
        </w:rPr>
        <w:t>5.6</w:t>
      </w:r>
      <w:r>
        <w:rPr>
          <w:rFonts w:hint="default" w:ascii="Times New Roman" w:hAnsi="Times New Roman" w:cs="Times New Roman"/>
          <w:bCs w:val="0"/>
          <w:color w:val="000000" w:themeColor="text1"/>
          <w:kern w:val="0"/>
          <w:sz w:val="28"/>
          <w:szCs w:val="28"/>
          <w:lang w:val="zh-CN"/>
          <w14:textFill>
            <w14:solidFill>
              <w14:schemeClr w14:val="tx1"/>
            </w14:solidFill>
          </w14:textFill>
        </w:rPr>
        <w:t>.</w:t>
      </w:r>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3 土壤环境污染防控措施</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eastAsia="宋体" w:cs="Times New Roman"/>
          <w:b/>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8"/>
          <w:szCs w:val="28"/>
          <w:lang w:val="en-US" w:eastAsia="zh-CN" w:bidi="ar-SA"/>
          <w14:textFill>
            <w14:solidFill>
              <w14:schemeClr w14:val="tx1"/>
            </w14:solidFill>
          </w14:textFill>
        </w:rPr>
        <w:t>5.6</w:t>
      </w:r>
      <w:r>
        <w:rPr>
          <w:rFonts w:hint="eastAsia" w:ascii="Times New Roman" w:hAnsi="Times New Roman" w:eastAsia="宋体" w:cs="Times New Roman"/>
          <w:b/>
          <w:bCs/>
          <w:color w:val="000000" w:themeColor="text1"/>
          <w:kern w:val="2"/>
          <w:sz w:val="28"/>
          <w:szCs w:val="28"/>
          <w:lang w:val="en-US" w:eastAsia="zh-CN" w:bidi="ar-SA"/>
          <w14:textFill>
            <w14:solidFill>
              <w14:schemeClr w14:val="tx1"/>
            </w14:solidFill>
          </w14:textFill>
        </w:rPr>
        <w:t>.</w:t>
      </w:r>
      <w:r>
        <w:rPr>
          <w:rFonts w:hint="eastAsia" w:ascii="Times New Roman" w:hAnsi="Times New Roman" w:cs="Times New Roman"/>
          <w:b/>
          <w:bCs/>
          <w:color w:val="000000" w:themeColor="text1"/>
          <w:kern w:val="2"/>
          <w:sz w:val="28"/>
          <w:szCs w:val="28"/>
          <w:lang w:val="en-US" w:eastAsia="zh-CN" w:bidi="ar-SA"/>
          <w14:textFill>
            <w14:solidFill>
              <w14:schemeClr w14:val="tx1"/>
            </w14:solidFill>
          </w14:textFill>
        </w:rPr>
        <w:t>3</w:t>
      </w:r>
      <w:r>
        <w:rPr>
          <w:rFonts w:hint="eastAsia" w:ascii="Times New Roman" w:hAnsi="Times New Roman" w:eastAsia="宋体" w:cs="Times New Roman"/>
          <w:b/>
          <w:bCs/>
          <w:color w:val="000000" w:themeColor="text1"/>
          <w:kern w:val="2"/>
          <w:sz w:val="28"/>
          <w:szCs w:val="28"/>
          <w:lang w:val="en-US" w:eastAsia="zh-CN" w:bidi="ar-SA"/>
          <w14:textFill>
            <w14:solidFill>
              <w14:schemeClr w14:val="tx1"/>
            </w14:solidFill>
          </w14:textFill>
        </w:rPr>
        <w:t>.</w:t>
      </w:r>
      <w:r>
        <w:rPr>
          <w:rFonts w:hint="eastAsia" w:ascii="Times New Roman" w:hAnsi="Times New Roman" w:cs="Times New Roman"/>
          <w:b/>
          <w:bCs/>
          <w:color w:val="000000" w:themeColor="text1"/>
          <w:kern w:val="2"/>
          <w:sz w:val="28"/>
          <w:szCs w:val="28"/>
          <w:lang w:val="en-US" w:eastAsia="zh-CN" w:bidi="ar-SA"/>
          <w14:textFill>
            <w14:solidFill>
              <w14:schemeClr w14:val="tx1"/>
            </w14:solidFill>
          </w14:textFill>
        </w:rPr>
        <w:t>1</w:t>
      </w:r>
      <w:r>
        <w:rPr>
          <w:rFonts w:hint="eastAsia" w:ascii="Times New Roman" w:hAnsi="Times New Roman" w:eastAsia="宋体" w:cs="Times New Roman"/>
          <w:b/>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kern w:val="2"/>
          <w:sz w:val="28"/>
          <w:szCs w:val="28"/>
          <w:lang w:val="en-US" w:eastAsia="zh-CN" w:bidi="ar-SA"/>
          <w14:textFill>
            <w14:solidFill>
              <w14:schemeClr w14:val="tx1"/>
            </w14:solidFill>
          </w14:textFill>
        </w:rPr>
        <w:t>源头防控措施</w:t>
      </w:r>
    </w:p>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both"/>
        <w:textAlignment w:val="auto"/>
        <w:rPr>
          <w:rFonts w:hint="eastAsia" w:ascii="Times New Roman" w:hAnsi="Times New Roman" w:cs="Times New Roman"/>
          <w:color w:val="000000" w:themeColor="text1"/>
          <w:kern w:val="24"/>
          <w:sz w:val="24"/>
          <w:lang w:val="en-US" w:eastAsia="zh-CN"/>
          <w14:textFill>
            <w14:solidFill>
              <w14:schemeClr w14:val="tx1"/>
            </w14:solidFill>
          </w14:textFill>
        </w:rPr>
      </w:pPr>
      <w:r>
        <w:rPr>
          <w:rFonts w:hint="eastAsia" w:ascii="Times New Roman" w:hAnsi="Times New Roman" w:cs="Times New Roman"/>
          <w:color w:val="000000" w:themeColor="text1"/>
          <w:kern w:val="24"/>
          <w:sz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本项目</w:t>
      </w:r>
      <w:r>
        <w:rPr>
          <w:rFonts w:hint="eastAsia" w:ascii="Times New Roman" w:hAnsi="Times New Roman" w:cs="Times New Roman"/>
          <w:color w:val="000000" w:themeColor="text1"/>
          <w:sz w:val="24"/>
          <w:szCs w:val="24"/>
          <w:lang w:eastAsia="zh-CN"/>
          <w14:textFill>
            <w14:solidFill>
              <w14:schemeClr w14:val="tx1"/>
            </w14:solidFill>
          </w14:textFill>
        </w:rPr>
        <w:t>新建</w:t>
      </w:r>
      <w:r>
        <w:rPr>
          <w:rFonts w:hint="eastAsia" w:cs="Times New Roman"/>
          <w:color w:val="000000" w:themeColor="text1"/>
          <w:kern w:val="24"/>
          <w:sz w:val="24"/>
          <w:lang w:val="en-US" w:eastAsia="zh-CN"/>
          <w14:textFill>
            <w14:solidFill>
              <w14:schemeClr w14:val="tx1"/>
            </w14:solidFill>
          </w14:textFill>
        </w:rPr>
        <w:t>80</w:t>
      </w:r>
      <w:r>
        <w:rPr>
          <w:rFonts w:hint="eastAsia" w:ascii="Times New Roman" w:hAnsi="Times New Roman" w:cs="Times New Roman"/>
          <w:color w:val="000000" w:themeColor="text1"/>
          <w:kern w:val="24"/>
          <w:sz w:val="24"/>
          <w:lang w:val="en-US" w:eastAsia="zh-CN"/>
          <w14:textFill>
            <w14:solidFill>
              <w14:schemeClr w14:val="tx1"/>
            </w14:solidFill>
          </w14:textFill>
        </w:rPr>
        <w:t>m高烟囱，除尘采用布袋除尘器，除尘效率不低十99.8%；烟气脱硫采用烟气循环流化床干法脱硫工艺，脱硫效率92%以上，系统综合脱硫效率达到95%以上；采用S</w:t>
      </w:r>
      <w:r>
        <w:rPr>
          <w:rFonts w:hint="eastAsia" w:cs="Times New Roman"/>
          <w:color w:val="000000" w:themeColor="text1"/>
          <w:kern w:val="24"/>
          <w:sz w:val="24"/>
          <w:lang w:val="en-US" w:eastAsia="zh-CN"/>
          <w14:textFill>
            <w14:solidFill>
              <w14:schemeClr w14:val="tx1"/>
            </w14:solidFill>
          </w14:textFill>
        </w:rPr>
        <w:t>N</w:t>
      </w:r>
      <w:r>
        <w:rPr>
          <w:rFonts w:hint="eastAsia" w:ascii="Times New Roman" w:hAnsi="Times New Roman" w:cs="Times New Roman"/>
          <w:color w:val="000000" w:themeColor="text1"/>
          <w:kern w:val="24"/>
          <w:sz w:val="24"/>
          <w:lang w:val="en-US" w:eastAsia="zh-CN"/>
          <w14:textFill>
            <w14:solidFill>
              <w14:schemeClr w14:val="tx1"/>
            </w14:solidFill>
          </w14:textFill>
        </w:rPr>
        <w:t>CR脱硝装置脱硝，脱硝效率不低于</w:t>
      </w:r>
      <w:r>
        <w:rPr>
          <w:rFonts w:hint="eastAsia" w:cs="Times New Roman"/>
          <w:color w:val="000000" w:themeColor="text1"/>
          <w:kern w:val="24"/>
          <w:sz w:val="24"/>
          <w:lang w:val="en-US" w:eastAsia="zh-CN"/>
          <w14:textFill>
            <w14:solidFill>
              <w14:schemeClr w14:val="tx1"/>
            </w14:solidFill>
          </w14:textFill>
        </w:rPr>
        <w:t>60</w:t>
      </w:r>
      <w:r>
        <w:rPr>
          <w:rFonts w:hint="eastAsia" w:ascii="Times New Roman" w:hAnsi="Times New Roman" w:cs="Times New Roman"/>
          <w:color w:val="000000" w:themeColor="text1"/>
          <w:kern w:val="24"/>
          <w:sz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，减少废气排放量，削减颗粒物沉降对土壤产生的影响。</w:t>
      </w:r>
    </w:p>
    <w:p>
      <w:pPr>
        <w:pStyle w:val="18"/>
        <w:keepNext w:val="0"/>
        <w:keepLines w:val="0"/>
        <w:pageBreakBefore w:val="0"/>
        <w:widowControl w:val="0"/>
        <w:kinsoku/>
        <w:wordWrap/>
        <w:overflowPunct/>
        <w:topLinePunct w:val="0"/>
        <w:autoSpaceDE/>
        <w:autoSpaceDN/>
        <w:bidi w:val="0"/>
        <w:adjustRightInd/>
        <w:snapToGrid/>
        <w:spacing w:before="0" w:after="0" w:line="360" w:lineRule="auto"/>
        <w:ind w:firstLine="512" w:firstLineChars="200"/>
        <w:jc w:val="both"/>
        <w:textAlignment w:val="auto"/>
        <w:rPr>
          <w:rFonts w:hint="eastAsia" w:ascii="Times New Roman" w:hAnsi="Times New Roman" w:cs="Times New Roman"/>
          <w:color w:val="000000" w:themeColor="text1"/>
          <w:kern w:val="24"/>
          <w:sz w:val="24"/>
          <w:lang w:val="en-US" w:eastAsia="zh-CN"/>
          <w14:textFill>
            <w14:solidFill>
              <w14:schemeClr w14:val="tx1"/>
            </w14:solidFill>
          </w14:textFill>
        </w:rPr>
      </w:pPr>
      <w:r>
        <w:rPr>
          <w:rFonts w:hint="eastAsia" w:ascii="Times New Roman" w:hAnsi="Times New Roman" w:cs="Times New Roman"/>
          <w:color w:val="000000" w:themeColor="text1"/>
          <w:kern w:val="24"/>
          <w:sz w:val="24"/>
          <w:lang w:val="en-US" w:eastAsia="zh-CN"/>
          <w14:textFill>
            <w14:solidFill>
              <w14:schemeClr w14:val="tx1"/>
            </w14:solidFill>
          </w14:textFill>
        </w:rPr>
        <w:t>（2）使用性能良好及防渗完好的管道、设备和污水储存设施，严格按照国家相关规范要求，对工艺、管道、设备、污水储存及处理构筑物采取相应的措施，以防止和降低污染物的跑、冒、滴、漏，将环境风险事故降低到最低。管线铺设采用“可视化”原则，做到污染物“早发现、早处理”，实现废污水排放有效监控，减少污染物通过渗漏方式对土壤产生的污染。</w:t>
      </w:r>
    </w:p>
    <w:p>
      <w:pPr>
        <w:pStyle w:val="18"/>
        <w:keepNext w:val="0"/>
        <w:keepLines w:val="0"/>
        <w:pageBreakBefore w:val="0"/>
        <w:widowControl w:val="0"/>
        <w:kinsoku/>
        <w:wordWrap/>
        <w:overflowPunct/>
        <w:topLinePunct w:val="0"/>
        <w:autoSpaceDE/>
        <w:autoSpaceDN/>
        <w:bidi w:val="0"/>
        <w:adjustRightInd/>
        <w:snapToGrid/>
        <w:spacing w:before="0" w:after="0" w:line="360" w:lineRule="auto"/>
        <w:ind w:firstLine="512" w:firstLineChars="200"/>
        <w:jc w:val="both"/>
        <w:textAlignment w:val="auto"/>
        <w:rPr>
          <w:rFonts w:hint="eastAsia" w:ascii="Times New Roman" w:hAnsi="Times New Roman" w:cs="Times New Roman"/>
          <w:color w:val="000000" w:themeColor="text1"/>
          <w:kern w:val="24"/>
          <w:sz w:val="24"/>
          <w:lang w:val="en-US" w:eastAsia="zh-CN"/>
          <w14:textFill>
            <w14:solidFill>
              <w14:schemeClr w14:val="tx1"/>
            </w14:solidFill>
          </w14:textFill>
        </w:rPr>
      </w:pPr>
      <w:r>
        <w:rPr>
          <w:rFonts w:hint="eastAsia" w:ascii="Times New Roman" w:hAnsi="Times New Roman" w:cs="Times New Roman"/>
          <w:color w:val="000000" w:themeColor="text1"/>
          <w:kern w:val="24"/>
          <w:sz w:val="24"/>
          <w:lang w:val="en-US" w:eastAsia="zh-CN"/>
          <w14:textFill>
            <w14:solidFill>
              <w14:schemeClr w14:val="tx1"/>
            </w14:solidFill>
          </w14:textFill>
        </w:rPr>
        <w:t>（3）</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本项目锅炉采用水煤浆做燃料，锅炉无排渣</w:t>
      </w:r>
      <w:r>
        <w:rPr>
          <w:rFonts w:hint="eastAsia" w:cs="Times New Roman"/>
          <w:color w:val="000000" w:themeColor="text1"/>
          <w:spacing w:val="0"/>
          <w:w w:val="100"/>
          <w:position w:val="0"/>
          <w:sz w:val="24"/>
          <w:szCs w:val="24"/>
          <w:u w:val="none"/>
          <w:lang w:val="zh-CN" w:eastAsia="zh-CN" w:bidi="zh-CN"/>
          <w14:textFill>
            <w14:solidFill>
              <w14:schemeClr w14:val="tx1"/>
            </w14:solidFill>
          </w14:textFill>
        </w:rPr>
        <w:t>；</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脱硫后产生脱硫灰的输送采用管正压气力输灰系统输送至脱硫灰库。本项目设置一座钢筋混凝土脱硫灰库</w:t>
      </w:r>
      <w:r>
        <w:rPr>
          <w:rFonts w:hint="eastAsia" w:cs="Times New Roman"/>
          <w:color w:val="000000" w:themeColor="text1"/>
          <w:spacing w:val="0"/>
          <w:w w:val="100"/>
          <w:position w:val="0"/>
          <w:sz w:val="24"/>
          <w:szCs w:val="24"/>
          <w:u w:val="none"/>
          <w:lang w:val="zh-CN" w:eastAsia="zh-CN" w:bidi="zh-CN"/>
          <w14:textFill>
            <w14:solidFill>
              <w14:schemeClr w14:val="tx1"/>
            </w14:solidFill>
          </w14:textFill>
        </w:rPr>
        <w:t>；</w:t>
      </w:r>
      <w:r>
        <w:rPr>
          <w:rFonts w:hint="eastAsia" w:eastAsia="宋体" w:cs="Times New Roman"/>
          <w:color w:val="000000" w:themeColor="text1"/>
          <w:spacing w:val="0"/>
          <w:w w:val="100"/>
          <w:position w:val="0"/>
          <w:sz w:val="24"/>
          <w:szCs w:val="24"/>
          <w:u w:val="none"/>
          <w:lang w:val="zh-CN" w:eastAsia="zh-CN" w:bidi="zh-CN"/>
          <w14:textFill>
            <w14:solidFill>
              <w14:schemeClr w14:val="tx1"/>
            </w14:solidFill>
          </w14:textFill>
        </w:rPr>
        <w:t>全厂运行期间生活垃圾排放量</w:t>
      </w: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约</w:t>
      </w:r>
      <w:r>
        <w:rPr>
          <w:rFonts w:hint="default" w:ascii="Times New Roman" w:hAnsi="Times New Roman" w:eastAsia="宋体" w:cs="Times New Roman"/>
          <w:color w:val="000000" w:themeColor="text1"/>
          <w:spacing w:val="0"/>
          <w:w w:val="100"/>
          <w:position w:val="0"/>
          <w:sz w:val="24"/>
          <w:szCs w:val="24"/>
          <w:u w:val="none"/>
          <w:lang w:val="en-US" w:eastAsia="en-US" w:bidi="zh-CN"/>
          <w14:textFill>
            <w14:solidFill>
              <w14:schemeClr w14:val="tx1"/>
            </w14:solidFill>
          </w14:textFill>
        </w:rPr>
        <w:t>27</w:t>
      </w: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t</w:t>
      </w:r>
      <w:r>
        <w:rPr>
          <w:rFonts w:hint="default" w:ascii="Times New Roman" w:hAnsi="Times New Roman" w:eastAsia="宋体" w:cs="Times New Roman"/>
          <w:color w:val="000000" w:themeColor="text1"/>
          <w:spacing w:val="0"/>
          <w:w w:val="100"/>
          <w:position w:val="0"/>
          <w:sz w:val="24"/>
          <w:szCs w:val="24"/>
          <w:u w:val="none"/>
          <w:lang w:val="en-US" w:eastAsia="en-US" w:bidi="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a</w:t>
      </w:r>
      <w:r>
        <w:rPr>
          <w:rFonts w:hint="default" w:ascii="Times New Roman" w:hAnsi="Times New Roman" w:eastAsia="宋体" w:cs="Times New Roman"/>
          <w:color w:val="000000" w:themeColor="text1"/>
          <w:spacing w:val="0"/>
          <w:w w:val="100"/>
          <w:position w:val="0"/>
          <w:sz w:val="24"/>
          <w:szCs w:val="24"/>
          <w:u w:val="none"/>
          <w:lang w:val="en-US" w:eastAsia="en-US" w:bidi="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集中收集后统一运至当地生活垃圾填埋场处理</w:t>
      </w:r>
      <w:r>
        <w:rPr>
          <w:rFonts w:hint="default" w:ascii="Times New Roman" w:hAnsi="Times New Roman" w:cs="Times New Roman"/>
          <w:color w:val="000000" w:themeColor="text1"/>
          <w:kern w:val="24"/>
          <w:sz w:val="24"/>
          <w:lang w:val="en-US" w:eastAsia="zh-CN"/>
          <w14:textFill>
            <w14:solidFill>
              <w14:schemeClr w14:val="tx1"/>
            </w14:solidFill>
          </w14:textFill>
        </w:rPr>
        <w:t>。由上述处置措施可知，本项目各固废都得到了有效处置，脱硫灰有专门的</w:t>
      </w:r>
      <w:r>
        <w:rPr>
          <w:rFonts w:hint="default"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t>钢筋混凝土脱硫灰库</w:t>
      </w:r>
      <w:r>
        <w:rPr>
          <w:rFonts w:hint="default" w:ascii="Times New Roman" w:hAnsi="Times New Roman" w:cs="Times New Roman"/>
          <w:color w:val="000000" w:themeColor="text1"/>
          <w:kern w:val="24"/>
          <w:sz w:val="24"/>
          <w:lang w:val="en-US" w:eastAsia="zh-CN"/>
          <w14:textFill>
            <w14:solidFill>
              <w14:schemeClr w14:val="tx1"/>
            </w14:solidFill>
          </w14:textFill>
        </w:rPr>
        <w:t>，具有良好的防渗措施，且滤沥液中不含土壤质量限值中污染物项目，对土壤产生影响的可能性小。</w:t>
      </w:r>
    </w:p>
    <w:p>
      <w:pPr>
        <w:pStyle w:val="18"/>
        <w:keepNext w:val="0"/>
        <w:keepLines w:val="0"/>
        <w:pageBreakBefore w:val="0"/>
        <w:widowControl w:val="0"/>
        <w:kinsoku/>
        <w:wordWrap/>
        <w:overflowPunct/>
        <w:topLinePunct w:val="0"/>
        <w:autoSpaceDE/>
        <w:autoSpaceDN/>
        <w:bidi w:val="0"/>
        <w:adjustRightInd/>
        <w:snapToGrid/>
        <w:spacing w:before="0" w:after="0" w:line="360" w:lineRule="auto"/>
        <w:ind w:firstLine="512" w:firstLineChars="200"/>
        <w:jc w:val="both"/>
        <w:textAlignment w:val="auto"/>
        <w:rPr>
          <w:rFonts w:hint="eastAsia" w:ascii="Times New Roman" w:hAnsi="Times New Roman" w:cs="Times New Roman"/>
          <w:color w:val="000000" w:themeColor="text1"/>
          <w:kern w:val="24"/>
          <w:sz w:val="24"/>
          <w:lang w:val="en-US" w:eastAsia="zh-CN"/>
          <w14:textFill>
            <w14:solidFill>
              <w14:schemeClr w14:val="tx1"/>
            </w14:solidFill>
          </w14:textFill>
        </w:rPr>
      </w:pPr>
      <w:r>
        <w:rPr>
          <w:rFonts w:hint="eastAsia" w:ascii="Times New Roman" w:hAnsi="Times New Roman" w:cs="Times New Roman"/>
          <w:color w:val="000000" w:themeColor="text1"/>
          <w:kern w:val="24"/>
          <w:sz w:val="24"/>
          <w:lang w:val="en-US" w:eastAsia="zh-CN"/>
          <w14:textFill>
            <w14:solidFill>
              <w14:schemeClr w14:val="tx1"/>
            </w14:solidFill>
          </w14:textFill>
        </w:rPr>
        <w:t>（4）加强对污染区域的监测和管理。监测是管理和控制污染的基础和先决条件，由于土壤污染具有反应慢、隐蔽性等特点，因此对污染区域进行适时有针对性的监测对土壤污染的控制与管理具有十分重要的意义和作用。另外，只有加强对污染源的有效管理，才能从根本上控制土壤的污染。</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eastAsia="宋体" w:cs="Times New Roman"/>
          <w:b/>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8"/>
          <w:szCs w:val="28"/>
          <w:lang w:val="en-US" w:eastAsia="zh-CN" w:bidi="ar-SA"/>
          <w14:textFill>
            <w14:solidFill>
              <w14:schemeClr w14:val="tx1"/>
            </w14:solidFill>
          </w14:textFill>
        </w:rPr>
        <w:t>5.6</w:t>
      </w:r>
      <w:r>
        <w:rPr>
          <w:rFonts w:hint="eastAsia" w:ascii="Times New Roman" w:hAnsi="Times New Roman" w:eastAsia="宋体" w:cs="Times New Roman"/>
          <w:b/>
          <w:bCs/>
          <w:color w:val="000000" w:themeColor="text1"/>
          <w:kern w:val="2"/>
          <w:sz w:val="28"/>
          <w:szCs w:val="28"/>
          <w:lang w:val="en-US" w:eastAsia="zh-CN" w:bidi="ar-SA"/>
          <w14:textFill>
            <w14:solidFill>
              <w14:schemeClr w14:val="tx1"/>
            </w14:solidFill>
          </w14:textFill>
        </w:rPr>
        <w:t>.</w:t>
      </w:r>
      <w:r>
        <w:rPr>
          <w:rFonts w:hint="eastAsia" w:ascii="Times New Roman" w:hAnsi="Times New Roman" w:cs="Times New Roman"/>
          <w:b/>
          <w:bCs/>
          <w:color w:val="000000" w:themeColor="text1"/>
          <w:kern w:val="2"/>
          <w:sz w:val="28"/>
          <w:szCs w:val="28"/>
          <w:lang w:val="en-US" w:eastAsia="zh-CN" w:bidi="ar-SA"/>
          <w14:textFill>
            <w14:solidFill>
              <w14:schemeClr w14:val="tx1"/>
            </w14:solidFill>
          </w14:textFill>
        </w:rPr>
        <w:t>3</w:t>
      </w:r>
      <w:r>
        <w:rPr>
          <w:rFonts w:hint="eastAsia" w:ascii="Times New Roman" w:hAnsi="Times New Roman" w:eastAsia="宋体" w:cs="Times New Roman"/>
          <w:b/>
          <w:bCs/>
          <w:color w:val="000000" w:themeColor="text1"/>
          <w:kern w:val="2"/>
          <w:sz w:val="28"/>
          <w:szCs w:val="28"/>
          <w:lang w:val="en-US" w:eastAsia="zh-CN" w:bidi="ar-SA"/>
          <w14:textFill>
            <w14:solidFill>
              <w14:schemeClr w14:val="tx1"/>
            </w14:solidFill>
          </w14:textFill>
        </w:rPr>
        <w:t>.</w:t>
      </w:r>
      <w:r>
        <w:rPr>
          <w:rFonts w:hint="eastAsia" w:ascii="Times New Roman" w:hAnsi="Times New Roman" w:cs="Times New Roman"/>
          <w:b/>
          <w:bCs/>
          <w:color w:val="000000" w:themeColor="text1"/>
          <w:kern w:val="2"/>
          <w:sz w:val="28"/>
          <w:szCs w:val="28"/>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kern w:val="2"/>
          <w:sz w:val="28"/>
          <w:szCs w:val="28"/>
          <w:lang w:val="en-US" w:eastAsia="zh-CN" w:bidi="ar-SA"/>
          <w14:textFill>
            <w14:solidFill>
              <w14:schemeClr w14:val="tx1"/>
            </w14:solidFill>
          </w14:textFill>
        </w:rPr>
        <w:t>过程防控措施</w:t>
      </w:r>
    </w:p>
    <w:p>
      <w:pPr>
        <w:pStyle w:val="18"/>
        <w:keepNext w:val="0"/>
        <w:keepLines w:val="0"/>
        <w:pageBreakBefore w:val="0"/>
        <w:widowControl w:val="0"/>
        <w:kinsoku/>
        <w:wordWrap/>
        <w:overflowPunct/>
        <w:topLinePunct w:val="0"/>
        <w:autoSpaceDE/>
        <w:autoSpaceDN/>
        <w:bidi w:val="0"/>
        <w:adjustRightInd/>
        <w:snapToGrid/>
        <w:spacing w:before="0" w:after="0" w:line="360" w:lineRule="auto"/>
        <w:ind w:firstLine="512" w:firstLineChars="200"/>
        <w:textAlignment w:val="auto"/>
        <w:rPr>
          <w:rFonts w:hint="eastAsia" w:ascii="Times New Roman" w:hAnsi="Times New Roman" w:cs="Times New Roman"/>
          <w:color w:val="000000" w:themeColor="text1"/>
          <w:kern w:val="24"/>
          <w:sz w:val="24"/>
          <w:lang w:val="en-US" w:eastAsia="zh-CN"/>
          <w14:textFill>
            <w14:solidFill>
              <w14:schemeClr w14:val="tx1"/>
            </w14:solidFill>
          </w14:textFill>
        </w:rPr>
      </w:pPr>
      <w:r>
        <w:rPr>
          <w:rFonts w:hint="eastAsia" w:ascii="Times New Roman" w:hAnsi="Times New Roman" w:cs="Times New Roman"/>
          <w:color w:val="000000" w:themeColor="text1"/>
          <w:kern w:val="24"/>
          <w:sz w:val="24"/>
          <w:lang w:val="en-US" w:eastAsia="zh-CN"/>
          <w14:textFill>
            <w14:solidFill>
              <w14:schemeClr w14:val="tx1"/>
            </w14:solidFill>
          </w14:textFill>
        </w:rPr>
        <w:t>（1）大气沉降可通过在厂区范围内进行绿化，终止具有较强吸附能力的植物进行控制；</w:t>
      </w:r>
    </w:p>
    <w:p>
      <w:pPr>
        <w:pStyle w:val="18"/>
        <w:keepNext w:val="0"/>
        <w:keepLines w:val="0"/>
        <w:pageBreakBefore w:val="0"/>
        <w:widowControl w:val="0"/>
        <w:kinsoku/>
        <w:wordWrap/>
        <w:overflowPunct/>
        <w:topLinePunct w:val="0"/>
        <w:autoSpaceDE/>
        <w:autoSpaceDN/>
        <w:bidi w:val="0"/>
        <w:adjustRightInd/>
        <w:snapToGrid/>
        <w:spacing w:before="0" w:after="0" w:line="360" w:lineRule="auto"/>
        <w:ind w:firstLine="512" w:firstLineChars="200"/>
        <w:textAlignment w:val="auto"/>
        <w:rPr>
          <w:rFonts w:hint="eastAsia" w:ascii="Times New Roman" w:hAnsi="Times New Roman" w:cs="Times New Roman"/>
          <w:color w:val="000000" w:themeColor="text1"/>
          <w:kern w:val="24"/>
          <w:sz w:val="24"/>
          <w:lang w:val="en-US" w:eastAsia="zh-CN"/>
          <w14:textFill>
            <w14:solidFill>
              <w14:schemeClr w14:val="tx1"/>
            </w14:solidFill>
          </w14:textFill>
        </w:rPr>
      </w:pPr>
      <w:r>
        <w:rPr>
          <w:rFonts w:hint="eastAsia" w:ascii="Times New Roman" w:hAnsi="Times New Roman" w:cs="Times New Roman"/>
          <w:color w:val="000000" w:themeColor="text1"/>
          <w:kern w:val="24"/>
          <w:sz w:val="24"/>
          <w:lang w:val="en-US" w:eastAsia="zh-CN"/>
          <w14:textFill>
            <w14:solidFill>
              <w14:schemeClr w14:val="tx1"/>
            </w14:solidFill>
          </w14:textFill>
        </w:rPr>
        <w:t>（2）地面硬化、设置围堰、围墙，雨污分流等方式，防止土壤环境污染；</w:t>
      </w:r>
    </w:p>
    <w:p>
      <w:pPr>
        <w:pStyle w:val="18"/>
        <w:keepNext w:val="0"/>
        <w:keepLines w:val="0"/>
        <w:pageBreakBefore w:val="0"/>
        <w:widowControl w:val="0"/>
        <w:kinsoku/>
        <w:wordWrap/>
        <w:overflowPunct/>
        <w:topLinePunct w:val="0"/>
        <w:autoSpaceDE/>
        <w:autoSpaceDN/>
        <w:bidi w:val="0"/>
        <w:adjustRightInd/>
        <w:snapToGrid/>
        <w:spacing w:before="0" w:after="0" w:line="360" w:lineRule="auto"/>
        <w:ind w:firstLine="512" w:firstLineChars="200"/>
        <w:textAlignment w:val="auto"/>
        <w:rPr>
          <w:rFonts w:hint="eastAsia" w:ascii="Times New Roman" w:hAnsi="Times New Roman" w:cs="Times New Roman"/>
          <w:color w:val="000000" w:themeColor="text1"/>
          <w:kern w:val="24"/>
          <w:sz w:val="24"/>
          <w:lang w:val="en-US" w:eastAsia="zh-CN"/>
          <w14:textFill>
            <w14:solidFill>
              <w14:schemeClr w14:val="tx1"/>
            </w14:solidFill>
          </w14:textFill>
        </w:rPr>
      </w:pPr>
      <w:r>
        <w:rPr>
          <w:rFonts w:hint="eastAsia" w:ascii="Times New Roman" w:hAnsi="Times New Roman" w:cs="Times New Roman"/>
          <w:color w:val="000000" w:themeColor="text1"/>
          <w:kern w:val="24"/>
          <w:sz w:val="24"/>
          <w:lang w:val="en-US" w:eastAsia="zh-CN"/>
          <w14:textFill>
            <w14:solidFill>
              <w14:schemeClr w14:val="tx1"/>
            </w14:solidFill>
          </w14:textFill>
        </w:rPr>
        <w:t>（3）可能通过渗漏对土壤产生污染的情况，可对设备设施采取相应的防渗措施，以防止土壤环境污染。</w:t>
      </w:r>
    </w:p>
    <w:p>
      <w:pPr>
        <w:rPr>
          <w:rFonts w:hint="eastAsia" w:ascii="Times New Roman" w:hAnsi="Times New Roman" w:cs="Times New Roman"/>
          <w:color w:val="000000" w:themeColor="text1"/>
          <w:kern w:val="24"/>
          <w:sz w:val="24"/>
          <w:lang w:val="en-US" w:eastAsia="zh-CN"/>
          <w14:textFill>
            <w14:solidFill>
              <w14:schemeClr w14:val="tx1"/>
            </w14:solidFill>
          </w14:textFill>
        </w:rPr>
      </w:pPr>
      <w:r>
        <w:rPr>
          <w:rFonts w:hint="eastAsia" w:ascii="Times New Roman" w:hAnsi="Times New Roman" w:cs="Times New Roman"/>
          <w:color w:val="000000" w:themeColor="text1"/>
          <w:kern w:val="24"/>
          <w:sz w:val="24"/>
          <w:lang w:val="en-US" w:eastAsia="zh-CN"/>
          <w14:textFill>
            <w14:solidFill>
              <w14:schemeClr w14:val="tx1"/>
            </w14:solidFill>
          </w14:textFill>
        </w:rPr>
        <w:br w:type="page"/>
      </w:r>
    </w:p>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黑体" w:cs="Times New Roman"/>
          <w:color w:val="000000" w:themeColor="text1"/>
          <w:kern w:val="24"/>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kern w:val="24"/>
          <w:sz w:val="21"/>
          <w:szCs w:val="21"/>
          <w:lang w:val="en-US" w:eastAsia="zh-CN"/>
          <w14:textFill>
            <w14:solidFill>
              <w14:schemeClr w14:val="tx1"/>
            </w14:solidFill>
          </w14:textFill>
        </w:rPr>
        <w:t>表5.6-1    土壤环境影响评价自查表</w:t>
      </w:r>
    </w:p>
    <w:tbl>
      <w:tblPr>
        <w:tblStyle w:val="22"/>
        <w:tblW w:w="8868" w:type="dxa"/>
        <w:tblInd w:w="-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1860"/>
        <w:gridCol w:w="1272"/>
        <w:gridCol w:w="424"/>
        <w:gridCol w:w="848"/>
        <w:gridCol w:w="848"/>
        <w:gridCol w:w="424"/>
        <w:gridCol w:w="1272"/>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280" w:type="dxa"/>
            <w:gridSpan w:val="2"/>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工作内容</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完成情况</w:t>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restart"/>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影响识别</w:t>
            </w: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影响类型</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污染影响型</w:t>
            </w:r>
            <w:r>
              <w:rPr>
                <w:rFonts w:hint="default" w:ascii="Times New Roman" w:hAnsi="Times New Roman" w:cs="Times New Roman"/>
                <w:color w:val="000000" w:themeColor="text1"/>
                <w:sz w:val="18"/>
                <w:szCs w:val="18"/>
                <w14:textFill>
                  <w14:solidFill>
                    <w14:schemeClr w14:val="tx1"/>
                  </w14:solidFill>
                </w14:textFill>
              </w:rPr>
              <w:sym w:font="Wingdings 2" w:char="0052"/>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；生态影响型</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、两种兼有</w:t>
            </w:r>
            <w:r>
              <w:rPr>
                <w:rFonts w:hint="default" w:ascii="Times New Roman" w:hAnsi="Times New Roman" w:cs="Times New Roman"/>
                <w:color w:val="000000" w:themeColor="text1"/>
                <w:sz w:val="18"/>
                <w:szCs w:val="18"/>
                <w14:textFill>
                  <w14:solidFill>
                    <w14:schemeClr w14:val="tx1"/>
                  </w14:solidFill>
                </w14:textFill>
              </w:rPr>
              <w:sym w:font="Wingdings 2" w:char="00A3"/>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土地利用类型</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建设用地</w:t>
            </w:r>
            <w:r>
              <w:rPr>
                <w:rFonts w:hint="default" w:ascii="Times New Roman" w:hAnsi="Times New Roman" w:cs="Times New Roman"/>
                <w:color w:val="000000" w:themeColor="text1"/>
                <w:sz w:val="18"/>
                <w:szCs w:val="18"/>
                <w14:textFill>
                  <w14:solidFill>
                    <w14:schemeClr w14:val="tx1"/>
                  </w14:solidFill>
                </w14:textFill>
              </w:rPr>
              <w:sym w:font="Wingdings 2" w:char="0052"/>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；农用地</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；未利用地</w:t>
            </w:r>
            <w:r>
              <w:rPr>
                <w:rFonts w:hint="default" w:ascii="Times New Roman" w:hAnsi="Times New Roman" w:cs="Times New Roman"/>
                <w:color w:val="000000" w:themeColor="text1"/>
                <w:sz w:val="18"/>
                <w:szCs w:val="18"/>
                <w14:textFill>
                  <w14:solidFill>
                    <w14:schemeClr w14:val="tx1"/>
                  </w14:solidFill>
                </w14:textFill>
              </w:rPr>
              <w:sym w:font="Wingdings 2" w:char="00A3"/>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土地利用类型图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占地规模</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  6.2 ）hm</w:t>
            </w:r>
            <w:r>
              <w:rPr>
                <w:rFonts w:hint="eastAsia" w:ascii="Times New Roman" w:hAnsi="Times New Roman" w:cs="Times New Roman"/>
                <w:color w:val="000000" w:themeColor="text1"/>
                <w:kern w:val="24"/>
                <w:sz w:val="18"/>
                <w:szCs w:val="18"/>
                <w:vertAlign w:val="superscript"/>
                <w:lang w:val="en-US" w:eastAsia="zh-CN"/>
                <w14:textFill>
                  <w14:solidFill>
                    <w14:schemeClr w14:val="tx1"/>
                  </w14:solidFill>
                </w14:textFill>
              </w:rPr>
              <w:t>2</w:t>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敏感目标信息</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敏感目标（   ）、方位（   ）、距离（   ）</w:t>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影响途径</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大气沉降</w:t>
            </w:r>
            <w:r>
              <w:rPr>
                <w:rFonts w:hint="default" w:ascii="Times New Roman" w:hAnsi="Times New Roman" w:cs="Times New Roman"/>
                <w:color w:val="000000" w:themeColor="text1"/>
                <w:sz w:val="18"/>
                <w:szCs w:val="18"/>
                <w14:textFill>
                  <w14:solidFill>
                    <w14:schemeClr w14:val="tx1"/>
                  </w14:solidFill>
                </w14:textFill>
              </w:rPr>
              <w:sym w:font="Wingdings 2" w:char="0052"/>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；地面漫流</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；垂直入渗</w:t>
            </w:r>
            <w:r>
              <w:rPr>
                <w:rFonts w:hint="default" w:ascii="Times New Roman" w:hAnsi="Times New Roman" w:cs="Times New Roman"/>
                <w:color w:val="000000" w:themeColor="text1"/>
                <w:sz w:val="18"/>
                <w:szCs w:val="18"/>
                <w14:textFill>
                  <w14:solidFill>
                    <w14:schemeClr w14:val="tx1"/>
                  </w14:solidFill>
                </w14:textFill>
              </w:rPr>
              <w:sym w:font="Wingdings 2" w:char="0052"/>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；地下水位</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；其他（）</w:t>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全部污染物</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特征因子</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所属土壤环境影响</w:t>
            </w:r>
          </w:p>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评价项目类别</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t>Ⅰ</w:t>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类</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sz w:val="18"/>
                <w:szCs w:val="18"/>
                <w:lang w:eastAsia="zh-CN"/>
                <w14:textFill>
                  <w14:solidFill>
                    <w14:schemeClr w14:val="tx1"/>
                  </w14:solidFill>
                </w14:textFill>
              </w:rPr>
              <w:t>；</w:t>
            </w:r>
            <w:r>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t>Ⅱ</w:t>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类</w:t>
            </w:r>
            <w:r>
              <w:rPr>
                <w:rFonts w:hint="default" w:ascii="Times New Roman" w:hAnsi="Times New Roman" w:cs="Times New Roman"/>
                <w:color w:val="000000" w:themeColor="text1"/>
                <w:sz w:val="18"/>
                <w:szCs w:val="18"/>
                <w14:textFill>
                  <w14:solidFill>
                    <w14:schemeClr w14:val="tx1"/>
                  </w14:solidFill>
                </w14:textFill>
              </w:rPr>
              <w:sym w:font="Wingdings 2" w:char="0052"/>
            </w:r>
            <w:r>
              <w:rPr>
                <w:rFonts w:hint="eastAsia" w:ascii="Times New Roman" w:hAnsi="Times New Roman" w:cs="Times New Roman"/>
                <w:color w:val="000000" w:themeColor="text1"/>
                <w:sz w:val="18"/>
                <w:szCs w:val="18"/>
                <w:lang w:eastAsia="zh-CN"/>
                <w14:textFill>
                  <w14:solidFill>
                    <w14:schemeClr w14:val="tx1"/>
                  </w14:solidFill>
                </w14:textFill>
              </w:rPr>
              <w:t>；</w:t>
            </w:r>
            <w:r>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t>Ⅲ</w:t>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类</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sz w:val="18"/>
                <w:szCs w:val="18"/>
                <w:lang w:eastAsia="zh-CN"/>
                <w14:textFill>
                  <w14:solidFill>
                    <w14:schemeClr w14:val="tx1"/>
                  </w14:solidFill>
                </w14:textFill>
              </w:rPr>
              <w:t>；</w:t>
            </w:r>
            <w:r>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t>Ⅳ</w:t>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类</w:t>
            </w:r>
            <w:r>
              <w:rPr>
                <w:rFonts w:hint="default" w:ascii="Times New Roman" w:hAnsi="Times New Roman" w:cs="Times New Roman"/>
                <w:color w:val="000000" w:themeColor="text1"/>
                <w:sz w:val="18"/>
                <w:szCs w:val="18"/>
                <w14:textFill>
                  <w14:solidFill>
                    <w14:schemeClr w14:val="tx1"/>
                  </w14:solidFill>
                </w14:textFill>
              </w:rPr>
              <w:sym w:font="Wingdings 2" w:char="00A3"/>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敏感程度</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敏感</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；较敏感</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；不敏感</w:t>
            </w:r>
            <w:r>
              <w:rPr>
                <w:rFonts w:hint="default" w:ascii="Times New Roman" w:hAnsi="Times New Roman" w:cs="Times New Roman"/>
                <w:color w:val="000000" w:themeColor="text1"/>
                <w:sz w:val="18"/>
                <w:szCs w:val="18"/>
                <w14:textFill>
                  <w14:solidFill>
                    <w14:schemeClr w14:val="tx1"/>
                  </w14:solidFill>
                </w14:textFill>
              </w:rPr>
              <w:sym w:font="Wingdings 2" w:char="0052"/>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280" w:type="dxa"/>
            <w:gridSpan w:val="2"/>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评价工作等级</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一级</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；二级</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；三级</w:t>
            </w:r>
            <w:r>
              <w:rPr>
                <w:rFonts w:hint="default" w:ascii="Times New Roman" w:hAnsi="Times New Roman" w:cs="Times New Roman"/>
                <w:color w:val="000000" w:themeColor="text1"/>
                <w:sz w:val="18"/>
                <w:szCs w:val="18"/>
                <w14:textFill>
                  <w14:solidFill>
                    <w14:schemeClr w14:val="tx1"/>
                  </w14:solidFill>
                </w14:textFill>
              </w:rPr>
              <w:sym w:font="Wingdings 2" w:char="0052"/>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restart"/>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现状调查内容</w:t>
            </w: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资料收集</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a）</w:t>
            </w:r>
            <w:r>
              <w:rPr>
                <w:rFonts w:hint="default" w:ascii="Times New Roman" w:hAnsi="Times New Roman" w:cs="Times New Roman"/>
                <w:color w:val="000000" w:themeColor="text1"/>
                <w:sz w:val="18"/>
                <w:szCs w:val="18"/>
                <w14:textFill>
                  <w14:solidFill>
                    <w14:schemeClr w14:val="tx1"/>
                  </w14:solidFill>
                </w14:textFill>
              </w:rPr>
              <w:sym w:font="Wingdings 2" w:char="0052"/>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；b）</w:t>
            </w:r>
            <w:r>
              <w:rPr>
                <w:rFonts w:hint="default" w:ascii="Times New Roman" w:hAnsi="Times New Roman" w:cs="Times New Roman"/>
                <w:color w:val="000000" w:themeColor="text1"/>
                <w:sz w:val="18"/>
                <w:szCs w:val="18"/>
                <w14:textFill>
                  <w14:solidFill>
                    <w14:schemeClr w14:val="tx1"/>
                  </w14:solidFill>
                </w14:textFill>
              </w:rPr>
              <w:sym w:font="Wingdings 2" w:char="0052"/>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；c）</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；d）</w:t>
            </w:r>
            <w:r>
              <w:rPr>
                <w:rFonts w:hint="default" w:ascii="Times New Roman" w:hAnsi="Times New Roman" w:cs="Times New Roman"/>
                <w:color w:val="000000" w:themeColor="text1"/>
                <w:sz w:val="18"/>
                <w:szCs w:val="18"/>
                <w14:textFill>
                  <w14:solidFill>
                    <w14:schemeClr w14:val="tx1"/>
                  </w14:solidFill>
                </w14:textFill>
              </w:rPr>
              <w:sym w:font="Wingdings 2" w:char="00A3"/>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理化特性</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t>克拉玛依市全境大部分地区为弋壁荒漠,从南到北</w:t>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w:t>
            </w:r>
            <w:r>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t>土壤分布依次为棕钙土、荒漠灰钙土和灰棕色荒漠土</w:t>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w:t>
            </w:r>
            <w:r>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t>土质低劣</w:t>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w:t>
            </w:r>
            <w:r>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t>遍地砂砾</w:t>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w:t>
            </w:r>
            <w:r>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t>不少地方土壤含盐量高</w:t>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w:t>
            </w:r>
            <w:r>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t>因缺雨水冲刷</w:t>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w:t>
            </w:r>
            <w:r>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t>盐分板结在土壤表层上</w:t>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w:t>
            </w:r>
            <w:r>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t>形成严重的土壤盐碱化</w:t>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w:t>
            </w:r>
            <w:r>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t xml:space="preserve"> </w:t>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同附录C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Merge w:val="restart"/>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现状监测点位</w:t>
            </w:r>
          </w:p>
        </w:tc>
        <w:tc>
          <w:tcPr>
            <w:tcW w:w="1272"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272" w:type="dxa"/>
            <w:gridSpan w:val="2"/>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占地范围内</w:t>
            </w:r>
          </w:p>
        </w:tc>
        <w:tc>
          <w:tcPr>
            <w:tcW w:w="1272" w:type="dxa"/>
            <w:gridSpan w:val="2"/>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占地范围外</w:t>
            </w:r>
          </w:p>
        </w:tc>
        <w:tc>
          <w:tcPr>
            <w:tcW w:w="1272"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深度</w:t>
            </w:r>
          </w:p>
        </w:tc>
        <w:tc>
          <w:tcPr>
            <w:tcW w:w="1500" w:type="dxa"/>
            <w:vMerge w:val="restart"/>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点位布置图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272"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表层样点数</w:t>
            </w:r>
          </w:p>
        </w:tc>
        <w:tc>
          <w:tcPr>
            <w:tcW w:w="1272" w:type="dxa"/>
            <w:gridSpan w:val="2"/>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3</w:t>
            </w:r>
          </w:p>
        </w:tc>
        <w:tc>
          <w:tcPr>
            <w:tcW w:w="1272" w:type="dxa"/>
            <w:gridSpan w:val="2"/>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272"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0.2m</w:t>
            </w:r>
          </w:p>
        </w:tc>
        <w:tc>
          <w:tcPr>
            <w:tcW w:w="150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272"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柱状样点数</w:t>
            </w:r>
          </w:p>
        </w:tc>
        <w:tc>
          <w:tcPr>
            <w:tcW w:w="1272" w:type="dxa"/>
            <w:gridSpan w:val="2"/>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272" w:type="dxa"/>
            <w:gridSpan w:val="2"/>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272"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50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现状监测因子</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45项全分析</w:t>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restart"/>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现状评价</w:t>
            </w: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评价因子</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GB15618</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；GB36600</w:t>
            </w:r>
            <w:r>
              <w:rPr>
                <w:rFonts w:hint="default" w:ascii="Times New Roman" w:hAnsi="Times New Roman" w:cs="Times New Roman"/>
                <w:color w:val="000000" w:themeColor="text1"/>
                <w:sz w:val="18"/>
                <w:szCs w:val="18"/>
                <w14:textFill>
                  <w14:solidFill>
                    <w14:schemeClr w14:val="tx1"/>
                  </w14:solidFill>
                </w14:textFill>
              </w:rPr>
              <w:sym w:font="Wingdings 2" w:char="0052"/>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；表D.1</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；表D.2</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；其他（  ）</w:t>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评价标准</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t>《土壤环境质量建设用地土壤污染风险管控标准（试行）》(GB36600—2018)</w:t>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现状评价结论</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t>土壤45项基本项目含量均低于《土壤环境质量建设用地土壤污染风险管控标准（试行）》(GB36600—2018)低于第二类用地筛选值，说明项目区的土地未受到人类生产活动的影响。</w:t>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restart"/>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影响预测</w:t>
            </w: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预测因子</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预测方法</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both"/>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附录E</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；附录F</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；其他（  ）</w:t>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预测分析内容</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影响范围（     ）</w:t>
            </w:r>
          </w:p>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影响程度（     ）</w:t>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预测结论</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达标结论：a）</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；b）</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；c）</w:t>
            </w:r>
            <w:r>
              <w:rPr>
                <w:rFonts w:hint="default" w:ascii="Times New Roman" w:hAnsi="Times New Roman" w:cs="Times New Roman"/>
                <w:color w:val="000000" w:themeColor="text1"/>
                <w:sz w:val="18"/>
                <w:szCs w:val="18"/>
                <w14:textFill>
                  <w14:solidFill>
                    <w14:schemeClr w14:val="tx1"/>
                  </w14:solidFill>
                </w14:textFill>
              </w:rPr>
              <w:sym w:font="Wingdings 2" w:char="00A3"/>
            </w:r>
          </w:p>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不达标结论：a）</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；b）</w:t>
            </w:r>
            <w:r>
              <w:rPr>
                <w:rFonts w:hint="default" w:ascii="Times New Roman" w:hAnsi="Times New Roman" w:cs="Times New Roman"/>
                <w:color w:val="000000" w:themeColor="text1"/>
                <w:sz w:val="18"/>
                <w:szCs w:val="18"/>
                <w14:textFill>
                  <w14:solidFill>
                    <w14:schemeClr w14:val="tx1"/>
                  </w14:solidFill>
                </w14:textFill>
              </w:rPr>
              <w:sym w:font="Wingdings 2" w:char="00A3"/>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restart"/>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防治措施</w:t>
            </w: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防控措施</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土壤环境质量现状保障</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；源头控制</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；过程防控</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；其他（）</w:t>
            </w: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Merge w:val="restart"/>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跟踪检测</w:t>
            </w:r>
          </w:p>
        </w:tc>
        <w:tc>
          <w:tcPr>
            <w:tcW w:w="1696" w:type="dxa"/>
            <w:gridSpan w:val="2"/>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监测点数</w:t>
            </w:r>
          </w:p>
        </w:tc>
        <w:tc>
          <w:tcPr>
            <w:tcW w:w="1696" w:type="dxa"/>
            <w:gridSpan w:val="2"/>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监测指标</w:t>
            </w:r>
          </w:p>
        </w:tc>
        <w:tc>
          <w:tcPr>
            <w:tcW w:w="1696" w:type="dxa"/>
            <w:gridSpan w:val="2"/>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监测频次</w:t>
            </w:r>
          </w:p>
        </w:tc>
        <w:tc>
          <w:tcPr>
            <w:tcW w:w="1500" w:type="dxa"/>
            <w:vMerge w:val="restart"/>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696" w:type="dxa"/>
            <w:gridSpan w:val="2"/>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696" w:type="dxa"/>
            <w:gridSpan w:val="2"/>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696" w:type="dxa"/>
            <w:gridSpan w:val="2"/>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50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86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信息公开指标</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500"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280" w:type="dxa"/>
            <w:gridSpan w:val="2"/>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评价结论</w:t>
            </w:r>
          </w:p>
        </w:tc>
        <w:tc>
          <w:tcPr>
            <w:tcW w:w="5088" w:type="dxa"/>
            <w:gridSpan w:val="6"/>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c>
          <w:tcPr>
            <w:tcW w:w="1500" w:type="dxa"/>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868" w:type="dxa"/>
            <w:gridSpan w:val="9"/>
            <w:vAlign w:val="center"/>
          </w:tcPr>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注1：“</w:t>
            </w:r>
            <w:r>
              <w:rPr>
                <w:rFonts w:hint="default" w:ascii="Times New Roman" w:hAnsi="Times New Roman" w:cs="Times New Roman"/>
                <w:color w:val="000000" w:themeColor="text1"/>
                <w:sz w:val="18"/>
                <w:szCs w:val="18"/>
                <w14:textFill>
                  <w14:solidFill>
                    <w14:schemeClr w14:val="tx1"/>
                  </w14:solidFill>
                </w14:textFill>
              </w:rPr>
              <w:sym w:font="Wingdings 2" w:char="00A3"/>
            </w: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”为勾选项，可√；“（ ）”为内容填写项；“备注”为其他补充内容。</w:t>
            </w:r>
          </w:p>
          <w:p>
            <w:pPr>
              <w:pStyle w:val="18"/>
              <w:keepNext w:val="0"/>
              <w:keepLines w:val="0"/>
              <w:pageBreakBefore w:val="0"/>
              <w:widowControl w:val="0"/>
              <w:kinsoku/>
              <w:wordWrap/>
              <w:overflowPunct/>
              <w:topLinePunct w:val="0"/>
              <w:autoSpaceDE/>
              <w:autoSpaceDN/>
              <w:bidi w:val="0"/>
              <w:adjustRightInd/>
              <w:snapToGrid/>
              <w:spacing w:after="0" w:line="320" w:lineRule="exact"/>
              <w:jc w:val="left"/>
              <w:textAlignment w:val="auto"/>
              <w:rPr>
                <w:rFonts w:hint="default" w:ascii="Times New Roman" w:hAnsi="Times New Roman" w:cs="Times New Roman"/>
                <w:color w:val="000000" w:themeColor="text1"/>
                <w:kern w:val="24"/>
                <w:sz w:val="18"/>
                <w:szCs w:val="18"/>
                <w:vertAlign w:val="baseline"/>
                <w:lang w:val="en-US" w:eastAsia="zh-CN"/>
                <w14:textFill>
                  <w14:solidFill>
                    <w14:schemeClr w14:val="tx1"/>
                  </w14:solidFill>
                </w14:textFill>
              </w:rPr>
            </w:pPr>
            <w:r>
              <w:rPr>
                <w:rFonts w:hint="eastAsia" w:ascii="Times New Roman" w:hAnsi="Times New Roman" w:cs="Times New Roman"/>
                <w:color w:val="000000" w:themeColor="text1"/>
                <w:kern w:val="24"/>
                <w:sz w:val="18"/>
                <w:szCs w:val="18"/>
                <w:vertAlign w:val="baseline"/>
                <w:lang w:val="en-US" w:eastAsia="zh-CN"/>
                <w14:textFill>
                  <w14:solidFill>
                    <w14:schemeClr w14:val="tx1"/>
                  </w14:solidFill>
                </w14:textFill>
              </w:rPr>
              <w:t>注2：需要分别开展土壤环境影响评级工作的，分别填写自查表。</w:t>
            </w:r>
          </w:p>
        </w:tc>
      </w:tr>
    </w:tbl>
    <w:p>
      <w:pPr>
        <w:pStyle w:val="18"/>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color w:val="000000" w:themeColor="text1"/>
          <w:kern w:val="24"/>
          <w:sz w:val="24"/>
          <w:lang w:val="en-US" w:eastAsia="zh-CN"/>
          <w14:textFill>
            <w14:solidFill>
              <w14:schemeClr w14:val="tx1"/>
            </w14:solidFill>
          </w14:textFill>
        </w:rPr>
      </w:pPr>
    </w:p>
    <w:p>
      <w:pPr>
        <w:rPr>
          <w:rFonts w:hint="default" w:ascii="Times New Roman" w:hAnsi="Times New Roman" w:cs="Times New Roman"/>
          <w:color w:val="000000" w:themeColor="text1"/>
          <w14:textFill>
            <w14:solidFill>
              <w14:schemeClr w14:val="tx1"/>
            </w14:solidFill>
          </w14:textFill>
        </w:rPr>
      </w:pPr>
      <w:bookmarkStart w:id="393" w:name="_Toc431406177"/>
      <w:bookmarkStart w:id="394" w:name="_Toc5089"/>
      <w:bookmarkStart w:id="395" w:name="_Toc17919"/>
      <w:bookmarkStart w:id="396" w:name="_Toc456091022"/>
      <w:bookmarkStart w:id="397" w:name="_Toc11959"/>
      <w:bookmarkStart w:id="398" w:name="_Toc491857682"/>
      <w:bookmarkStart w:id="399" w:name="_Toc2154_WPSOffice_Level2"/>
      <w:bookmarkStart w:id="400" w:name="_Toc428817482"/>
      <w:bookmarkStart w:id="401" w:name="_Toc26970"/>
      <w:r>
        <w:rPr>
          <w:rFonts w:hint="default" w:ascii="Times New Roman" w:hAnsi="Times New Roman" w:cs="Times New Roman"/>
          <w:color w:val="000000" w:themeColor="text1"/>
          <w14:textFill>
            <w14:solidFill>
              <w14:schemeClr w14:val="tx1"/>
            </w14:solidFill>
          </w14:textFill>
        </w:rPr>
        <w:br w:type="page"/>
      </w:r>
    </w:p>
    <w:p>
      <w:pPr>
        <w:pStyle w:val="4"/>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Times New Roman" w:hAnsi="Times New Roman" w:cs="Times New Roman"/>
          <w:color w:val="000000" w:themeColor="text1"/>
          <w:sz w:val="32"/>
          <w:szCs w:val="32"/>
          <w14:textFill>
            <w14:solidFill>
              <w14:schemeClr w14:val="tx1"/>
            </w14:solidFill>
          </w14:textFill>
        </w:rPr>
      </w:pPr>
      <w:bookmarkStart w:id="402" w:name="_Toc27762"/>
      <w:r>
        <w:rPr>
          <w:rFonts w:hint="default" w:ascii="Times New Roman" w:hAnsi="Times New Roman" w:cs="Times New Roman"/>
          <w:color w:val="000000" w:themeColor="text1"/>
          <w:sz w:val="32"/>
          <w:szCs w:val="32"/>
          <w14:textFill>
            <w14:solidFill>
              <w14:schemeClr w14:val="tx1"/>
            </w14:solidFill>
          </w14:textFill>
        </w:rPr>
        <w:t>5.</w:t>
      </w:r>
      <w:r>
        <w:rPr>
          <w:rFonts w:hint="eastAsia" w:ascii="Times New Roman" w:hAnsi="Times New Roman" w:cs="Times New Roman"/>
          <w:color w:val="000000" w:themeColor="text1"/>
          <w:sz w:val="32"/>
          <w:szCs w:val="32"/>
          <w:lang w:val="en-US" w:eastAsia="zh-CN"/>
          <w14:textFill>
            <w14:solidFill>
              <w14:schemeClr w14:val="tx1"/>
            </w14:solidFill>
          </w14:textFill>
        </w:rPr>
        <w:t>7</w:t>
      </w:r>
      <w:r>
        <w:rPr>
          <w:rFonts w:hint="default" w:ascii="Times New Roman" w:hAnsi="Times New Roman" w:cs="Times New Roman"/>
          <w:color w:val="000000" w:themeColor="text1"/>
          <w:sz w:val="32"/>
          <w:szCs w:val="32"/>
          <w14:textFill>
            <w14:solidFill>
              <w14:schemeClr w14:val="tx1"/>
            </w14:solidFill>
          </w14:textFill>
        </w:rPr>
        <w:t>生态环境影响分析</w:t>
      </w:r>
      <w:bookmarkEnd w:id="393"/>
      <w:bookmarkEnd w:id="394"/>
      <w:bookmarkEnd w:id="395"/>
      <w:bookmarkEnd w:id="396"/>
      <w:bookmarkEnd w:id="397"/>
      <w:bookmarkEnd w:id="398"/>
      <w:bookmarkEnd w:id="399"/>
      <w:bookmarkEnd w:id="400"/>
      <w:bookmarkEnd w:id="401"/>
      <w:bookmarkEnd w:id="402"/>
    </w:p>
    <w:p>
      <w:pPr>
        <w:pStyle w:val="5"/>
        <w:keepNext w:val="0"/>
        <w:keepLines w:val="0"/>
        <w:pageBreakBefore w:val="0"/>
        <w:widowControl w:val="0"/>
        <w:kinsoku/>
        <w:wordWrap/>
        <w:overflowPunct w:val="0"/>
        <w:topLinePunct w:val="0"/>
        <w:autoSpaceDE/>
        <w:autoSpaceDN/>
        <w:bidi w:val="0"/>
        <w:adjustRightInd/>
        <w:snapToGrid/>
        <w:spacing w:before="0" w:after="0" w:line="360" w:lineRule="auto"/>
        <w:textAlignment w:val="auto"/>
        <w:rPr>
          <w:rFonts w:hint="default" w:ascii="Times New Roman" w:hAnsi="Times New Roman" w:cs="Times New Roman"/>
          <w:bCs w:val="0"/>
          <w:color w:val="000000" w:themeColor="text1"/>
          <w:kern w:val="0"/>
          <w:sz w:val="28"/>
          <w:szCs w:val="28"/>
          <w:lang w:val="zh-CN"/>
          <w14:textFill>
            <w14:solidFill>
              <w14:schemeClr w14:val="tx1"/>
            </w14:solidFill>
          </w14:textFill>
        </w:rPr>
      </w:pPr>
      <w:bookmarkStart w:id="403" w:name="_Toc5441"/>
      <w:bookmarkStart w:id="404" w:name="_Toc5527"/>
      <w:r>
        <w:rPr>
          <w:rFonts w:hint="default" w:ascii="Times New Roman" w:hAnsi="Times New Roman" w:cs="Times New Roman"/>
          <w:bCs w:val="0"/>
          <w:color w:val="000000" w:themeColor="text1"/>
          <w:kern w:val="0"/>
          <w:sz w:val="28"/>
          <w:szCs w:val="28"/>
          <w:lang w:val="zh-CN"/>
          <w14:textFill>
            <w14:solidFill>
              <w14:schemeClr w14:val="tx1"/>
            </w14:solidFill>
          </w14:textFill>
        </w:rPr>
        <w:t>5.</w:t>
      </w:r>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7</w:t>
      </w:r>
      <w:r>
        <w:rPr>
          <w:rFonts w:hint="default" w:ascii="Times New Roman" w:hAnsi="Times New Roman" w:cs="Times New Roman"/>
          <w:bCs w:val="0"/>
          <w:color w:val="000000" w:themeColor="text1"/>
          <w:kern w:val="0"/>
          <w:sz w:val="28"/>
          <w:szCs w:val="28"/>
          <w:lang w:val="zh-CN"/>
          <w14:textFill>
            <w14:solidFill>
              <w14:schemeClr w14:val="tx1"/>
            </w14:solidFill>
          </w14:textFill>
        </w:rPr>
        <w:t>.</w:t>
      </w:r>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 xml:space="preserve">1 </w:t>
      </w:r>
      <w:bookmarkEnd w:id="403"/>
      <w:bookmarkEnd w:id="404"/>
      <w:r>
        <w:rPr>
          <w:rFonts w:hint="eastAsia" w:ascii="Times New Roman" w:hAnsi="Times New Roman" w:cs="Times New Roman"/>
          <w:bCs w:val="0"/>
          <w:color w:val="000000" w:themeColor="text1"/>
          <w:kern w:val="0"/>
          <w:sz w:val="28"/>
          <w:szCs w:val="28"/>
          <w:lang w:val="zh-CN"/>
          <w14:textFill>
            <w14:solidFill>
              <w14:schemeClr w14:val="tx1"/>
            </w14:solidFill>
          </w14:textFill>
        </w:rPr>
        <w:t>对土地利用影响分析</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Times New Roman" w:hAnsi="Times New Roman" w:cs="Times New Roman"/>
          <w:bCs/>
          <w:snapToGrid w:val="0"/>
          <w:color w:val="000000" w:themeColor="text1"/>
          <w:kern w:val="0"/>
          <w:sz w:val="24"/>
          <w:szCs w:val="24"/>
          <w:lang w:eastAsia="zh-CN"/>
          <w14:textFill>
            <w14:solidFill>
              <w14:schemeClr w14:val="tx1"/>
            </w14:solidFill>
          </w14:textFill>
        </w:rPr>
      </w:pPr>
      <w:r>
        <w:rPr>
          <w:rFonts w:hint="eastAsia" w:ascii="Times New Roman" w:hAnsi="Times New Roman" w:cs="Times New Roman"/>
          <w:bCs/>
          <w:snapToGrid w:val="0"/>
          <w:color w:val="000000" w:themeColor="text1"/>
          <w:kern w:val="0"/>
          <w:sz w:val="24"/>
          <w:szCs w:val="24"/>
          <w:lang w:eastAsia="zh-CN"/>
          <w14:textFill>
            <w14:solidFill>
              <w14:schemeClr w14:val="tx1"/>
            </w14:solidFill>
          </w14:textFill>
        </w:rPr>
        <w:t>本项目为新建项目，项目拟选厂区、进厂道路占地均为规划工业用地，工程建设未改变土地利用类型。</w:t>
      </w:r>
    </w:p>
    <w:p>
      <w:pPr>
        <w:pStyle w:val="5"/>
        <w:keepNext w:val="0"/>
        <w:keepLines w:val="0"/>
        <w:pageBreakBefore w:val="0"/>
        <w:widowControl w:val="0"/>
        <w:kinsoku/>
        <w:wordWrap/>
        <w:overflowPunct w:val="0"/>
        <w:topLinePunct w:val="0"/>
        <w:autoSpaceDE/>
        <w:autoSpaceDN/>
        <w:bidi w:val="0"/>
        <w:adjustRightInd/>
        <w:snapToGrid/>
        <w:spacing w:before="0" w:after="0" w:line="360" w:lineRule="auto"/>
        <w:textAlignment w:val="auto"/>
        <w:rPr>
          <w:rFonts w:hint="default" w:ascii="Times New Roman" w:hAnsi="Times New Roman" w:cs="Times New Roman"/>
          <w:bCs w:val="0"/>
          <w:color w:val="000000" w:themeColor="text1"/>
          <w:kern w:val="0"/>
          <w:sz w:val="28"/>
          <w:szCs w:val="28"/>
          <w:lang w:val="zh-CN"/>
          <w14:textFill>
            <w14:solidFill>
              <w14:schemeClr w14:val="tx1"/>
            </w14:solidFill>
          </w14:textFill>
        </w:rPr>
      </w:pPr>
      <w:r>
        <w:rPr>
          <w:rFonts w:hint="default" w:ascii="Times New Roman" w:hAnsi="Times New Roman" w:cs="Times New Roman"/>
          <w:bCs w:val="0"/>
          <w:color w:val="000000" w:themeColor="text1"/>
          <w:kern w:val="0"/>
          <w:sz w:val="28"/>
          <w:szCs w:val="28"/>
          <w:lang w:val="zh-CN"/>
          <w14:textFill>
            <w14:solidFill>
              <w14:schemeClr w14:val="tx1"/>
            </w14:solidFill>
          </w14:textFill>
        </w:rPr>
        <w:t>5.</w:t>
      </w:r>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7</w:t>
      </w:r>
      <w:r>
        <w:rPr>
          <w:rFonts w:hint="default" w:ascii="Times New Roman" w:hAnsi="Times New Roman" w:cs="Times New Roman"/>
          <w:bCs w:val="0"/>
          <w:color w:val="000000" w:themeColor="text1"/>
          <w:kern w:val="0"/>
          <w:sz w:val="28"/>
          <w:szCs w:val="28"/>
          <w:lang w:val="zh-CN"/>
          <w14:textFill>
            <w14:solidFill>
              <w14:schemeClr w14:val="tx1"/>
            </w14:solidFill>
          </w14:textFill>
        </w:rPr>
        <w:t>.</w:t>
      </w:r>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 xml:space="preserve">2 </w:t>
      </w:r>
      <w:r>
        <w:rPr>
          <w:rFonts w:hint="eastAsia" w:ascii="Times New Roman" w:hAnsi="Times New Roman" w:cs="Times New Roman"/>
          <w:bCs w:val="0"/>
          <w:color w:val="000000" w:themeColor="text1"/>
          <w:kern w:val="0"/>
          <w:sz w:val="28"/>
          <w:szCs w:val="28"/>
          <w:lang w:val="zh-CN"/>
          <w14:textFill>
            <w14:solidFill>
              <w14:schemeClr w14:val="tx1"/>
            </w14:solidFill>
          </w14:textFill>
        </w:rPr>
        <w:t>对植物资源影响分析</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Times New Roman" w:hAnsi="Times New Roman" w:cs="Times New Roman"/>
          <w:bCs/>
          <w:snapToGrid w:val="0"/>
          <w:color w:val="000000" w:themeColor="text1"/>
          <w:kern w:val="0"/>
          <w:sz w:val="24"/>
          <w:szCs w:val="24"/>
          <w:lang w:eastAsia="zh-CN"/>
          <w14:textFill>
            <w14:solidFill>
              <w14:schemeClr w14:val="tx1"/>
            </w14:solidFill>
          </w14:textFill>
        </w:rPr>
      </w:pPr>
      <w:r>
        <w:rPr>
          <w:rFonts w:hint="eastAsia" w:ascii="Times New Roman" w:hAnsi="Times New Roman" w:cs="Times New Roman"/>
          <w:bCs/>
          <w:snapToGrid w:val="0"/>
          <w:color w:val="000000" w:themeColor="text1"/>
          <w:kern w:val="0"/>
          <w:sz w:val="24"/>
          <w:szCs w:val="24"/>
          <w:lang w:eastAsia="zh-CN"/>
          <w14:textFill>
            <w14:solidFill>
              <w14:schemeClr w14:val="tx1"/>
            </w14:solidFill>
          </w14:textFill>
        </w:rPr>
        <w:t>本项目占地为规划工业园区未利用地，项目投入运营后，将采取一系列的生态恢复和补偿措施，加强厂区及其周围的绿化和植被的恢复工作，项目生产过程中不存在破坏植物的工业活动。因此，项目运营期间不会对当地植物资源产生不利影响。</w:t>
      </w:r>
    </w:p>
    <w:p>
      <w:pPr>
        <w:pStyle w:val="5"/>
        <w:keepNext w:val="0"/>
        <w:keepLines w:val="0"/>
        <w:pageBreakBefore w:val="0"/>
        <w:widowControl w:val="0"/>
        <w:kinsoku/>
        <w:wordWrap/>
        <w:overflowPunct w:val="0"/>
        <w:topLinePunct w:val="0"/>
        <w:autoSpaceDE/>
        <w:autoSpaceDN/>
        <w:bidi w:val="0"/>
        <w:adjustRightInd/>
        <w:snapToGrid/>
        <w:spacing w:before="0" w:after="0" w:line="360" w:lineRule="auto"/>
        <w:textAlignment w:val="auto"/>
        <w:rPr>
          <w:rFonts w:hint="default" w:ascii="Times New Roman" w:hAnsi="Times New Roman" w:cs="Times New Roman"/>
          <w:bCs w:val="0"/>
          <w:color w:val="000000" w:themeColor="text1"/>
          <w:kern w:val="0"/>
          <w:sz w:val="28"/>
          <w:szCs w:val="28"/>
          <w:lang w:val="zh-CN"/>
          <w14:textFill>
            <w14:solidFill>
              <w14:schemeClr w14:val="tx1"/>
            </w14:solidFill>
          </w14:textFill>
        </w:rPr>
      </w:pPr>
      <w:r>
        <w:rPr>
          <w:rFonts w:hint="default" w:ascii="Times New Roman" w:hAnsi="Times New Roman" w:cs="Times New Roman"/>
          <w:bCs w:val="0"/>
          <w:color w:val="000000" w:themeColor="text1"/>
          <w:kern w:val="0"/>
          <w:sz w:val="28"/>
          <w:szCs w:val="28"/>
          <w:lang w:val="zh-CN"/>
          <w14:textFill>
            <w14:solidFill>
              <w14:schemeClr w14:val="tx1"/>
            </w14:solidFill>
          </w14:textFill>
        </w:rPr>
        <w:t>5.</w:t>
      </w:r>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7</w:t>
      </w:r>
      <w:r>
        <w:rPr>
          <w:rFonts w:hint="default" w:ascii="Times New Roman" w:hAnsi="Times New Roman" w:cs="Times New Roman"/>
          <w:bCs w:val="0"/>
          <w:color w:val="000000" w:themeColor="text1"/>
          <w:kern w:val="0"/>
          <w:sz w:val="28"/>
          <w:szCs w:val="28"/>
          <w:lang w:val="zh-CN"/>
          <w14:textFill>
            <w14:solidFill>
              <w14:schemeClr w14:val="tx1"/>
            </w14:solidFill>
          </w14:textFill>
        </w:rPr>
        <w:t>.</w:t>
      </w:r>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 xml:space="preserve">3 </w:t>
      </w:r>
      <w:r>
        <w:rPr>
          <w:rFonts w:hint="eastAsia" w:ascii="Times New Roman" w:hAnsi="Times New Roman" w:cs="Times New Roman"/>
          <w:bCs w:val="0"/>
          <w:color w:val="000000" w:themeColor="text1"/>
          <w:kern w:val="0"/>
          <w:sz w:val="28"/>
          <w:szCs w:val="28"/>
          <w:lang w:val="zh-CN"/>
          <w14:textFill>
            <w14:solidFill>
              <w14:schemeClr w14:val="tx1"/>
            </w14:solidFill>
          </w14:textFill>
        </w:rPr>
        <w:t>对动物资源影响分析</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Times New Roman" w:hAnsi="Times New Roman" w:cs="Times New Roman"/>
          <w:bCs/>
          <w:snapToGrid w:val="0"/>
          <w:color w:val="000000" w:themeColor="text1"/>
          <w:kern w:val="0"/>
          <w:sz w:val="24"/>
          <w:szCs w:val="24"/>
          <w:lang w:eastAsia="zh-CN"/>
          <w14:textFill>
            <w14:solidFill>
              <w14:schemeClr w14:val="tx1"/>
            </w14:solidFill>
          </w14:textFill>
        </w:rPr>
      </w:pPr>
      <w:r>
        <w:rPr>
          <w:rFonts w:hint="default" w:ascii="Times New Roman" w:hAnsi="Times New Roman" w:cs="Times New Roman"/>
          <w:bCs/>
          <w:snapToGrid w:val="0"/>
          <w:color w:val="000000" w:themeColor="text1"/>
          <w:kern w:val="0"/>
          <w:sz w:val="24"/>
          <w:szCs w:val="24"/>
          <w14:textFill>
            <w14:solidFill>
              <w14:schemeClr w14:val="tx1"/>
            </w14:solidFill>
          </w14:textFill>
        </w:rPr>
        <w:t>本项目</w:t>
      </w:r>
      <w:r>
        <w:rPr>
          <w:rFonts w:hint="eastAsia" w:ascii="Times New Roman" w:hAnsi="Times New Roman" w:cs="Times New Roman"/>
          <w:bCs/>
          <w:snapToGrid w:val="0"/>
          <w:color w:val="000000" w:themeColor="text1"/>
          <w:kern w:val="0"/>
          <w:sz w:val="24"/>
          <w:szCs w:val="24"/>
          <w:lang w:eastAsia="zh-CN"/>
          <w14:textFill>
            <w14:solidFill>
              <w14:schemeClr w14:val="tx1"/>
            </w14:solidFill>
          </w14:textFill>
        </w:rPr>
        <w:t>厂区周围受认为活动的影响，野生动物主要以鸟类和啮齿类小型动物为主，在运营期间对野生动物以你选哪个较小，加之厂址区域没有珍贵濒危的野生动物资源，不会对其产生影响。</w:t>
      </w:r>
    </w:p>
    <w:p>
      <w:pPr>
        <w:pStyle w:val="5"/>
        <w:keepNext w:val="0"/>
        <w:keepLines w:val="0"/>
        <w:pageBreakBefore w:val="0"/>
        <w:widowControl w:val="0"/>
        <w:kinsoku/>
        <w:wordWrap/>
        <w:overflowPunct w:val="0"/>
        <w:topLinePunct w:val="0"/>
        <w:autoSpaceDE/>
        <w:autoSpaceDN/>
        <w:bidi w:val="0"/>
        <w:adjustRightInd/>
        <w:snapToGrid/>
        <w:spacing w:before="0" w:after="0" w:line="360" w:lineRule="auto"/>
        <w:textAlignment w:val="auto"/>
        <w:rPr>
          <w:rFonts w:hint="default" w:ascii="Times New Roman" w:hAnsi="Times New Roman" w:cs="Times New Roman"/>
          <w:bCs w:val="0"/>
          <w:color w:val="000000" w:themeColor="text1"/>
          <w:kern w:val="0"/>
          <w:sz w:val="28"/>
          <w:szCs w:val="28"/>
          <w:lang w:val="zh-CN"/>
          <w14:textFill>
            <w14:solidFill>
              <w14:schemeClr w14:val="tx1"/>
            </w14:solidFill>
          </w14:textFill>
        </w:rPr>
      </w:pPr>
      <w:r>
        <w:rPr>
          <w:rFonts w:hint="default" w:ascii="Times New Roman" w:hAnsi="Times New Roman" w:cs="Times New Roman"/>
          <w:bCs w:val="0"/>
          <w:color w:val="000000" w:themeColor="text1"/>
          <w:kern w:val="0"/>
          <w:sz w:val="28"/>
          <w:szCs w:val="28"/>
          <w:lang w:val="zh-CN"/>
          <w14:textFill>
            <w14:solidFill>
              <w14:schemeClr w14:val="tx1"/>
            </w14:solidFill>
          </w14:textFill>
        </w:rPr>
        <w:t>5.</w:t>
      </w:r>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7</w:t>
      </w:r>
      <w:r>
        <w:rPr>
          <w:rFonts w:hint="default" w:ascii="Times New Roman" w:hAnsi="Times New Roman" w:cs="Times New Roman"/>
          <w:bCs w:val="0"/>
          <w:color w:val="000000" w:themeColor="text1"/>
          <w:kern w:val="0"/>
          <w:sz w:val="28"/>
          <w:szCs w:val="28"/>
          <w:lang w:val="zh-CN"/>
          <w14:textFill>
            <w14:solidFill>
              <w14:schemeClr w14:val="tx1"/>
            </w14:solidFill>
          </w14:textFill>
        </w:rPr>
        <w:t>.</w:t>
      </w:r>
      <w:r>
        <w:rPr>
          <w:rFonts w:hint="eastAsia" w:ascii="Times New Roman" w:hAnsi="Times New Roman" w:cs="Times New Roman"/>
          <w:bCs w:val="0"/>
          <w:color w:val="000000" w:themeColor="text1"/>
          <w:kern w:val="0"/>
          <w:sz w:val="28"/>
          <w:szCs w:val="28"/>
          <w:lang w:val="en-US" w:eastAsia="zh-CN"/>
          <w14:textFill>
            <w14:solidFill>
              <w14:schemeClr w14:val="tx1"/>
            </w14:solidFill>
          </w14:textFill>
        </w:rPr>
        <w:t xml:space="preserve">4 </w:t>
      </w:r>
      <w:r>
        <w:rPr>
          <w:rFonts w:hint="eastAsia" w:ascii="Times New Roman" w:hAnsi="Times New Roman" w:cs="Times New Roman"/>
          <w:bCs w:val="0"/>
          <w:color w:val="000000" w:themeColor="text1"/>
          <w:kern w:val="0"/>
          <w:sz w:val="28"/>
          <w:szCs w:val="28"/>
          <w:lang w:val="zh-CN"/>
          <w14:textFill>
            <w14:solidFill>
              <w14:schemeClr w14:val="tx1"/>
            </w14:solidFill>
          </w14:textFill>
        </w:rPr>
        <w:t>水土流失影响分析</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cs="Times New Roman"/>
          <w:bCs/>
          <w:snapToGrid w:val="0"/>
          <w:color w:val="000000" w:themeColor="text1"/>
          <w:kern w:val="0"/>
          <w:sz w:val="24"/>
          <w:szCs w:val="24"/>
          <w14:textFill>
            <w14:solidFill>
              <w14:schemeClr w14:val="tx1"/>
            </w14:solidFill>
          </w14:textFill>
        </w:rPr>
      </w:pPr>
      <w:r>
        <w:rPr>
          <w:rFonts w:hint="eastAsia" w:ascii="Times New Roman" w:hAnsi="Times New Roman" w:cs="Times New Roman"/>
          <w:bCs/>
          <w:snapToGrid w:val="0"/>
          <w:color w:val="000000" w:themeColor="text1"/>
          <w:kern w:val="0"/>
          <w:sz w:val="24"/>
          <w:szCs w:val="24"/>
          <w:lang w:eastAsia="zh-CN"/>
          <w14:textFill>
            <w14:solidFill>
              <w14:schemeClr w14:val="tx1"/>
            </w14:solidFill>
          </w14:textFill>
        </w:rPr>
        <w:t>工程进入运营期后，工程水土保持方案中提出的工程措施、植物措施和管理措施将得到全面落实和实施，工程建设期的厂区开挖面已由构筑物所取代或全部回填，建设过程中产生的弃土、弃渣得到有效处理，项目区责任区范围得到有效绿化，厂区内已经没有裸露的土地，在进行替代补偿和生物恢复措施后，本工程建设对区域生态环境不会产生明显影响</w:t>
      </w:r>
      <w:r>
        <w:rPr>
          <w:rFonts w:hint="default" w:ascii="Times New Roman" w:hAnsi="Times New Roman" w:cs="Times New Roman"/>
          <w:bCs/>
          <w:snapToGrid w:val="0"/>
          <w:color w:val="000000" w:themeColor="text1"/>
          <w:kern w:val="0"/>
          <w:sz w:val="24"/>
          <w:szCs w:val="24"/>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Times New Roman" w:hAnsi="Times New Roman" w:cs="Times New Roman"/>
          <w:color w:val="000000" w:themeColor="text1"/>
          <w14:textFill>
            <w14:solidFill>
              <w14:schemeClr w14:val="tx1"/>
            </w14:solidFill>
          </w14:textFill>
        </w:rPr>
      </w:pPr>
      <w:bookmarkStart w:id="405" w:name="_Toc217383190"/>
      <w:bookmarkStart w:id="406" w:name="_Toc373995343"/>
      <w:bookmarkStart w:id="407" w:name="_Toc17484"/>
      <w:bookmarkStart w:id="408" w:name="_Toc461963662"/>
      <w:bookmarkStart w:id="409" w:name="_Toc416334242"/>
      <w:bookmarkStart w:id="410" w:name="_Toc111214591"/>
      <w:bookmarkStart w:id="411" w:name="_Toc106247951"/>
      <w:bookmarkStart w:id="412" w:name="_Toc407870300"/>
      <w:bookmarkStart w:id="413" w:name="_Toc361133683"/>
      <w:bookmarkStart w:id="414" w:name="_Toc217382952"/>
      <w:bookmarkStart w:id="415" w:name="_Toc5785"/>
      <w:bookmarkStart w:id="416" w:name="_Toc27961_WPSOffice_Level1"/>
      <w:bookmarkStart w:id="417" w:name="_Toc2300"/>
      <w:r>
        <w:rPr>
          <w:rFonts w:hint="eastAsia" w:ascii="Times New Roman" w:hAnsi="Times New Roman" w:cs="Times New Roman"/>
          <w:color w:val="000000" w:themeColor="text1"/>
          <w:lang w:eastAsia="zh-CN"/>
          <w14:textFill>
            <w14:solidFill>
              <w14:schemeClr w14:val="tx1"/>
            </w14:solidFill>
          </w14:textFill>
        </w:rPr>
        <w:t>5.8</w:t>
      </w:r>
      <w:r>
        <w:rPr>
          <w:rFonts w:hint="default" w:ascii="Times New Roman" w:hAnsi="Times New Roman" w:cs="Times New Roman"/>
          <w:color w:val="000000" w:themeColor="text1"/>
          <w14:textFill>
            <w14:solidFill>
              <w14:schemeClr w14:val="tx1"/>
            </w14:solidFill>
          </w14:textFill>
        </w:rPr>
        <w:t xml:space="preserve"> 环境风险评价</w:t>
      </w:r>
      <w:bookmarkEnd w:id="405"/>
      <w:bookmarkEnd w:id="406"/>
      <w:bookmarkEnd w:id="407"/>
      <w:bookmarkEnd w:id="408"/>
      <w:bookmarkEnd w:id="409"/>
      <w:bookmarkEnd w:id="410"/>
      <w:bookmarkEnd w:id="411"/>
      <w:bookmarkEnd w:id="412"/>
      <w:bookmarkEnd w:id="413"/>
      <w:bookmarkEnd w:id="414"/>
      <w:bookmarkEnd w:id="415"/>
      <w:bookmarkEnd w:id="416"/>
      <w:bookmarkEnd w:id="417"/>
    </w:p>
    <w:p>
      <w:pPr>
        <w:pStyle w:val="140"/>
        <w:keepNext w:val="0"/>
        <w:keepLines w:val="0"/>
        <w:pageBreakBefore w:val="0"/>
        <w:widowControl w:val="0"/>
        <w:kinsoku/>
        <w:wordWrap/>
        <w:overflowPunct w:val="0"/>
        <w:topLinePunct w:val="0"/>
        <w:autoSpaceDE/>
        <w:autoSpaceDN/>
        <w:bidi w:val="0"/>
        <w:adjustRightInd/>
        <w:snapToGrid/>
        <w:spacing w:before="0" w:line="360" w:lineRule="auto"/>
        <w:ind w:left="0" w:leftChars="0" w:firstLine="480" w:firstLineChars="200"/>
        <w:textAlignment w:val="auto"/>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环境风险评价通常为环境事故风险评价，主要考虑与本项目有关的突发性灾难事故，包括易燃易爆和有害有毒物质时空状态下的泄漏、爆炸和火灾，环保设施故障，以及其它事故伴生的环境风险事故等。</w:t>
      </w:r>
    </w:p>
    <w:p>
      <w:pPr>
        <w:pStyle w:val="140"/>
        <w:keepNext w:val="0"/>
        <w:keepLines w:val="0"/>
        <w:pageBreakBefore w:val="0"/>
        <w:widowControl w:val="0"/>
        <w:kinsoku/>
        <w:wordWrap/>
        <w:overflowPunct w:val="0"/>
        <w:topLinePunct w:val="0"/>
        <w:autoSpaceDE/>
        <w:autoSpaceDN/>
        <w:bidi w:val="0"/>
        <w:adjustRightInd/>
        <w:snapToGrid/>
        <w:spacing w:before="0" w:line="360" w:lineRule="auto"/>
        <w:ind w:left="0" w:leftChars="0"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本项目在运营过程中，所涉及的工艺设备、工艺技术、原辅材料和最终产品，以及工艺操作过程中员工的技术操作水平，自然灾害等不可抗因素都可能造成各类事故发生，必然会潜在引起人员及环境的损害问题。通过对项目运营期间的环境风险预测，模拟计算出发生风险事故时可能造成的对周围人员与环境的影响程度，并针对此危害提出减少伤害损失最优化方案及可行性技术方案，将人和环境损失减小到最低程度，并在事故发生时提出应急预案及可实施的监测方案，使得事故发展趋势能够得以控制。</w:t>
      </w:r>
    </w:p>
    <w:p>
      <w:pPr>
        <w:pStyle w:val="5"/>
        <w:keepNext w:val="0"/>
        <w:keepLines w:val="0"/>
        <w:pageBreakBefore w:val="0"/>
        <w:widowControl w:val="0"/>
        <w:kinsoku/>
        <w:wordWrap/>
        <w:overflowPunct w:val="0"/>
        <w:topLinePunct w:val="0"/>
        <w:autoSpaceDE/>
        <w:autoSpaceDN/>
        <w:bidi w:val="0"/>
        <w:adjustRightInd/>
        <w:snapToGrid/>
        <w:spacing w:before="0" w:after="0" w:line="360" w:lineRule="auto"/>
        <w:textAlignment w:val="auto"/>
        <w:rPr>
          <w:rFonts w:hint="default" w:ascii="Times New Roman" w:hAnsi="Times New Roman" w:cs="Times New Roman"/>
          <w:bCs w:val="0"/>
          <w:color w:val="000000" w:themeColor="text1"/>
          <w:kern w:val="0"/>
          <w:sz w:val="28"/>
          <w:szCs w:val="28"/>
          <w:lang w:val="zh-CN" w:eastAsia="zh-CN"/>
          <w14:textFill>
            <w14:solidFill>
              <w14:schemeClr w14:val="tx1"/>
            </w14:solidFill>
          </w14:textFill>
        </w:rPr>
      </w:pPr>
      <w:bookmarkStart w:id="418" w:name="_Toc2746"/>
      <w:bookmarkStart w:id="419" w:name="_Toc18452"/>
      <w:bookmarkStart w:id="420" w:name="_Toc2828"/>
      <w:bookmarkStart w:id="421" w:name="_Toc7316"/>
      <w:bookmarkStart w:id="422" w:name="_Toc16240"/>
      <w:r>
        <w:rPr>
          <w:rFonts w:hint="eastAsia" w:ascii="Times New Roman" w:hAnsi="Times New Roman" w:cs="Times New Roman"/>
          <w:bCs w:val="0"/>
          <w:color w:val="000000" w:themeColor="text1"/>
          <w:kern w:val="0"/>
          <w:sz w:val="28"/>
          <w:szCs w:val="28"/>
          <w:lang w:val="zh-CN" w:eastAsia="zh-CN"/>
          <w14:textFill>
            <w14:solidFill>
              <w14:schemeClr w14:val="tx1"/>
            </w14:solidFill>
          </w14:textFill>
        </w:rPr>
        <w:t>5.8</w:t>
      </w:r>
      <w:r>
        <w:rPr>
          <w:rFonts w:hint="default" w:ascii="Times New Roman" w:hAnsi="Times New Roman" w:cs="Times New Roman"/>
          <w:bCs w:val="0"/>
          <w:color w:val="000000" w:themeColor="text1"/>
          <w:kern w:val="0"/>
          <w:sz w:val="28"/>
          <w:szCs w:val="28"/>
          <w:lang w:val="zh-CN"/>
          <w14:textFill>
            <w14:solidFill>
              <w14:schemeClr w14:val="tx1"/>
            </w14:solidFill>
          </w14:textFill>
        </w:rPr>
        <w:t xml:space="preserve">.1 </w:t>
      </w:r>
      <w:bookmarkEnd w:id="418"/>
      <w:bookmarkEnd w:id="419"/>
      <w:bookmarkEnd w:id="420"/>
      <w:r>
        <w:rPr>
          <w:rFonts w:hint="default" w:ascii="Times New Roman" w:hAnsi="Times New Roman" w:cs="Times New Roman"/>
          <w:bCs w:val="0"/>
          <w:color w:val="000000" w:themeColor="text1"/>
          <w:kern w:val="0"/>
          <w:sz w:val="28"/>
          <w:szCs w:val="28"/>
          <w:lang w:val="zh-CN" w:eastAsia="zh-CN"/>
          <w14:textFill>
            <w14:solidFill>
              <w14:schemeClr w14:val="tx1"/>
            </w14:solidFill>
          </w14:textFill>
        </w:rPr>
        <w:t>评价依据</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hint="default" w:ascii="Times New Roman" w:hAnsi="Times New Roman" w:cs="Times New Roman"/>
          <w:b/>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8"/>
          <w:szCs w:val="28"/>
          <w:lang w:val="en-US" w:eastAsia="zh-CN" w:bidi="ar-SA"/>
          <w14:textFill>
            <w14:solidFill>
              <w14:schemeClr w14:val="tx1"/>
            </w14:solidFill>
          </w14:textFill>
        </w:rPr>
        <w:t>5.8</w:t>
      </w:r>
      <w:r>
        <w:rPr>
          <w:rFonts w:hint="default" w:ascii="Times New Roman" w:hAnsi="Times New Roman" w:cs="Times New Roman"/>
          <w:b/>
          <w:bCs/>
          <w:color w:val="000000" w:themeColor="text1"/>
          <w:kern w:val="2"/>
          <w:sz w:val="28"/>
          <w:szCs w:val="28"/>
          <w:lang w:val="en-US" w:eastAsia="zh-CN" w:bidi="ar-SA"/>
          <w14:textFill>
            <w14:solidFill>
              <w14:schemeClr w14:val="tx1"/>
            </w14:solidFill>
          </w14:textFill>
        </w:rPr>
        <w:t>.1.1 风险调查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napToGrid w:val="0"/>
          <w:color w:val="000000" w:themeColor="text1"/>
          <w:kern w:val="0"/>
          <w:sz w:val="24"/>
          <w:szCs w:val="24"/>
          <w14:textFill>
            <w14:solidFill>
              <w14:schemeClr w14:val="tx1"/>
            </w14:solidFill>
          </w14:textFill>
        </w:rPr>
      </w:pPr>
      <w:r>
        <w:rPr>
          <w:rFonts w:hint="default" w:ascii="Times New Roman" w:hAnsi="Times New Roman" w:cs="Times New Roman"/>
          <w:snapToGrid w:val="0"/>
          <w:color w:val="000000" w:themeColor="text1"/>
          <w:kern w:val="0"/>
          <w:sz w:val="24"/>
          <w:szCs w:val="24"/>
          <w14:textFill>
            <w14:solidFill>
              <w14:schemeClr w14:val="tx1"/>
            </w14:solidFill>
          </w14:textFill>
        </w:rPr>
        <w:t>按照《危险化学品重大危险源识别》（GB18218-20</w:t>
      </w:r>
      <w:r>
        <w:rPr>
          <w:rFonts w:hint="default" w:ascii="Times New Roman" w:hAnsi="Times New Roman" w:cs="Times New Roman"/>
          <w:snapToGrid w:val="0"/>
          <w:color w:val="000000" w:themeColor="text1"/>
          <w:kern w:val="0"/>
          <w:sz w:val="24"/>
          <w:szCs w:val="24"/>
          <w:lang w:val="en-US" w:eastAsia="zh-CN"/>
          <w14:textFill>
            <w14:solidFill>
              <w14:schemeClr w14:val="tx1"/>
            </w14:solidFill>
          </w14:textFill>
        </w:rPr>
        <w:t>18</w:t>
      </w:r>
      <w:r>
        <w:rPr>
          <w:rFonts w:hint="default" w:ascii="Times New Roman" w:hAnsi="Times New Roman" w:cs="Times New Roman"/>
          <w:snapToGrid w:val="0"/>
          <w:color w:val="000000" w:themeColor="text1"/>
          <w:kern w:val="0"/>
          <w:sz w:val="24"/>
          <w:szCs w:val="24"/>
          <w14:textFill>
            <w14:solidFill>
              <w14:schemeClr w14:val="tx1"/>
            </w14:solidFill>
          </w14:textFill>
        </w:rPr>
        <w:t>）规定，对拟建装置涉及的原料、产品进行识别，本项目</w:t>
      </w:r>
      <w:r>
        <w:rPr>
          <w:rFonts w:hint="eastAsia" w:ascii="Times New Roman" w:hAnsi="Times New Roman" w:cs="Times New Roman"/>
          <w:snapToGrid w:val="0"/>
          <w:color w:val="000000" w:themeColor="text1"/>
          <w:kern w:val="0"/>
          <w:sz w:val="24"/>
          <w:szCs w:val="24"/>
          <w:lang w:eastAsia="zh-CN"/>
          <w14:textFill>
            <w14:solidFill>
              <w14:schemeClr w14:val="tx1"/>
            </w14:solidFill>
          </w14:textFill>
        </w:rPr>
        <w:t>主要危险物质为液氨，厂内采用两个</w:t>
      </w:r>
      <w:r>
        <w:rPr>
          <w:rFonts w:hint="eastAsia" w:ascii="Times New Roman" w:hAnsi="Times New Roman" w:cs="Times New Roman"/>
          <w:snapToGrid w:val="0"/>
          <w:color w:val="000000" w:themeColor="text1"/>
          <w:kern w:val="0"/>
          <w:sz w:val="24"/>
          <w:szCs w:val="24"/>
          <w:lang w:val="en-US" w:eastAsia="zh-CN"/>
          <w14:textFill>
            <w14:solidFill>
              <w14:schemeClr w14:val="tx1"/>
            </w14:solidFill>
          </w14:textFill>
        </w:rPr>
        <w:t>8m</w:t>
      </w:r>
      <w:r>
        <w:rPr>
          <w:rFonts w:hint="eastAsia" w:ascii="Times New Roman" w:hAnsi="Times New Roman" w:cs="Times New Roman"/>
          <w:snapToGrid w:val="0"/>
          <w:color w:val="000000" w:themeColor="text1"/>
          <w:kern w:val="0"/>
          <w:sz w:val="24"/>
          <w:szCs w:val="24"/>
          <w:vertAlign w:val="superscript"/>
          <w:lang w:val="en-US" w:eastAsia="zh-CN"/>
          <w14:textFill>
            <w14:solidFill>
              <w14:schemeClr w14:val="tx1"/>
            </w14:solidFill>
          </w14:textFill>
        </w:rPr>
        <w:t>3</w:t>
      </w:r>
      <w:r>
        <w:rPr>
          <w:rFonts w:hint="eastAsia" w:ascii="Times New Roman" w:hAnsi="Times New Roman" w:cs="Times New Roman"/>
          <w:snapToGrid w:val="0"/>
          <w:color w:val="000000" w:themeColor="text1"/>
          <w:kern w:val="0"/>
          <w:sz w:val="24"/>
          <w:szCs w:val="24"/>
          <w:lang w:val="en-US" w:eastAsia="zh-CN"/>
          <w14:textFill>
            <w14:solidFill>
              <w14:schemeClr w14:val="tx1"/>
            </w14:solidFill>
          </w14:textFill>
        </w:rPr>
        <w:t>储罐贮存，属于毒性气体，厂内最大存储量16m</w:t>
      </w:r>
      <w:r>
        <w:rPr>
          <w:rFonts w:hint="eastAsia" w:ascii="Times New Roman" w:hAnsi="Times New Roman" w:cs="Times New Roman"/>
          <w:snapToGrid w:val="0"/>
          <w:color w:val="000000" w:themeColor="text1"/>
          <w:kern w:val="0"/>
          <w:sz w:val="24"/>
          <w:szCs w:val="24"/>
          <w:vertAlign w:val="superscript"/>
          <w:lang w:val="en-US" w:eastAsia="zh-CN"/>
          <w14:textFill>
            <w14:solidFill>
              <w14:schemeClr w14:val="tx1"/>
            </w14:solidFill>
          </w14:textFill>
        </w:rPr>
        <w:t>3</w:t>
      </w:r>
      <w:r>
        <w:rPr>
          <w:rFonts w:hint="eastAsia" w:ascii="Times New Roman" w:hAnsi="Times New Roman" w:cs="Times New Roman"/>
          <w:snapToGrid w:val="0"/>
          <w:color w:val="000000" w:themeColor="text1"/>
          <w:kern w:val="0"/>
          <w:sz w:val="24"/>
          <w:szCs w:val="24"/>
          <w:lang w:val="en-US" w:eastAsia="zh-CN"/>
          <w14:textFill>
            <w14:solidFill>
              <w14:schemeClr w14:val="tx1"/>
            </w14:solidFill>
          </w14:textFill>
        </w:rPr>
        <w:t>，根据液氨的密度为0.617t/m</w:t>
      </w:r>
      <w:r>
        <w:rPr>
          <w:rFonts w:hint="eastAsia" w:ascii="Times New Roman" w:hAnsi="Times New Roman" w:cs="Times New Roman"/>
          <w:snapToGrid w:val="0"/>
          <w:color w:val="000000" w:themeColor="text1"/>
          <w:kern w:val="0"/>
          <w:sz w:val="24"/>
          <w:szCs w:val="24"/>
          <w:vertAlign w:val="superscript"/>
          <w:lang w:val="en-US" w:eastAsia="zh-CN"/>
          <w14:textFill>
            <w14:solidFill>
              <w14:schemeClr w14:val="tx1"/>
            </w14:solidFill>
          </w14:textFill>
        </w:rPr>
        <w:t>3</w:t>
      </w:r>
      <w:r>
        <w:rPr>
          <w:rFonts w:hint="eastAsia" w:ascii="Times New Roman" w:hAnsi="Times New Roman" w:cs="Times New Roman"/>
          <w:snapToGrid w:val="0"/>
          <w:color w:val="000000" w:themeColor="text1"/>
          <w:kern w:val="0"/>
          <w:sz w:val="24"/>
          <w:szCs w:val="24"/>
          <w:lang w:val="en-US" w:eastAsia="zh-CN"/>
          <w14:textFill>
            <w14:solidFill>
              <w14:schemeClr w14:val="tx1"/>
            </w14:solidFill>
          </w14:textFill>
        </w:rPr>
        <w:t>计算，厂内最大存储量为9.872t，液氨临界值为10t，不属于重大危险源。</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hint="default" w:ascii="Times New Roman" w:hAnsi="Times New Roman" w:cs="Times New Roman"/>
          <w:b/>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8"/>
          <w:szCs w:val="28"/>
          <w:lang w:val="en-US" w:eastAsia="zh-CN" w:bidi="ar-SA"/>
          <w14:textFill>
            <w14:solidFill>
              <w14:schemeClr w14:val="tx1"/>
            </w14:solidFill>
          </w14:textFill>
        </w:rPr>
        <w:t>5.8</w:t>
      </w:r>
      <w:r>
        <w:rPr>
          <w:rFonts w:hint="default" w:ascii="Times New Roman" w:hAnsi="Times New Roman" w:cs="Times New Roman"/>
          <w:b/>
          <w:bCs/>
          <w:color w:val="000000" w:themeColor="text1"/>
          <w:kern w:val="2"/>
          <w:sz w:val="28"/>
          <w:szCs w:val="28"/>
          <w:lang w:val="en-US" w:eastAsia="zh-CN" w:bidi="ar-SA"/>
          <w14:textFill>
            <w14:solidFill>
              <w14:schemeClr w14:val="tx1"/>
            </w14:solidFill>
          </w14:textFill>
        </w:rPr>
        <w:t>.1.2 环境风险潜势划分</w:t>
      </w:r>
    </w:p>
    <w:p>
      <w:pPr>
        <w:pStyle w:val="1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val="0"/>
          <w:snapToGrid w:val="0"/>
          <w:color w:val="000000" w:themeColor="text1"/>
          <w14:textFill>
            <w14:solidFill>
              <w14:schemeClr w14:val="tx1"/>
            </w14:solidFill>
          </w14:textFill>
        </w:rPr>
      </w:pPr>
      <w:r>
        <w:rPr>
          <w:rFonts w:hint="default" w:ascii="Times New Roman" w:hAnsi="Times New Roman" w:eastAsia="宋体" w:cs="Times New Roman"/>
          <w:bCs w:val="0"/>
          <w:snapToGrid w:val="0"/>
          <w:color w:val="000000" w:themeColor="text1"/>
          <w14:textFill>
            <w14:solidFill>
              <w14:schemeClr w14:val="tx1"/>
            </w14:solidFill>
          </w14:textFill>
        </w:rPr>
        <w:t>根据《建设项目环境风险评价技术导则》（HJ169-2018）, 建设项目环境风险潜势划分为Ⅰ、Ⅱ、Ⅲ、Ⅳ/Ⅳ+级。</w:t>
      </w:r>
    </w:p>
    <w:p>
      <w:pPr>
        <w:pStyle w:val="129"/>
        <w:rPr>
          <w:rFonts w:hint="default" w:ascii="Times New Roman" w:hAnsi="Times New Roman" w:eastAsia="宋体" w:cs="Times New Roman"/>
          <w:bCs w:val="0"/>
          <w:snapToGrid w:val="0"/>
          <w:color w:val="000000" w:themeColor="text1"/>
          <w14:textFill>
            <w14:solidFill>
              <w14:schemeClr w14:val="tx1"/>
            </w14:solidFill>
          </w14:textFill>
        </w:rPr>
      </w:pPr>
      <w:r>
        <w:rPr>
          <w:rFonts w:hint="default" w:ascii="Times New Roman" w:hAnsi="Times New Roman" w:eastAsia="宋体" w:cs="Times New Roman"/>
          <w:bCs w:val="0"/>
          <w:snapToGrid w:val="0"/>
          <w:color w:val="000000" w:themeColor="text1"/>
          <w14:textFill>
            <w14:solidFill>
              <w14:schemeClr w14:val="tx1"/>
            </w14:solidFill>
          </w14:textFill>
        </w:rPr>
        <w:t>根据建设项目涉及的物质和工艺系统的危险性及其所在地的环境敏感程度，结合事故情环境影响途径，对建设项目潜在环境危害程度进行概化分析，进而确定环境风险潜势，见表</w:t>
      </w:r>
      <w:r>
        <w:rPr>
          <w:rFonts w:hint="eastAsia" w:ascii="Times New Roman" w:hAnsi="Times New Roman" w:eastAsia="宋体" w:cs="Times New Roman"/>
          <w:bCs w:val="0"/>
          <w:snapToGrid w:val="0"/>
          <w:color w:val="000000" w:themeColor="text1"/>
          <w:lang w:eastAsia="zh-CN"/>
          <w14:textFill>
            <w14:solidFill>
              <w14:schemeClr w14:val="tx1"/>
            </w14:solidFill>
          </w14:textFill>
        </w:rPr>
        <w:t>5.8</w:t>
      </w:r>
      <w:r>
        <w:rPr>
          <w:rFonts w:hint="default" w:ascii="Times New Roman" w:hAnsi="Times New Roman" w:eastAsia="宋体" w:cs="Times New Roman"/>
          <w:bCs w:val="0"/>
          <w:snapToGrid w:val="0"/>
          <w:color w:val="000000" w:themeColor="text1"/>
          <w14:textFill>
            <w14:solidFill>
              <w14:schemeClr w14:val="tx1"/>
            </w14:solidFill>
          </w14:textFill>
        </w:rPr>
        <w:t>-</w:t>
      </w:r>
      <w:r>
        <w:rPr>
          <w:rFonts w:hint="default" w:ascii="Times New Roman" w:hAnsi="Times New Roman" w:eastAsia="宋体" w:cs="Times New Roman"/>
          <w:bCs w:val="0"/>
          <w:snapToGrid w:val="0"/>
          <w:color w:val="000000" w:themeColor="text1"/>
          <w:lang w:val="en-US" w:eastAsia="zh-CN"/>
          <w14:textFill>
            <w14:solidFill>
              <w14:schemeClr w14:val="tx1"/>
            </w14:solidFill>
          </w14:textFill>
        </w:rPr>
        <w:t>1</w:t>
      </w:r>
      <w:r>
        <w:rPr>
          <w:rFonts w:hint="default" w:ascii="Times New Roman" w:hAnsi="Times New Roman" w:eastAsia="宋体" w:cs="Times New Roman"/>
          <w:bCs w:val="0"/>
          <w:snapToGrid w:val="0"/>
          <w:color w:val="000000" w:themeColor="text1"/>
          <w14:textFill>
            <w14:solidFill>
              <w14:schemeClr w14:val="tx1"/>
            </w14:solidFill>
          </w14:textFill>
        </w:rPr>
        <w:t>。</w:t>
      </w:r>
    </w:p>
    <w:p>
      <w:pPr>
        <w:pStyle w:val="131"/>
        <w:keepNext w:val="0"/>
        <w:keepLines w:val="0"/>
        <w:pageBreakBefore w:val="0"/>
        <w:widowControl w:val="0"/>
        <w:kinsoku/>
        <w:wordWrap/>
        <w:overflowPunct/>
        <w:topLinePunct w:val="0"/>
        <w:autoSpaceDE/>
        <w:autoSpaceDN/>
        <w:bidi w:val="0"/>
        <w:adjustRightInd/>
        <w:snapToGrid w:val="0"/>
        <w:spacing w:before="157" w:beforeLines="50" w:line="240" w:lineRule="auto"/>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w:t>
      </w:r>
      <w:r>
        <w:rPr>
          <w:rFonts w:hint="default" w:ascii="Times New Roman" w:hAnsi="Times New Roman" w:eastAsia="黑体" w:cs="Times New Roman"/>
          <w:b w:val="0"/>
          <w:bCs w:val="0"/>
          <w:color w:val="000000" w:themeColor="text1"/>
          <w:sz w:val="21"/>
          <w:szCs w:val="21"/>
          <w:lang w:eastAsia="zh-CN"/>
          <w14:textFill>
            <w14:solidFill>
              <w14:schemeClr w14:val="tx1"/>
            </w14:solidFill>
          </w14:textFill>
        </w:rPr>
        <w:t>5.8</w:t>
      </w:r>
      <w:r>
        <w:rPr>
          <w:rFonts w:hint="default" w:ascii="Times New Roman" w:hAnsi="Times New Roman" w:eastAsia="黑体" w:cs="Times New Roman"/>
          <w:b w:val="0"/>
          <w:bCs w:val="0"/>
          <w:color w:val="000000" w:themeColor="text1"/>
          <w:sz w:val="21"/>
          <w:szCs w:val="21"/>
          <w14:textFill>
            <w14:solidFill>
              <w14:schemeClr w14:val="tx1"/>
            </w14:solidFill>
          </w14:textFill>
        </w:rPr>
        <w:t>-</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项目环境风险潜势划分依据一览表</w:t>
      </w:r>
    </w:p>
    <w:tbl>
      <w:tblPr>
        <w:tblStyle w:val="21"/>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4" w:type="dxa"/>
            <w:vMerge w:val="restart"/>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环境敏感程度</w:t>
            </w:r>
          </w:p>
        </w:tc>
        <w:tc>
          <w:tcPr>
            <w:tcW w:w="6818" w:type="dxa"/>
            <w:gridSpan w:val="4"/>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危险物质及工艺系统危险性P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4" w:type="dxa"/>
            <w:vMerge w:val="continue"/>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p>
        </w:tc>
        <w:tc>
          <w:tcPr>
            <w:tcW w:w="1704"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极高危害（P1）</w:t>
            </w:r>
          </w:p>
        </w:tc>
        <w:tc>
          <w:tcPr>
            <w:tcW w:w="1704"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高度危害（P2）</w:t>
            </w:r>
          </w:p>
        </w:tc>
        <w:tc>
          <w:tcPr>
            <w:tcW w:w="1705"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中度危害（P3）</w:t>
            </w:r>
          </w:p>
        </w:tc>
        <w:tc>
          <w:tcPr>
            <w:tcW w:w="1705"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轻度危害（P4）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4"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环境高敏感度区（E1）</w:t>
            </w:r>
          </w:p>
        </w:tc>
        <w:tc>
          <w:tcPr>
            <w:tcW w:w="1704"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Ⅳ</w:t>
            </w:r>
            <w:r>
              <w:rPr>
                <w:rFonts w:hint="default" w:ascii="Times New Roman" w:hAnsi="Times New Roman" w:cs="Times New Roman"/>
                <w:color w:val="000000" w:themeColor="text1"/>
                <w:sz w:val="21"/>
                <w:szCs w:val="21"/>
                <w:vertAlign w:val="superscript"/>
                <w14:textFill>
                  <w14:solidFill>
                    <w14:schemeClr w14:val="tx1"/>
                  </w14:solidFill>
                </w14:textFill>
              </w:rPr>
              <w:t>+</w:t>
            </w:r>
          </w:p>
        </w:tc>
        <w:tc>
          <w:tcPr>
            <w:tcW w:w="1704"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Ⅳ</w:t>
            </w:r>
          </w:p>
        </w:tc>
        <w:tc>
          <w:tcPr>
            <w:tcW w:w="1705"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Ⅲ</w:t>
            </w:r>
          </w:p>
        </w:tc>
        <w:tc>
          <w:tcPr>
            <w:tcW w:w="1705"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4"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环境中敏感度区（E2）</w:t>
            </w:r>
          </w:p>
        </w:tc>
        <w:tc>
          <w:tcPr>
            <w:tcW w:w="1704"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Ⅳ</w:t>
            </w:r>
          </w:p>
        </w:tc>
        <w:tc>
          <w:tcPr>
            <w:tcW w:w="1704"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Ⅲ</w:t>
            </w:r>
          </w:p>
        </w:tc>
        <w:tc>
          <w:tcPr>
            <w:tcW w:w="1705"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Ⅲ</w:t>
            </w:r>
          </w:p>
        </w:tc>
        <w:tc>
          <w:tcPr>
            <w:tcW w:w="1705"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4"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环境低敏感度区（E3）</w:t>
            </w:r>
          </w:p>
        </w:tc>
        <w:tc>
          <w:tcPr>
            <w:tcW w:w="1704"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Ⅲ</w:t>
            </w:r>
          </w:p>
        </w:tc>
        <w:tc>
          <w:tcPr>
            <w:tcW w:w="1704"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Ⅲ</w:t>
            </w:r>
          </w:p>
        </w:tc>
        <w:tc>
          <w:tcPr>
            <w:tcW w:w="1705"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Ⅱ</w:t>
            </w:r>
          </w:p>
        </w:tc>
        <w:tc>
          <w:tcPr>
            <w:tcW w:w="1705"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22" w:type="dxa"/>
            <w:gridSpan w:val="5"/>
            <w:noWrap w:val="0"/>
            <w:vAlign w:val="center"/>
          </w:tcPr>
          <w:p>
            <w:pPr>
              <w:pStyle w:val="132"/>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注：Ⅳ</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为极高环境风险</w:t>
            </w:r>
          </w:p>
        </w:tc>
      </w:tr>
    </w:tbl>
    <w:p>
      <w:pPr>
        <w:pStyle w:val="141"/>
        <w:rPr>
          <w:rFonts w:hint="default" w:ascii="Times New Roman" w:hAnsi="Times New Roman" w:cs="Times New Roman"/>
          <w:color w:val="000000" w:themeColor="text1"/>
          <w14:textFill>
            <w14:solidFill>
              <w14:schemeClr w14:val="tx1"/>
            </w14:solidFill>
          </w14:textFill>
        </w:rPr>
      </w:pPr>
    </w:p>
    <w:p>
      <w:pPr>
        <w:pStyle w:val="129"/>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Cs w:val="0"/>
          <w:snapToGrid w:val="0"/>
          <w:color w:val="000000" w:themeColor="text1"/>
          <w14:textFill>
            <w14:solidFill>
              <w14:schemeClr w14:val="tx1"/>
            </w14:solidFill>
          </w14:textFill>
        </w:rPr>
        <w:t>本项目生产、使用、储存过程中涉及的有毒有害、易燃易爆物质主要为</w:t>
      </w:r>
      <w:r>
        <w:rPr>
          <w:rFonts w:hint="eastAsia" w:ascii="Times New Roman" w:hAnsi="Times New Roman" w:eastAsia="宋体" w:cs="Times New Roman"/>
          <w:bCs w:val="0"/>
          <w:snapToGrid w:val="0"/>
          <w:color w:val="000000" w:themeColor="text1"/>
          <w:lang w:eastAsia="zh-CN"/>
          <w14:textFill>
            <w14:solidFill>
              <w14:schemeClr w14:val="tx1"/>
            </w14:solidFill>
          </w14:textFill>
        </w:rPr>
        <w:t>液</w:t>
      </w:r>
      <w:r>
        <w:rPr>
          <w:rFonts w:hint="default" w:ascii="Times New Roman" w:hAnsi="Times New Roman" w:eastAsia="宋体" w:cs="Times New Roman"/>
          <w:bCs w:val="0"/>
          <w:snapToGrid w:val="0"/>
          <w:color w:val="000000" w:themeColor="text1"/>
          <w14:textFill>
            <w14:solidFill>
              <w14:schemeClr w14:val="tx1"/>
            </w14:solidFill>
          </w14:textFill>
        </w:rPr>
        <w:t>氨</w:t>
      </w:r>
      <w:r>
        <w:rPr>
          <w:rFonts w:hint="eastAsia" w:ascii="Times New Roman" w:hAnsi="Times New Roman" w:eastAsia="宋体" w:cs="Times New Roman"/>
          <w:bCs w:val="0"/>
          <w:snapToGrid w:val="0"/>
          <w:color w:val="000000" w:themeColor="text1"/>
          <w:lang w:eastAsia="zh-CN"/>
          <w14:textFill>
            <w14:solidFill>
              <w14:schemeClr w14:val="tx1"/>
            </w14:solidFill>
          </w14:textFill>
        </w:rPr>
        <w:t>，</w:t>
      </w:r>
      <w:r>
        <w:rPr>
          <w:rFonts w:hint="eastAsia" w:ascii="Times New Roman" w:hAnsi="Times New Roman" w:eastAsia="宋体" w:cs="Times New Roman"/>
          <w:bCs w:val="0"/>
          <w:snapToGrid w:val="0"/>
          <w:color w:val="000000" w:themeColor="text1"/>
          <w:lang w:val="en-US" w:eastAsia="zh-CN"/>
          <w14:textFill>
            <w14:solidFill>
              <w14:schemeClr w14:val="tx1"/>
            </w14:solidFill>
          </w14:textFill>
        </w:rPr>
        <w:t>厂内最大存储量16m</w:t>
      </w:r>
      <w:r>
        <w:rPr>
          <w:rFonts w:hint="eastAsia" w:ascii="Times New Roman" w:hAnsi="Times New Roman" w:eastAsia="宋体" w:cs="Times New Roman"/>
          <w:bCs w:val="0"/>
          <w:snapToGrid w:val="0"/>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bCs w:val="0"/>
          <w:snapToGrid w:val="0"/>
          <w:color w:val="000000" w:themeColor="text1"/>
          <w:lang w:val="en-US" w:eastAsia="zh-CN"/>
          <w14:textFill>
            <w14:solidFill>
              <w14:schemeClr w14:val="tx1"/>
            </w14:solidFill>
          </w14:textFill>
        </w:rPr>
        <w:t>，根据液氨的密度为0.617t/m</w:t>
      </w:r>
      <w:r>
        <w:rPr>
          <w:rFonts w:hint="eastAsia" w:ascii="Times New Roman" w:hAnsi="Times New Roman" w:eastAsia="宋体" w:cs="Times New Roman"/>
          <w:bCs w:val="0"/>
          <w:snapToGrid w:val="0"/>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bCs w:val="0"/>
          <w:snapToGrid w:val="0"/>
          <w:color w:val="000000" w:themeColor="text1"/>
          <w:lang w:val="en-US" w:eastAsia="zh-CN"/>
          <w14:textFill>
            <w14:solidFill>
              <w14:schemeClr w14:val="tx1"/>
            </w14:solidFill>
          </w14:textFill>
        </w:rPr>
        <w:t>计算，厂内最大存储量为9.872t，液氨临界值为10t，</w:t>
      </w:r>
      <w:r>
        <w:rPr>
          <w:rFonts w:hint="default" w:ascii="Times New Roman" w:hAnsi="Times New Roman" w:eastAsia="宋体" w:cs="Times New Roman"/>
          <w:bCs w:val="0"/>
          <w:snapToGrid w:val="0"/>
          <w:color w:val="000000" w:themeColor="text1"/>
          <w14:textFill>
            <w14:solidFill>
              <w14:schemeClr w14:val="tx1"/>
            </w14:solidFill>
          </w14:textFill>
        </w:rPr>
        <w:t>具体见表</w:t>
      </w:r>
      <w:r>
        <w:rPr>
          <w:rFonts w:hint="eastAsia" w:ascii="Times New Roman" w:hAnsi="Times New Roman" w:eastAsia="宋体" w:cs="Times New Roman"/>
          <w:bCs w:val="0"/>
          <w:snapToGrid w:val="0"/>
          <w:color w:val="000000" w:themeColor="text1"/>
          <w:lang w:eastAsia="zh-CN"/>
          <w14:textFill>
            <w14:solidFill>
              <w14:schemeClr w14:val="tx1"/>
            </w14:solidFill>
          </w14:textFill>
        </w:rPr>
        <w:t>5.8</w:t>
      </w:r>
      <w:r>
        <w:rPr>
          <w:rFonts w:hint="default" w:ascii="Times New Roman" w:hAnsi="Times New Roman" w:eastAsia="宋体" w:cs="Times New Roman"/>
          <w:bCs w:val="0"/>
          <w:snapToGrid w:val="0"/>
          <w:color w:val="000000" w:themeColor="text1"/>
          <w14:textFill>
            <w14:solidFill>
              <w14:schemeClr w14:val="tx1"/>
            </w14:solidFill>
          </w14:textFill>
        </w:rPr>
        <w:t>-</w:t>
      </w:r>
      <w:r>
        <w:rPr>
          <w:rFonts w:hint="default" w:ascii="Times New Roman" w:hAnsi="Times New Roman" w:eastAsia="宋体" w:cs="Times New Roman"/>
          <w:bCs w:val="0"/>
          <w:snapToGrid w:val="0"/>
          <w:color w:val="000000" w:themeColor="text1"/>
          <w:lang w:val="en-US" w:eastAsia="zh-CN"/>
          <w14:textFill>
            <w14:solidFill>
              <w14:schemeClr w14:val="tx1"/>
            </w14:solidFill>
          </w14:textFill>
        </w:rPr>
        <w:t>2</w:t>
      </w:r>
      <w:r>
        <w:rPr>
          <w:rFonts w:hint="default" w:ascii="Times New Roman" w:hAnsi="Times New Roman" w:eastAsia="宋体" w:cs="Times New Roman"/>
          <w:bCs w:val="0"/>
          <w:snapToGrid w:val="0"/>
          <w:color w:val="000000" w:themeColor="text1"/>
          <w14:textFill>
            <w14:solidFill>
              <w14:schemeClr w14:val="tx1"/>
            </w14:solidFill>
          </w14:textFill>
        </w:rPr>
        <w:t>。</w:t>
      </w:r>
    </w:p>
    <w:p>
      <w:pPr>
        <w:pStyle w:val="131"/>
        <w:keepNext w:val="0"/>
        <w:keepLines w:val="0"/>
        <w:pageBreakBefore w:val="0"/>
        <w:widowControl w:val="0"/>
        <w:shd w:val="clear" w:color="auto" w:fill="auto"/>
        <w:kinsoku/>
        <w:wordWrap/>
        <w:overflowPunct/>
        <w:topLinePunct w:val="0"/>
        <w:autoSpaceDE/>
        <w:autoSpaceDN/>
        <w:bidi w:val="0"/>
        <w:adjustRightInd/>
        <w:snapToGrid w:val="0"/>
        <w:spacing w:before="157" w:beforeLines="50" w:line="240" w:lineRule="auto"/>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w:t>
      </w:r>
      <w: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t>5.8</w:t>
      </w:r>
      <w:r>
        <w:rPr>
          <w:rFonts w:hint="default" w:ascii="Times New Roman" w:hAnsi="Times New Roman" w:eastAsia="黑体" w:cs="Times New Roman"/>
          <w:b w:val="0"/>
          <w:bCs w:val="0"/>
          <w:color w:val="000000" w:themeColor="text1"/>
          <w:sz w:val="21"/>
          <w:szCs w:val="21"/>
          <w14:textFill>
            <w14:solidFill>
              <w14:schemeClr w14:val="tx1"/>
            </w14:solidFill>
          </w14:textFill>
        </w:rPr>
        <w:t>-</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项目危险化学品储存量一览表</w:t>
      </w:r>
    </w:p>
    <w:tbl>
      <w:tblPr>
        <w:tblStyle w:val="21"/>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noWrap w:val="0"/>
            <w:vAlign w:val="top"/>
          </w:tcPr>
          <w:p>
            <w:pPr>
              <w:pStyle w:val="132"/>
              <w:spacing w:line="40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危险物质名称</w:t>
            </w:r>
          </w:p>
        </w:tc>
        <w:tc>
          <w:tcPr>
            <w:tcW w:w="2130" w:type="dxa"/>
            <w:noWrap w:val="0"/>
            <w:vAlign w:val="top"/>
          </w:tcPr>
          <w:p>
            <w:pPr>
              <w:pStyle w:val="132"/>
              <w:spacing w:line="40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储存位置</w:t>
            </w:r>
          </w:p>
        </w:tc>
        <w:tc>
          <w:tcPr>
            <w:tcW w:w="2131" w:type="dxa"/>
            <w:noWrap w:val="0"/>
            <w:vAlign w:val="top"/>
          </w:tcPr>
          <w:p>
            <w:pPr>
              <w:pStyle w:val="132"/>
              <w:spacing w:line="40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最大储存量（t）</w:t>
            </w:r>
          </w:p>
        </w:tc>
        <w:tc>
          <w:tcPr>
            <w:tcW w:w="2131" w:type="dxa"/>
            <w:noWrap w:val="0"/>
            <w:vAlign w:val="top"/>
          </w:tcPr>
          <w:p>
            <w:pPr>
              <w:pStyle w:val="132"/>
              <w:spacing w:line="40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临界量(t)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noWrap w:val="0"/>
            <w:vAlign w:val="top"/>
          </w:tcPr>
          <w:p>
            <w:pPr>
              <w:pStyle w:val="132"/>
              <w:spacing w:line="400" w:lineRule="exac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液</w:t>
            </w:r>
            <w:r>
              <w:rPr>
                <w:rFonts w:hint="default" w:ascii="Times New Roman" w:hAnsi="Times New Roman" w:cs="Times New Roman"/>
                <w:color w:val="000000" w:themeColor="text1"/>
                <w:sz w:val="21"/>
                <w:szCs w:val="21"/>
                <w14:textFill>
                  <w14:solidFill>
                    <w14:schemeClr w14:val="tx1"/>
                  </w14:solidFill>
                </w14:textFill>
              </w:rPr>
              <w:t>氨气</w:t>
            </w:r>
          </w:p>
        </w:tc>
        <w:tc>
          <w:tcPr>
            <w:tcW w:w="2130" w:type="dxa"/>
            <w:noWrap w:val="0"/>
            <w:vAlign w:val="top"/>
          </w:tcPr>
          <w:p>
            <w:pPr>
              <w:pStyle w:val="132"/>
              <w:spacing w:line="400" w:lineRule="exac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液氨存储罐</w:t>
            </w:r>
          </w:p>
        </w:tc>
        <w:tc>
          <w:tcPr>
            <w:tcW w:w="2131" w:type="dxa"/>
            <w:noWrap w:val="0"/>
            <w:vAlign w:val="top"/>
          </w:tcPr>
          <w:p>
            <w:pPr>
              <w:pStyle w:val="132"/>
              <w:spacing w:line="400" w:lineRule="exac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9.872</w:t>
            </w:r>
          </w:p>
        </w:tc>
        <w:tc>
          <w:tcPr>
            <w:tcW w:w="2131" w:type="dxa"/>
            <w:noWrap w:val="0"/>
            <w:vAlign w:val="top"/>
          </w:tcPr>
          <w:p>
            <w:pPr>
              <w:pStyle w:val="132"/>
              <w:spacing w:line="400" w:lineRule="exac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w:t>
            </w:r>
          </w:p>
        </w:tc>
      </w:tr>
    </w:tbl>
    <w:p>
      <w:pPr>
        <w:pStyle w:val="141"/>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注：最大储量按当天产生的最大气体量计算</w:t>
      </w:r>
    </w:p>
    <w:p>
      <w:pPr>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14:textFill>
            <w14:solidFill>
              <w14:schemeClr w14:val="tx1"/>
            </w14:solidFill>
          </w14:textFill>
        </w:rPr>
        <w:t>Q值的确定</w:t>
      </w:r>
    </w:p>
    <w:p>
      <w:pPr>
        <w:pStyle w:val="12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根据《建设项目环境风险评价技术导则》（HJ169-2018）附录C的规定：</w:t>
      </w:r>
    </w:p>
    <w:p>
      <w:pPr>
        <w:pStyle w:val="12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（1）当厂界内只涉及一种危险物质时，计算该物质的总量与其临界量比值，即为 Q；</w:t>
      </w:r>
    </w:p>
    <w:p>
      <w:pPr>
        <w:pStyle w:val="12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pict>
          <v:shape id="对象 989" o:spid="_x0000_s2050" o:spt="75" type="#_x0000_t75" style="position:absolute;left:0pt;margin-left:91.85pt;margin-top:39.55pt;height:35.4pt;width:97.45pt;z-index:252129280;mso-width-relative:page;mso-height-relative:page;" o:ole="t" filled="f" o:preferrelative="t" stroked="f" coordsize="21600,21600">
            <v:path/>
            <v:fill on="f" alignshape="1" focussize="0,0"/>
            <v:stroke on="f"/>
            <v:imagedata r:id="rId99" o:title=""/>
            <o:lock v:ext="edit" aspectratio="t"/>
          </v:shape>
          <o:OLEObject Type="Embed" ProgID="Equation.3" ShapeID="对象 989" DrawAspect="Content" ObjectID="_1468075762" r:id="rId98">
            <o:LockedField>false</o:LockedField>
          </o:OLEObject>
        </w:pict>
      </w:r>
      <w:r>
        <w:rPr>
          <w:rFonts w:hint="default" w:ascii="Times New Roman" w:hAnsi="Times New Roman" w:eastAsia="宋体" w:cs="Times New Roman"/>
          <w:color w:val="000000" w:themeColor="text1"/>
          <w14:textFill>
            <w14:solidFill>
              <w14:schemeClr w14:val="tx1"/>
            </w14:solidFill>
          </w14:textFill>
        </w:rPr>
        <w:t>（2）当厂界内存在多种危险物质时，则按式（C.1）计算物质总量与其临界量比值（Q）：</w:t>
      </w:r>
    </w:p>
    <w:p>
      <w:pPr>
        <w:pStyle w:val="140"/>
        <w:ind w:firstLine="1440" w:firstLineChars="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                    ………………………… (C.1)</w:t>
      </w:r>
    </w:p>
    <w:p>
      <w:pPr>
        <w:pStyle w:val="129"/>
        <w:rPr>
          <w:rFonts w:hint="default" w:ascii="Times New Roman" w:hAnsi="Times New Roman" w:eastAsia="宋体" w:cs="Times New Roman"/>
          <w:color w:val="000000" w:themeColor="text1"/>
          <w14:textFill>
            <w14:solidFill>
              <w14:schemeClr w14:val="tx1"/>
            </w14:solidFill>
          </w14:textFill>
        </w:rPr>
      </w:pPr>
    </w:p>
    <w:p>
      <w:pPr>
        <w:pStyle w:val="12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式中，q</w:t>
      </w:r>
      <w:r>
        <w:rPr>
          <w:rFonts w:hint="default" w:ascii="Times New Roman" w:hAnsi="Times New Roman" w:eastAsia="宋体" w:cs="Times New Roman"/>
          <w:color w:val="000000" w:themeColor="text1"/>
          <w:vertAlign w:val="subscript"/>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，q</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，…q</w:t>
      </w:r>
      <w:r>
        <w:rPr>
          <w:rFonts w:hint="default" w:ascii="Times New Roman" w:hAnsi="Times New Roman" w:eastAsia="宋体" w:cs="Times New Roman"/>
          <w:color w:val="000000" w:themeColor="text1"/>
          <w:vertAlign w:val="subscript"/>
          <w14:textFill>
            <w14:solidFill>
              <w14:schemeClr w14:val="tx1"/>
            </w14:solidFill>
          </w14:textFill>
        </w:rPr>
        <w:t>n</w:t>
      </w:r>
      <w:r>
        <w:rPr>
          <w:rFonts w:hint="default" w:ascii="Times New Roman" w:hAnsi="Times New Roman" w:eastAsia="宋体" w:cs="Times New Roman"/>
          <w:color w:val="000000" w:themeColor="text1"/>
          <w14:textFill>
            <w14:solidFill>
              <w14:schemeClr w14:val="tx1"/>
            </w14:solidFill>
          </w14:textFill>
        </w:rPr>
        <w:t>—每种危险物质的最大存在总量，t；</w:t>
      </w:r>
    </w:p>
    <w:p>
      <w:pPr>
        <w:pStyle w:val="12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Q</w:t>
      </w:r>
      <w:r>
        <w:rPr>
          <w:rFonts w:hint="default" w:ascii="Times New Roman" w:hAnsi="Times New Roman" w:eastAsia="宋体" w:cs="Times New Roman"/>
          <w:color w:val="000000" w:themeColor="text1"/>
          <w:vertAlign w:val="subscript"/>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，Q</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，…Q</w:t>
      </w:r>
      <w:r>
        <w:rPr>
          <w:rFonts w:hint="default" w:ascii="Times New Roman" w:hAnsi="Times New Roman" w:eastAsia="宋体" w:cs="Times New Roman"/>
          <w:color w:val="000000" w:themeColor="text1"/>
          <w:vertAlign w:val="subscript"/>
          <w14:textFill>
            <w14:solidFill>
              <w14:schemeClr w14:val="tx1"/>
            </w14:solidFill>
          </w14:textFill>
        </w:rPr>
        <w:t>n</w:t>
      </w:r>
      <w:r>
        <w:rPr>
          <w:rFonts w:hint="default" w:ascii="Times New Roman" w:hAnsi="Times New Roman" w:eastAsia="宋体" w:cs="Times New Roman"/>
          <w:color w:val="000000" w:themeColor="text1"/>
          <w14:textFill>
            <w14:solidFill>
              <w14:schemeClr w14:val="tx1"/>
            </w14:solidFill>
          </w14:textFill>
        </w:rPr>
        <w:t>——每种危险物质的临界量，t。</w:t>
      </w:r>
    </w:p>
    <w:p>
      <w:pPr>
        <w:pStyle w:val="12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当 Q＜1 时，该项目环境风险潜势为Ⅰ。 </w:t>
      </w:r>
    </w:p>
    <w:p>
      <w:pPr>
        <w:pStyle w:val="12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当 Q≥1 时，将 Q值划分为：</w:t>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 1 \* GB3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①</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t>1≤Q＜10；</w:t>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 2 \* GB3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②</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t>10≤Q＜100；</w:t>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 3 \* GB3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③</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t>Q≥100。</w:t>
      </w:r>
    </w:p>
    <w:p>
      <w:pPr>
        <w:pStyle w:val="12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经计算,本项目的Q值为0.</w:t>
      </w:r>
      <w:r>
        <w:rPr>
          <w:rFonts w:hint="eastAsia" w:ascii="Times New Roman" w:hAnsi="Times New Roman" w:eastAsia="宋体" w:cs="Times New Roman"/>
          <w:color w:val="000000" w:themeColor="text1"/>
          <w:lang w:val="en-US" w:eastAsia="zh-CN"/>
          <w14:textFill>
            <w14:solidFill>
              <w14:schemeClr w14:val="tx1"/>
            </w14:solidFill>
          </w14:textFill>
        </w:rPr>
        <w:t>9872</w:t>
      </w:r>
      <w:r>
        <w:rPr>
          <w:rFonts w:hint="default" w:ascii="Times New Roman" w:hAnsi="Times New Roman" w:eastAsia="宋体" w:cs="Times New Roman"/>
          <w:color w:val="000000" w:themeColor="text1"/>
          <w14:textFill>
            <w14:solidFill>
              <w14:schemeClr w14:val="tx1"/>
            </w14:solidFill>
          </w14:textFill>
        </w:rPr>
        <w:t>，具体见表</w:t>
      </w:r>
      <w:r>
        <w:rPr>
          <w:rFonts w:hint="eastAsia" w:ascii="Times New Roman" w:hAnsi="Times New Roman" w:eastAsia="宋体" w:cs="Times New Roman"/>
          <w:color w:val="000000" w:themeColor="text1"/>
          <w:lang w:eastAsia="zh-CN"/>
          <w14:textFill>
            <w14:solidFill>
              <w14:schemeClr w14:val="tx1"/>
            </w14:solidFill>
          </w14:textFill>
        </w:rPr>
        <w:t>5.8</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w:t>
      </w:r>
    </w:p>
    <w:p>
      <w:pPr>
        <w:pStyle w:val="131"/>
        <w:keepNext w:val="0"/>
        <w:keepLines w:val="0"/>
        <w:pageBreakBefore w:val="0"/>
        <w:widowControl w:val="0"/>
        <w:shd w:val="clear" w:color="auto" w:fill="auto"/>
        <w:kinsoku/>
        <w:wordWrap/>
        <w:overflowPunct/>
        <w:topLinePunct w:val="0"/>
        <w:autoSpaceDE/>
        <w:autoSpaceDN/>
        <w:bidi w:val="0"/>
        <w:adjustRightInd/>
        <w:snapToGrid w:val="0"/>
        <w:spacing w:before="157" w:beforeLines="50" w:line="240" w:lineRule="auto"/>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w:t>
      </w:r>
      <w: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t>5.8</w:t>
      </w:r>
      <w:r>
        <w:rPr>
          <w:rFonts w:hint="default" w:ascii="Times New Roman" w:hAnsi="Times New Roman" w:eastAsia="黑体" w:cs="Times New Roman"/>
          <w:b w:val="0"/>
          <w:bCs w:val="0"/>
          <w:color w:val="000000" w:themeColor="text1"/>
          <w:sz w:val="21"/>
          <w:szCs w:val="21"/>
          <w14:textFill>
            <w14:solidFill>
              <w14:schemeClr w14:val="tx1"/>
            </w14:solidFill>
          </w14:textFill>
        </w:rPr>
        <w:t>-</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建设项目 Q 值确定表</w:t>
      </w:r>
    </w:p>
    <w:tbl>
      <w:tblPr>
        <w:tblStyle w:val="21"/>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9"/>
        <w:gridCol w:w="1576"/>
        <w:gridCol w:w="2074"/>
        <w:gridCol w:w="1788"/>
        <w:gridCol w:w="2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79"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1576"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危险物质名称</w:t>
            </w:r>
          </w:p>
        </w:tc>
        <w:tc>
          <w:tcPr>
            <w:tcW w:w="2074"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最大存在总量qn /t</w:t>
            </w:r>
          </w:p>
        </w:tc>
        <w:tc>
          <w:tcPr>
            <w:tcW w:w="1788"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临界量Qn /t </w:t>
            </w:r>
          </w:p>
        </w:tc>
        <w:tc>
          <w:tcPr>
            <w:tcW w:w="2305"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该种危险物质Q值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79" w:type="dxa"/>
            <w:noWrap w:val="0"/>
            <w:vAlign w:val="center"/>
          </w:tcPr>
          <w:p>
            <w:pPr>
              <w:pStyle w:val="132"/>
              <w:spacing w:line="36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576" w:type="dxa"/>
            <w:noWrap w:val="0"/>
            <w:vAlign w:val="center"/>
          </w:tcPr>
          <w:p>
            <w:pPr>
              <w:overflowPunct w:val="0"/>
              <w:spacing w:line="240" w:lineRule="exact"/>
              <w:jc w:val="center"/>
              <w:rPr>
                <w:rFonts w:hint="default" w:ascii="Times New Roman" w:hAnsi="Times New Roman" w:cs="Times New Roman"/>
                <w:color w:val="000000" w:themeColor="text1"/>
                <w:kern w:val="18"/>
                <w:szCs w:val="21"/>
                <w14:textFill>
                  <w14:solidFill>
                    <w14:schemeClr w14:val="tx1"/>
                  </w14:solidFill>
                </w14:textFill>
              </w:rPr>
            </w:pPr>
            <w:r>
              <w:rPr>
                <w:rFonts w:hint="default" w:ascii="Times New Roman" w:hAnsi="Times New Roman" w:cs="Times New Roman"/>
                <w:color w:val="000000" w:themeColor="text1"/>
                <w:kern w:val="18"/>
                <w:szCs w:val="21"/>
                <w14:textFill>
                  <w14:solidFill>
                    <w14:schemeClr w14:val="tx1"/>
                  </w14:solidFill>
                </w14:textFill>
              </w:rPr>
              <w:t>氨</w:t>
            </w:r>
          </w:p>
        </w:tc>
        <w:tc>
          <w:tcPr>
            <w:tcW w:w="2074" w:type="dxa"/>
            <w:noWrap w:val="0"/>
            <w:vAlign w:val="center"/>
          </w:tcPr>
          <w:p>
            <w:pPr>
              <w:overflowPunct w:val="0"/>
              <w:spacing w:line="240" w:lineRule="exact"/>
              <w:jc w:val="center"/>
              <w:rPr>
                <w:rFonts w:hint="default" w:ascii="Times New Roman" w:hAnsi="Times New Roman" w:eastAsia="宋体" w:cs="Times New Roman"/>
                <w:color w:val="000000" w:themeColor="text1"/>
                <w:kern w:val="18"/>
                <w:szCs w:val="21"/>
                <w:lang w:val="en-US" w:eastAsia="zh-CN"/>
                <w14:textFill>
                  <w14:solidFill>
                    <w14:schemeClr w14:val="tx1"/>
                  </w14:solidFill>
                </w14:textFill>
              </w:rPr>
            </w:pPr>
            <w:r>
              <w:rPr>
                <w:rFonts w:hint="eastAsia" w:ascii="Times New Roman" w:hAnsi="Times New Roman" w:cs="Times New Roman"/>
                <w:color w:val="000000" w:themeColor="text1"/>
                <w:kern w:val="18"/>
                <w:szCs w:val="21"/>
                <w:lang w:val="en-US" w:eastAsia="zh-CN"/>
                <w14:textFill>
                  <w14:solidFill>
                    <w14:schemeClr w14:val="tx1"/>
                  </w14:solidFill>
                </w14:textFill>
              </w:rPr>
              <w:t>9.872</w:t>
            </w:r>
          </w:p>
        </w:tc>
        <w:tc>
          <w:tcPr>
            <w:tcW w:w="1788" w:type="dxa"/>
            <w:noWrap w:val="0"/>
            <w:vAlign w:val="top"/>
          </w:tcPr>
          <w:p>
            <w:pPr>
              <w:pStyle w:val="132"/>
              <w:spacing w:line="400" w:lineRule="exact"/>
              <w:rPr>
                <w:rFonts w:hint="default" w:ascii="Times New Roman" w:hAnsi="Times New Roman" w:eastAsia="宋体" w:cs="Times New Roman"/>
                <w:color w:val="000000" w:themeColor="text1"/>
                <w:kern w:val="18"/>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w:t>
            </w:r>
          </w:p>
        </w:tc>
        <w:tc>
          <w:tcPr>
            <w:tcW w:w="2305" w:type="dxa"/>
            <w:noWrap w:val="0"/>
            <w:vAlign w:val="center"/>
          </w:tcPr>
          <w:p>
            <w:pPr>
              <w:overflowPunct w:val="0"/>
              <w:spacing w:line="240" w:lineRule="exact"/>
              <w:jc w:val="center"/>
              <w:rPr>
                <w:rFonts w:hint="default" w:ascii="Times New Roman" w:hAnsi="Times New Roman" w:eastAsia="宋体" w:cs="Times New Roman"/>
                <w:color w:val="000000" w:themeColor="text1"/>
                <w:kern w:val="18"/>
                <w:szCs w:val="21"/>
                <w:lang w:val="en-US" w:eastAsia="zh-CN"/>
                <w14:textFill>
                  <w14:solidFill>
                    <w14:schemeClr w14:val="tx1"/>
                  </w14:solidFill>
                </w14:textFill>
              </w:rPr>
            </w:pPr>
            <w:r>
              <w:rPr>
                <w:rFonts w:hint="eastAsia" w:ascii="Times New Roman" w:hAnsi="Times New Roman" w:cs="Times New Roman"/>
                <w:color w:val="000000" w:themeColor="text1"/>
                <w:kern w:val="18"/>
                <w:szCs w:val="21"/>
                <w:lang w:val="en-US" w:eastAsia="zh-CN"/>
                <w14:textFill>
                  <w14:solidFill>
                    <w14:schemeClr w14:val="tx1"/>
                  </w14:solidFill>
                </w14:textFill>
              </w:rPr>
              <w:t>0.9872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217" w:type="dxa"/>
            <w:gridSpan w:val="4"/>
            <w:noWrap w:val="0"/>
            <w:vAlign w:val="center"/>
          </w:tcPr>
          <w:p>
            <w:pPr>
              <w:overflowPunct w:val="0"/>
              <w:spacing w:line="240" w:lineRule="exact"/>
              <w:jc w:val="center"/>
              <w:rPr>
                <w:rFonts w:hint="default" w:ascii="Times New Roman" w:hAnsi="Times New Roman" w:cs="Times New Roman"/>
                <w:color w:val="000000" w:themeColor="text1"/>
                <w:kern w:val="18"/>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Q</w:t>
            </w:r>
          </w:p>
        </w:tc>
        <w:tc>
          <w:tcPr>
            <w:tcW w:w="2305" w:type="dxa"/>
            <w:noWrap w:val="0"/>
            <w:vAlign w:val="center"/>
          </w:tcPr>
          <w:p>
            <w:pPr>
              <w:overflowPunct w:val="0"/>
              <w:spacing w:line="240" w:lineRule="exact"/>
              <w:jc w:val="center"/>
              <w:rPr>
                <w:rFonts w:hint="default" w:ascii="Times New Roman" w:hAnsi="Times New Roman" w:eastAsia="宋体" w:cs="Times New Roman"/>
                <w:color w:val="000000" w:themeColor="text1"/>
                <w:kern w:val="18"/>
                <w:szCs w:val="21"/>
                <w:lang w:val="en-US" w:eastAsia="zh-CN"/>
                <w14:textFill>
                  <w14:solidFill>
                    <w14:schemeClr w14:val="tx1"/>
                  </w14:solidFill>
                </w14:textFill>
              </w:rPr>
            </w:pPr>
            <w:r>
              <w:rPr>
                <w:rFonts w:hint="eastAsia" w:ascii="Times New Roman" w:hAnsi="Times New Roman" w:cs="Times New Roman"/>
                <w:color w:val="000000" w:themeColor="text1"/>
                <w:kern w:val="18"/>
                <w:szCs w:val="21"/>
                <w:lang w:val="en-US" w:eastAsia="zh-CN"/>
                <w14:textFill>
                  <w14:solidFill>
                    <w14:schemeClr w14:val="tx1"/>
                  </w14:solidFill>
                </w14:textFill>
              </w:rPr>
              <w:t>0.9872</w:t>
            </w:r>
          </w:p>
        </w:tc>
      </w:tr>
    </w:tbl>
    <w:p>
      <w:pPr>
        <w:pStyle w:val="141"/>
        <w:rPr>
          <w:rFonts w:hint="default" w:ascii="Times New Roman" w:hAnsi="Times New Roman" w:cs="Times New Roman"/>
          <w:color w:val="000000" w:themeColor="text1"/>
          <w14:textFill>
            <w14:solidFill>
              <w14:schemeClr w14:val="tx1"/>
            </w14:solidFill>
          </w14:textFill>
        </w:rPr>
      </w:pPr>
    </w:p>
    <w:p>
      <w:pPr>
        <w:pStyle w:val="129"/>
        <w:pageBreakBefore w:val="0"/>
        <w:widowControl w:val="0"/>
        <w:kinsoku/>
        <w:wordWrap/>
        <w:topLinePunct w:val="0"/>
        <w:autoSpaceDE/>
        <w:autoSpaceDN/>
        <w:bidi w:val="0"/>
        <w:spacing w:line="36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本项目的Q值为0.</w:t>
      </w:r>
      <w:r>
        <w:rPr>
          <w:rFonts w:hint="eastAsia" w:ascii="Times New Roman" w:hAnsi="Times New Roman" w:eastAsia="宋体" w:cs="Times New Roman"/>
          <w:color w:val="000000" w:themeColor="text1"/>
          <w:lang w:val="en-US" w:eastAsia="zh-CN"/>
          <w14:textFill>
            <w14:solidFill>
              <w14:schemeClr w14:val="tx1"/>
            </w14:solidFill>
          </w14:textFill>
        </w:rPr>
        <w:t>9872</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小于</w:t>
      </w:r>
      <w:r>
        <w:rPr>
          <w:rFonts w:hint="default" w:ascii="Times New Roman" w:hAnsi="Times New Roman" w:eastAsia="宋体" w:cs="Times New Roman"/>
          <w:color w:val="000000" w:themeColor="text1"/>
          <w:lang w:val="en-US" w:eastAsia="zh-CN"/>
          <w14:textFill>
            <w14:solidFill>
              <w14:schemeClr w14:val="tx1"/>
            </w14:solidFill>
          </w14:textFill>
        </w:rPr>
        <w:t>1，对风险进行简单分析</w:t>
      </w:r>
      <w:r>
        <w:rPr>
          <w:rFonts w:hint="default" w:ascii="Times New Roman" w:hAnsi="Times New Roman" w:eastAsia="宋体" w:cs="Times New Roman"/>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hint="default" w:ascii="Times New Roman" w:hAnsi="Times New Roman" w:cs="Times New Roman"/>
          <w:b/>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8"/>
          <w:szCs w:val="28"/>
          <w:lang w:val="en-US" w:eastAsia="zh-CN" w:bidi="ar-SA"/>
          <w14:textFill>
            <w14:solidFill>
              <w14:schemeClr w14:val="tx1"/>
            </w14:solidFill>
          </w14:textFill>
        </w:rPr>
        <w:t>5.8</w:t>
      </w:r>
      <w:r>
        <w:rPr>
          <w:rFonts w:hint="default" w:ascii="Times New Roman" w:hAnsi="Times New Roman" w:cs="Times New Roman"/>
          <w:b/>
          <w:bCs/>
          <w:color w:val="000000" w:themeColor="text1"/>
          <w:kern w:val="2"/>
          <w:sz w:val="28"/>
          <w:szCs w:val="28"/>
          <w:lang w:val="en-US" w:eastAsia="zh-CN" w:bidi="ar-SA"/>
          <w14:textFill>
            <w14:solidFill>
              <w14:schemeClr w14:val="tx1"/>
            </w14:solidFill>
          </w14:textFill>
        </w:rPr>
        <w:t>.1.3 评价等级</w:t>
      </w:r>
    </w:p>
    <w:bookmarkEnd w:id="421"/>
    <w:bookmarkEnd w:id="422"/>
    <w:p>
      <w:pPr>
        <w:pStyle w:val="2"/>
        <w:pageBreakBefore w:val="0"/>
        <w:widowControl w:val="0"/>
        <w:kinsoku/>
        <w:wordWrap/>
        <w:overflowPunct w:val="0"/>
        <w:topLinePunct w:val="0"/>
        <w:autoSpaceDE/>
        <w:autoSpaceDN/>
        <w:bidi w:val="0"/>
        <w:spacing w:line="360" w:lineRule="auto"/>
        <w:ind w:firstLine="48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经分析得知，本项目不考虑风险事故泄露危险物质对地表水体的影响，项目的所在区域大气环境敏感程度为环境低度敏感区E3，项目所在区域的地下水环境敏感程度分级为“E2”， 本项目的Q值为0.</w:t>
      </w:r>
      <w:r>
        <w:rPr>
          <w:rFonts w:hint="eastAsia" w:ascii="Times New Roman" w:hAnsi="Times New Roman" w:cs="Times New Roman"/>
          <w:color w:val="000000" w:themeColor="text1"/>
          <w:sz w:val="24"/>
          <w:szCs w:val="24"/>
          <w:lang w:val="en-US" w:eastAsia="zh-CN"/>
          <w14:textFill>
            <w14:solidFill>
              <w14:schemeClr w14:val="tx1"/>
            </w14:solidFill>
          </w14:textFill>
        </w:rPr>
        <w:t>9872</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小于</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，可开展简单分析。</w:t>
      </w:r>
    </w:p>
    <w:p>
      <w:pPr>
        <w:pStyle w:val="5"/>
        <w:keepNext w:val="0"/>
        <w:keepLines w:val="0"/>
        <w:pageBreakBefore w:val="0"/>
        <w:widowControl w:val="0"/>
        <w:kinsoku/>
        <w:wordWrap/>
        <w:overflowPunct w:val="0"/>
        <w:topLinePunct w:val="0"/>
        <w:autoSpaceDE/>
        <w:autoSpaceDN/>
        <w:bidi w:val="0"/>
        <w:adjustRightInd/>
        <w:snapToGrid/>
        <w:spacing w:before="0" w:after="0" w:line="360" w:lineRule="auto"/>
        <w:textAlignment w:val="auto"/>
        <w:rPr>
          <w:rFonts w:hint="default" w:ascii="Times New Roman" w:hAnsi="Times New Roman" w:cs="Times New Roman"/>
          <w:bCs w:val="0"/>
          <w:color w:val="000000" w:themeColor="text1"/>
          <w:kern w:val="0"/>
          <w:sz w:val="28"/>
          <w:szCs w:val="28"/>
          <w:lang w:val="zh-CN" w:eastAsia="zh-CN"/>
          <w14:textFill>
            <w14:solidFill>
              <w14:schemeClr w14:val="tx1"/>
            </w14:solidFill>
          </w14:textFill>
        </w:rPr>
      </w:pPr>
      <w:bookmarkStart w:id="423" w:name="_Toc15824"/>
      <w:bookmarkStart w:id="424" w:name="_Toc12695"/>
      <w:bookmarkStart w:id="425" w:name="_Toc26450"/>
      <w:r>
        <w:rPr>
          <w:rFonts w:hint="eastAsia" w:ascii="Times New Roman" w:hAnsi="Times New Roman" w:cs="Times New Roman"/>
          <w:bCs w:val="0"/>
          <w:color w:val="000000" w:themeColor="text1"/>
          <w:kern w:val="0"/>
          <w:sz w:val="28"/>
          <w:szCs w:val="28"/>
          <w:lang w:val="zh-CN" w:eastAsia="zh-CN"/>
          <w14:textFill>
            <w14:solidFill>
              <w14:schemeClr w14:val="tx1"/>
            </w14:solidFill>
          </w14:textFill>
        </w:rPr>
        <w:t>5.8</w:t>
      </w:r>
      <w:r>
        <w:rPr>
          <w:rFonts w:hint="default" w:ascii="Times New Roman" w:hAnsi="Times New Roman" w:cs="Times New Roman"/>
          <w:bCs w:val="0"/>
          <w:color w:val="000000" w:themeColor="text1"/>
          <w:kern w:val="0"/>
          <w:sz w:val="28"/>
          <w:szCs w:val="28"/>
          <w:lang w:val="zh-CN"/>
          <w14:textFill>
            <w14:solidFill>
              <w14:schemeClr w14:val="tx1"/>
            </w14:solidFill>
          </w14:textFill>
        </w:rPr>
        <w:t xml:space="preserve">.2 </w:t>
      </w:r>
      <w:bookmarkEnd w:id="423"/>
      <w:bookmarkEnd w:id="424"/>
      <w:bookmarkEnd w:id="425"/>
      <w:r>
        <w:rPr>
          <w:rFonts w:hint="default" w:ascii="Times New Roman" w:hAnsi="Times New Roman" w:cs="Times New Roman"/>
          <w:bCs w:val="0"/>
          <w:color w:val="000000" w:themeColor="text1"/>
          <w:kern w:val="0"/>
          <w:sz w:val="28"/>
          <w:szCs w:val="28"/>
          <w:lang w:val="zh-CN" w:eastAsia="zh-CN"/>
          <w14:textFill>
            <w14:solidFill>
              <w14:schemeClr w14:val="tx1"/>
            </w14:solidFill>
          </w14:textFill>
        </w:rPr>
        <w:t>环境敏感目标概况</w:t>
      </w:r>
    </w:p>
    <w:p>
      <w:pPr>
        <w:pStyle w:val="2"/>
        <w:pageBreakBefore w:val="0"/>
        <w:widowControl w:val="0"/>
        <w:kinsoku/>
        <w:wordWrap/>
        <w:overflowPunct w:val="0"/>
        <w:topLinePunct w:val="0"/>
        <w:autoSpaceDE/>
        <w:autoSpaceDN/>
        <w:bidi w:val="0"/>
        <w:spacing w:line="360" w:lineRule="auto"/>
        <w:ind w:firstLine="48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经现场勘查可知，评价范围内</w:t>
      </w:r>
      <w:r>
        <w:rPr>
          <w:rFonts w:hint="default" w:ascii="Times New Roman" w:hAnsi="Times New Roman" w:cs="Times New Roman"/>
          <w:color w:val="000000" w:themeColor="text1"/>
          <w:kern w:val="18"/>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方圆3km</w:t>
      </w:r>
      <w:r>
        <w:rPr>
          <w:rFonts w:hint="default" w:ascii="Times New Roman" w:hAnsi="Times New Roman" w:cs="Times New Roman"/>
          <w:color w:val="000000" w:themeColor="text1"/>
          <w:kern w:val="18"/>
          <w:sz w:val="24"/>
          <w:szCs w:val="24"/>
          <w14:textFill>
            <w14:solidFill>
              <w14:schemeClr w14:val="tx1"/>
            </w14:solidFill>
          </w14:textFill>
        </w:rPr>
        <w:t>)</w:t>
      </w:r>
      <w:r>
        <w:rPr>
          <w:rFonts w:hint="eastAsia" w:eastAsia="宋体" w:cs="Times New Roman"/>
          <w:color w:val="000000" w:themeColor="text1"/>
          <w:sz w:val="24"/>
          <w:szCs w:val="24"/>
          <w:lang w:eastAsia="zh-CN"/>
          <w14:textFill>
            <w14:solidFill>
              <w14:schemeClr w14:val="tx1"/>
            </w14:solidFill>
          </w14:textFill>
        </w:rPr>
        <w:t>无</w:t>
      </w:r>
      <w:r>
        <w:rPr>
          <w:rFonts w:hint="default" w:ascii="Times New Roman" w:hAnsi="Times New Roman" w:cs="Times New Roman"/>
          <w:color w:val="000000" w:themeColor="text1"/>
          <w:sz w:val="24"/>
          <w:szCs w:val="24"/>
          <w14:textFill>
            <w14:solidFill>
              <w14:schemeClr w14:val="tx1"/>
            </w14:solidFill>
          </w14:textFill>
        </w:rPr>
        <w:t>环境</w:t>
      </w:r>
      <w:r>
        <w:rPr>
          <w:rFonts w:hint="eastAsia" w:ascii="Times New Roman" w:hAnsi="Times New Roman" w:cs="Times New Roman"/>
          <w:color w:val="000000" w:themeColor="text1"/>
          <w:sz w:val="24"/>
          <w:szCs w:val="24"/>
          <w:lang w:eastAsia="zh-CN"/>
          <w14:textFill>
            <w14:solidFill>
              <w14:schemeClr w14:val="tx1"/>
            </w14:solidFill>
          </w14:textFill>
        </w:rPr>
        <w:t>敏感目标</w:t>
      </w:r>
      <w:r>
        <w:rPr>
          <w:rFonts w:hint="default" w:ascii="Times New Roman" w:hAnsi="Times New Roman" w:cs="Times New Roman"/>
          <w:color w:val="000000" w:themeColor="text1"/>
          <w:sz w:val="24"/>
          <w:szCs w:val="24"/>
          <w14:textFill>
            <w14:solidFill>
              <w14:schemeClr w14:val="tx1"/>
            </w14:solidFill>
          </w14:textFill>
        </w:rPr>
        <w:t>。</w:t>
      </w:r>
    </w:p>
    <w:p>
      <w:pPr>
        <w:pStyle w:val="5"/>
        <w:keepNext w:val="0"/>
        <w:keepLines w:val="0"/>
        <w:pageBreakBefore w:val="0"/>
        <w:widowControl w:val="0"/>
        <w:kinsoku/>
        <w:wordWrap/>
        <w:overflowPunct w:val="0"/>
        <w:topLinePunct w:val="0"/>
        <w:autoSpaceDE/>
        <w:autoSpaceDN/>
        <w:bidi w:val="0"/>
        <w:adjustRightInd/>
        <w:snapToGrid/>
        <w:spacing w:before="0" w:after="0" w:line="360" w:lineRule="auto"/>
        <w:textAlignment w:val="auto"/>
        <w:rPr>
          <w:rFonts w:hint="default" w:ascii="Times New Roman" w:hAnsi="Times New Roman" w:cs="Times New Roman"/>
          <w:bCs w:val="0"/>
          <w:color w:val="000000" w:themeColor="text1"/>
          <w:kern w:val="0"/>
          <w:sz w:val="28"/>
          <w:szCs w:val="28"/>
          <w:lang w:val="zh-CN"/>
          <w14:textFill>
            <w14:solidFill>
              <w14:schemeClr w14:val="tx1"/>
            </w14:solidFill>
          </w14:textFill>
        </w:rPr>
      </w:pPr>
      <w:bookmarkStart w:id="426" w:name="_Toc18476"/>
      <w:bookmarkStart w:id="427" w:name="_Toc26845"/>
      <w:bookmarkStart w:id="428" w:name="_Toc26138"/>
      <w:bookmarkStart w:id="429" w:name="_Toc12564"/>
      <w:r>
        <w:rPr>
          <w:rFonts w:hint="eastAsia" w:ascii="Times New Roman" w:hAnsi="Times New Roman" w:cs="Times New Roman"/>
          <w:bCs w:val="0"/>
          <w:color w:val="000000" w:themeColor="text1"/>
          <w:kern w:val="0"/>
          <w:sz w:val="28"/>
          <w:szCs w:val="28"/>
          <w:lang w:val="zh-CN" w:eastAsia="zh-CN"/>
          <w14:textFill>
            <w14:solidFill>
              <w14:schemeClr w14:val="tx1"/>
            </w14:solidFill>
          </w14:textFill>
        </w:rPr>
        <w:t>5.8</w:t>
      </w:r>
      <w:r>
        <w:rPr>
          <w:rFonts w:hint="default" w:ascii="Times New Roman" w:hAnsi="Times New Roman" w:cs="Times New Roman"/>
          <w:bCs w:val="0"/>
          <w:color w:val="000000" w:themeColor="text1"/>
          <w:kern w:val="0"/>
          <w:sz w:val="28"/>
          <w:szCs w:val="28"/>
          <w:lang w:val="zh-CN"/>
          <w14:textFill>
            <w14:solidFill>
              <w14:schemeClr w14:val="tx1"/>
            </w14:solidFill>
          </w14:textFill>
        </w:rPr>
        <w:t>.3 环境风险识别</w:t>
      </w:r>
      <w:bookmarkEnd w:id="426"/>
      <w:bookmarkEnd w:id="427"/>
      <w:bookmarkEnd w:id="428"/>
      <w:bookmarkEnd w:id="429"/>
    </w:p>
    <w:p>
      <w:pPr>
        <w:pStyle w:val="2"/>
        <w:pageBreakBefore w:val="0"/>
        <w:widowControl w:val="0"/>
        <w:kinsoku/>
        <w:wordWrap/>
        <w:overflowPunct w:val="0"/>
        <w:topLinePunct w:val="0"/>
        <w:autoSpaceDE/>
        <w:autoSpaceDN/>
        <w:bidi w:val="0"/>
        <w:snapToGrid/>
        <w:spacing w:line="360" w:lineRule="auto"/>
        <w:ind w:firstLine="480" w:firstLineChars="200"/>
        <w:jc w:val="both"/>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 本项目</w:t>
      </w:r>
      <w:r>
        <w:rPr>
          <w:rFonts w:hint="eastAsia" w:ascii="Times New Roman" w:hAnsi="Times New Roman" w:cs="Times New Roman"/>
          <w:color w:val="000000" w:themeColor="text1"/>
          <w:sz w:val="24"/>
          <w:szCs w:val="24"/>
          <w:lang w:eastAsia="zh-CN"/>
          <w14:textFill>
            <w14:solidFill>
              <w14:schemeClr w14:val="tx1"/>
            </w14:solidFill>
          </w14:textFill>
        </w:rPr>
        <w:t>主要危险物质为脱硝剂液氨，其物理、化学、及毒理性指标，见表</w:t>
      </w:r>
      <w:r>
        <w:rPr>
          <w:rFonts w:hint="eastAsia" w:ascii="Times New Roman" w:hAnsi="Times New Roman" w:cs="Times New Roman"/>
          <w:color w:val="000000" w:themeColor="text1"/>
          <w:sz w:val="24"/>
          <w:szCs w:val="24"/>
          <w:lang w:val="en-US" w:eastAsia="zh-CN"/>
          <w14:textFill>
            <w14:solidFill>
              <w14:schemeClr w14:val="tx1"/>
            </w14:solidFill>
          </w14:textFill>
        </w:rPr>
        <w:t>5.8-6。</w:t>
      </w:r>
    </w:p>
    <w:p>
      <w:pPr>
        <w:pStyle w:val="5"/>
        <w:keepNext w:val="0"/>
        <w:keepLines w:val="0"/>
        <w:pageBreakBefore w:val="0"/>
        <w:widowControl w:val="0"/>
        <w:kinsoku/>
        <w:wordWrap/>
        <w:overflowPunct w:val="0"/>
        <w:topLinePunct w:val="0"/>
        <w:autoSpaceDE/>
        <w:autoSpaceDN/>
        <w:bidi w:val="0"/>
        <w:adjustRightInd/>
        <w:snapToGrid/>
        <w:spacing w:before="0" w:after="0" w:line="360" w:lineRule="auto"/>
        <w:textAlignment w:val="auto"/>
        <w:rPr>
          <w:rFonts w:hint="default" w:ascii="Times New Roman" w:hAnsi="Times New Roman" w:cs="Times New Roman"/>
          <w:bCs w:val="0"/>
          <w:color w:val="000000" w:themeColor="text1"/>
          <w:kern w:val="0"/>
          <w:sz w:val="28"/>
          <w:szCs w:val="28"/>
          <w:lang w:val="zh-CN"/>
          <w14:textFill>
            <w14:solidFill>
              <w14:schemeClr w14:val="tx1"/>
            </w14:solidFill>
          </w14:textFill>
        </w:rPr>
      </w:pPr>
      <w:bookmarkStart w:id="430" w:name="_Toc14709"/>
      <w:bookmarkStart w:id="431" w:name="_Toc20553"/>
      <w:bookmarkStart w:id="432" w:name="_Toc25308_WPSOffice_Level2"/>
      <w:bookmarkStart w:id="433" w:name="_Toc10253"/>
      <w:bookmarkStart w:id="434" w:name="_Toc3470"/>
      <w:bookmarkStart w:id="435" w:name="_Toc32616"/>
      <w:r>
        <w:rPr>
          <w:rFonts w:hint="eastAsia" w:ascii="Times New Roman" w:hAnsi="Times New Roman" w:cs="Times New Roman"/>
          <w:bCs w:val="0"/>
          <w:color w:val="000000" w:themeColor="text1"/>
          <w:kern w:val="0"/>
          <w:sz w:val="28"/>
          <w:szCs w:val="28"/>
          <w:lang w:val="zh-CN" w:eastAsia="zh-CN"/>
          <w14:textFill>
            <w14:solidFill>
              <w14:schemeClr w14:val="tx1"/>
            </w14:solidFill>
          </w14:textFill>
        </w:rPr>
        <w:t>5.8</w:t>
      </w:r>
      <w:r>
        <w:rPr>
          <w:rFonts w:hint="default" w:ascii="Times New Roman" w:hAnsi="Times New Roman" w:cs="Times New Roman"/>
          <w:bCs w:val="0"/>
          <w:color w:val="000000" w:themeColor="text1"/>
          <w:kern w:val="0"/>
          <w:sz w:val="28"/>
          <w:szCs w:val="28"/>
          <w:lang w:val="zh-CN"/>
          <w14:textFill>
            <w14:solidFill>
              <w14:schemeClr w14:val="tx1"/>
            </w14:solidFill>
          </w14:textFill>
        </w:rPr>
        <w:t>.4 环境风险</w:t>
      </w:r>
      <w:bookmarkEnd w:id="430"/>
      <w:bookmarkEnd w:id="431"/>
      <w:bookmarkEnd w:id="432"/>
      <w:bookmarkEnd w:id="433"/>
      <w:bookmarkEnd w:id="434"/>
      <w:r>
        <w:rPr>
          <w:rFonts w:hint="default" w:ascii="Times New Roman" w:hAnsi="Times New Roman" w:cs="Times New Roman"/>
          <w:bCs w:val="0"/>
          <w:color w:val="000000" w:themeColor="text1"/>
          <w:kern w:val="0"/>
          <w:sz w:val="28"/>
          <w:szCs w:val="28"/>
          <w:lang w:val="zh-CN"/>
          <w14:textFill>
            <w14:solidFill>
              <w14:schemeClr w14:val="tx1"/>
            </w14:solidFill>
          </w14:textFill>
        </w:rPr>
        <w:t>分析</w:t>
      </w:r>
      <w:bookmarkEnd w:id="435"/>
    </w:p>
    <w:p>
      <w:pPr>
        <w:pStyle w:val="2"/>
        <w:pageBreakBefore w:val="0"/>
        <w:widowControl w:val="0"/>
        <w:kinsoku/>
        <w:wordWrap/>
        <w:overflowPunct w:val="0"/>
        <w:topLinePunct w:val="0"/>
        <w:autoSpaceDE/>
        <w:autoSpaceDN/>
        <w:bidi w:val="0"/>
        <w:snapToGrid/>
        <w:spacing w:line="360" w:lineRule="auto"/>
        <w:ind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可能发生的风险事故类型包括：</w:t>
      </w:r>
    </w:p>
    <w:p>
      <w:pPr>
        <w:pStyle w:val="2"/>
        <w:pageBreakBefore w:val="0"/>
        <w:widowControl w:val="0"/>
        <w:kinsoku/>
        <w:wordWrap/>
        <w:overflowPunct w:val="0"/>
        <w:topLinePunct w:val="0"/>
        <w:autoSpaceDE/>
        <w:autoSpaceDN/>
        <w:bidi w:val="0"/>
        <w:snapToGrid/>
        <w:spacing w:line="360" w:lineRule="auto"/>
        <w:ind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(1) </w:t>
      </w:r>
      <w:r>
        <w:rPr>
          <w:rFonts w:hint="eastAsia" w:ascii="Times New Roman" w:hAnsi="Times New Roman" w:cs="Times New Roman"/>
          <w:color w:val="000000" w:themeColor="text1"/>
          <w:sz w:val="24"/>
          <w:szCs w:val="24"/>
          <w:lang w:eastAsia="zh-CN"/>
          <w14:textFill>
            <w14:solidFill>
              <w14:schemeClr w14:val="tx1"/>
            </w14:solidFill>
          </w14:textFill>
        </w:rPr>
        <w:t>易引起火灾爆炸事故，即储罐破裂泄漏，遇火源发生火灾爆炸</w:t>
      </w:r>
      <w:r>
        <w:rPr>
          <w:rFonts w:hint="default" w:ascii="Times New Roman" w:hAnsi="Times New Roman" w:cs="Times New Roman"/>
          <w:color w:val="000000" w:themeColor="text1"/>
          <w:sz w:val="24"/>
          <w:szCs w:val="24"/>
          <w14:textFill>
            <w14:solidFill>
              <w14:schemeClr w14:val="tx1"/>
            </w14:solidFill>
          </w14:textFill>
        </w:rPr>
        <w:t>。</w:t>
      </w:r>
    </w:p>
    <w:p>
      <w:pPr>
        <w:pStyle w:val="2"/>
        <w:pageBreakBefore w:val="0"/>
        <w:widowControl w:val="0"/>
        <w:kinsoku/>
        <w:wordWrap/>
        <w:overflowPunct w:val="0"/>
        <w:topLinePunct w:val="0"/>
        <w:autoSpaceDE/>
        <w:autoSpaceDN/>
        <w:bidi w:val="0"/>
        <w:snapToGrid/>
        <w:spacing w:line="360" w:lineRule="auto"/>
        <w:ind w:firstLine="480" w:firstLineChars="200"/>
        <w:jc w:val="both"/>
        <w:rPr>
          <w:rFonts w:hint="eastAsia"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(2) </w:t>
      </w:r>
      <w:r>
        <w:rPr>
          <w:rFonts w:hint="eastAsia" w:ascii="Times New Roman" w:hAnsi="Times New Roman" w:cs="Times New Roman"/>
          <w:color w:val="000000" w:themeColor="text1"/>
          <w:sz w:val="24"/>
          <w:szCs w:val="24"/>
          <w:lang w:eastAsia="zh-CN"/>
          <w14:textFill>
            <w14:solidFill>
              <w14:schemeClr w14:val="tx1"/>
            </w14:solidFill>
          </w14:textFill>
        </w:rPr>
        <w:t>易引起中毒事故，泄漏后的液氨迅速蒸发为氨气，未遇火源，高浓度氨气漂浮在空气中，人在短时间内吸入高浓度氨气，可引起急性中毒，随着氨气的扩散，污染环境，危害人的身体健康。</w:t>
      </w:r>
    </w:p>
    <w:p>
      <w:pPr>
        <w:pStyle w:val="2"/>
        <w:pageBreakBefore w:val="0"/>
        <w:widowControl w:val="0"/>
        <w:kinsoku/>
        <w:wordWrap/>
        <w:overflowPunct w:val="0"/>
        <w:topLinePunct w:val="0"/>
        <w:autoSpaceDE/>
        <w:autoSpaceDN/>
        <w:bidi w:val="0"/>
        <w:snapToGrid/>
        <w:spacing w:line="360" w:lineRule="auto"/>
        <w:ind w:firstLine="480" w:firstLineChars="200"/>
        <w:jc w:val="both"/>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液氨理化性质见表</w:t>
      </w:r>
      <w:r>
        <w:rPr>
          <w:rFonts w:hint="eastAsia" w:cs="Times New Roman"/>
          <w:color w:val="000000" w:themeColor="text1"/>
          <w:sz w:val="24"/>
          <w:szCs w:val="24"/>
          <w:lang w:val="en-US" w:eastAsia="zh-CN"/>
          <w14:textFill>
            <w14:solidFill>
              <w14:schemeClr w14:val="tx1"/>
            </w14:solidFill>
          </w14:textFill>
        </w:rPr>
        <w:t>5.8-4。</w:t>
      </w:r>
    </w:p>
    <w:p>
      <w:pPr>
        <w:pStyle w:val="131"/>
        <w:keepNext w:val="0"/>
        <w:keepLines w:val="0"/>
        <w:pageBreakBefore w:val="0"/>
        <w:widowControl w:val="0"/>
        <w:shd w:val="clear" w:color="auto" w:fill="auto"/>
        <w:kinsoku/>
        <w:wordWrap/>
        <w:overflowPunct/>
        <w:topLinePunct w:val="0"/>
        <w:autoSpaceDE/>
        <w:autoSpaceDN/>
        <w:bidi w:val="0"/>
        <w:adjustRightInd/>
        <w:snapToGrid w:val="0"/>
        <w:spacing w:before="157" w:beforeLines="50" w:line="240" w:lineRule="auto"/>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5.8-</w:t>
      </w:r>
      <w:r>
        <w:rPr>
          <w:rFonts w:hint="eastAsia" w:ascii="Times New Roman" w:hAnsi="Times New Roman" w:eastAsia="黑体"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液氨的理化特性一览表</w:t>
      </w:r>
    </w:p>
    <w:tbl>
      <w:tblPr>
        <w:tblStyle w:val="21"/>
        <w:tblW w:w="8336" w:type="dxa"/>
        <w:jc w:val="center"/>
        <w:tblInd w:w="-1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618"/>
        <w:gridCol w:w="3168"/>
        <w:gridCol w:w="2424"/>
        <w:gridCol w:w="212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618" w:type="dxa"/>
            <w:vMerge w:val="restart"/>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标识</w:t>
            </w:r>
          </w:p>
        </w:tc>
        <w:tc>
          <w:tcPr>
            <w:tcW w:w="3168"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中文名：液氨</w:t>
            </w:r>
          </w:p>
        </w:tc>
        <w:tc>
          <w:tcPr>
            <w:tcW w:w="2424"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英文名：</w:t>
            </w:r>
            <w:r>
              <w:rPr>
                <w:rFonts w:hint="eastAsia" w:ascii="Times New Roman" w:hAnsi="Times New Roman" w:cs="Times New Roman"/>
                <w:color w:val="000000" w:themeColor="text1"/>
                <w:sz w:val="21"/>
                <w:szCs w:val="21"/>
                <w:lang w:val="en-US" w:eastAsia="zh-CN"/>
                <w14:textFill>
                  <w14:solidFill>
                    <w14:schemeClr w14:val="tx1"/>
                  </w14:solidFill>
                </w14:textFill>
              </w:rPr>
              <w:t>Ammonia</w:t>
            </w:r>
          </w:p>
        </w:tc>
        <w:tc>
          <w:tcPr>
            <w:tcW w:w="2126"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CAS号：7664-41-7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618" w:type="dxa"/>
            <w:vMerge w:val="continue"/>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168"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分子式：</w:t>
            </w:r>
            <w:r>
              <w:rPr>
                <w:rFonts w:hint="eastAsia" w:ascii="Times New Roman" w:hAnsi="Times New Roman" w:cs="Times New Roman"/>
                <w:color w:val="000000" w:themeColor="text1"/>
                <w:sz w:val="21"/>
                <w:szCs w:val="21"/>
                <w:lang w:val="en-US" w:eastAsia="zh-CN"/>
                <w14:textFill>
                  <w14:solidFill>
                    <w14:schemeClr w14:val="tx1"/>
                  </w14:solidFill>
                </w14:textFill>
              </w:rPr>
              <w:t>NH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3</w:t>
            </w:r>
          </w:p>
        </w:tc>
        <w:tc>
          <w:tcPr>
            <w:tcW w:w="2424"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分子量：</w:t>
            </w:r>
            <w:r>
              <w:rPr>
                <w:rFonts w:hint="eastAsia" w:ascii="Times New Roman" w:hAnsi="Times New Roman" w:cs="Times New Roman"/>
                <w:color w:val="000000" w:themeColor="text1"/>
                <w:sz w:val="21"/>
                <w:szCs w:val="21"/>
                <w:lang w:val="en-US" w:eastAsia="zh-CN"/>
                <w14:textFill>
                  <w14:solidFill>
                    <w14:schemeClr w14:val="tx1"/>
                  </w14:solidFill>
                </w14:textFill>
              </w:rPr>
              <w:t>17.04</w:t>
            </w:r>
          </w:p>
        </w:tc>
        <w:tc>
          <w:tcPr>
            <w:tcW w:w="2126"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UN编号：1005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618" w:type="dxa"/>
            <w:vMerge w:val="continue"/>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168"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危规号：</w:t>
            </w:r>
            <w:r>
              <w:rPr>
                <w:rFonts w:hint="eastAsia" w:ascii="Times New Roman" w:hAnsi="Times New Roman" w:cs="Times New Roman"/>
                <w:color w:val="000000" w:themeColor="text1"/>
                <w:sz w:val="21"/>
                <w:szCs w:val="21"/>
                <w:lang w:val="en-US" w:eastAsia="zh-CN"/>
                <w14:textFill>
                  <w14:solidFill>
                    <w14:schemeClr w14:val="tx1"/>
                  </w14:solidFill>
                </w14:textFill>
              </w:rPr>
              <w:t>23003</w:t>
            </w:r>
          </w:p>
        </w:tc>
        <w:tc>
          <w:tcPr>
            <w:tcW w:w="4550" w:type="dxa"/>
            <w:gridSpan w:val="2"/>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危险类别：酸性腐蚀品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618" w:type="dxa"/>
            <w:vMerge w:val="restart"/>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理化性质</w:t>
            </w:r>
          </w:p>
        </w:tc>
        <w:tc>
          <w:tcPr>
            <w:tcW w:w="3168"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性状：无色液体</w:t>
            </w:r>
          </w:p>
        </w:tc>
        <w:tc>
          <w:tcPr>
            <w:tcW w:w="4550" w:type="dxa"/>
            <w:gridSpan w:val="2"/>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eastAsia" w:ascii="Times New Roman" w:hAnsi="Times New Roman"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618" w:type="dxa"/>
            <w:vMerge w:val="continue"/>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168"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溶</w:t>
            </w:r>
            <w:r>
              <w:rPr>
                <w:rFonts w:hint="default" w:ascii="Times New Roman" w:hAnsi="Times New Roman" w:cs="Times New Roman"/>
                <w:color w:val="000000" w:themeColor="text1"/>
                <w:sz w:val="21"/>
                <w:szCs w:val="21"/>
                <w14:textFill>
                  <w14:solidFill>
                    <w14:schemeClr w14:val="tx1"/>
                  </w14:solidFill>
                </w14:textFill>
              </w:rPr>
              <w:t>点（℃）</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-77.7</w:t>
            </w:r>
          </w:p>
        </w:tc>
        <w:tc>
          <w:tcPr>
            <w:tcW w:w="4550" w:type="dxa"/>
            <w:gridSpan w:val="2"/>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溶解性：易溶于水、乙醇、乙醚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618" w:type="dxa"/>
            <w:vMerge w:val="continue"/>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168"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沸点（℃）</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-33.4</w:t>
            </w:r>
          </w:p>
        </w:tc>
        <w:tc>
          <w:tcPr>
            <w:tcW w:w="4550" w:type="dxa"/>
            <w:gridSpan w:val="2"/>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相对密度（水</w:t>
            </w: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0.7067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618" w:type="dxa"/>
            <w:vMerge w:val="continue"/>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168"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饱和蒸气压</w:t>
            </w:r>
            <w:r>
              <w:rPr>
                <w:rFonts w:hint="eastAsia" w:ascii="Times New Roman" w:hAnsi="Times New Roman" w:cs="Times New Roman"/>
                <w:color w:val="000000" w:themeColor="text1"/>
                <w:sz w:val="21"/>
                <w:szCs w:val="21"/>
                <w:lang w:val="en-US" w:eastAsia="zh-CN"/>
                <w14:textFill>
                  <w14:solidFill>
                    <w14:schemeClr w14:val="tx1"/>
                  </w14:solidFill>
                </w14:textFill>
              </w:rPr>
              <w:t>/KPa：506.62（4.7</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4550" w:type="dxa"/>
            <w:gridSpan w:val="2"/>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相对密度（空气</w:t>
            </w: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0.59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618" w:type="dxa"/>
            <w:vMerge w:val="restart"/>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燃烧爆炸</w:t>
            </w:r>
          </w:p>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危险性</w:t>
            </w:r>
          </w:p>
        </w:tc>
        <w:tc>
          <w:tcPr>
            <w:tcW w:w="3168"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both"/>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稳定性：稳定</w:t>
            </w:r>
          </w:p>
        </w:tc>
        <w:tc>
          <w:tcPr>
            <w:tcW w:w="4550" w:type="dxa"/>
            <w:gridSpan w:val="2"/>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爆炸极限（体积分数）：</w:t>
            </w:r>
            <w:r>
              <w:rPr>
                <w:rFonts w:hint="eastAsia" w:ascii="Times New Roman" w:hAnsi="Times New Roman" w:cs="Times New Roman"/>
                <w:color w:val="000000" w:themeColor="text1"/>
                <w:sz w:val="21"/>
                <w:szCs w:val="21"/>
                <w:lang w:val="en-US" w:eastAsia="zh-CN"/>
                <w14:textFill>
                  <w14:solidFill>
                    <w14:schemeClr w14:val="tx1"/>
                  </w14:solidFill>
                </w14:textFill>
              </w:rPr>
              <w:t>15.7~27.4%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618" w:type="dxa"/>
            <w:vMerge w:val="continue"/>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eastAsia" w:ascii="Times New Roman" w:hAnsi="Times New Roman" w:cs="Times New Roman"/>
                <w:color w:val="000000" w:themeColor="text1"/>
                <w:sz w:val="21"/>
                <w:szCs w:val="21"/>
                <w:lang w:eastAsia="zh-CN"/>
                <w14:textFill>
                  <w14:solidFill>
                    <w14:schemeClr w14:val="tx1"/>
                  </w14:solidFill>
                </w14:textFill>
              </w:rPr>
            </w:pPr>
          </w:p>
        </w:tc>
        <w:tc>
          <w:tcPr>
            <w:tcW w:w="7718" w:type="dxa"/>
            <w:gridSpan w:val="3"/>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危险特性：与空气混合能形成爆炸性混合物。遇明火、高热能引起燃烧爆炸。与氟、氯等接触会发生剧烈的化学反应。若遇高热，容器内压增大，有开裂和爆炸的危险。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618" w:type="dxa"/>
            <w:vMerge w:val="continue"/>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eastAsia" w:ascii="Times New Roman" w:hAnsi="Times New Roman" w:cs="Times New Roman"/>
                <w:color w:val="000000" w:themeColor="text1"/>
                <w:sz w:val="21"/>
                <w:szCs w:val="21"/>
                <w:lang w:eastAsia="zh-CN"/>
                <w14:textFill>
                  <w14:solidFill>
                    <w14:schemeClr w14:val="tx1"/>
                  </w14:solidFill>
                </w14:textFill>
              </w:rPr>
            </w:pPr>
          </w:p>
        </w:tc>
        <w:tc>
          <w:tcPr>
            <w:tcW w:w="7718" w:type="dxa"/>
            <w:gridSpan w:val="3"/>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灭火方法：消防人员必须佩戴全身防火防毒服，切断泄露源。若不能立即切断泄露源，则不允许熄灭正在燃烧的气体。喷水冷却容器，可能的话将容器从火场移至空旷处。</w:t>
            </w:r>
          </w:p>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灭火剂：雾状水、抗溶性泡沫、二氧化碳、沙土。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618"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卫生标准</w:t>
            </w:r>
          </w:p>
        </w:tc>
        <w:tc>
          <w:tcPr>
            <w:tcW w:w="7718" w:type="dxa"/>
            <w:gridSpan w:val="3"/>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《环境影响评价技术导则 大气环境》(HJ2.2-2018)附录D“其他污染物空气质量浓度参考限值”：小时制</w:t>
            </w:r>
            <w:r>
              <w:rPr>
                <w:rFonts w:hint="eastAsia" w:ascii="Times New Roman" w:hAnsi="Times New Roman" w:cs="Times New Roman"/>
                <w:color w:val="000000" w:themeColor="text1"/>
                <w:sz w:val="21"/>
                <w:szCs w:val="21"/>
                <w:lang w:val="en-US" w:eastAsia="zh-CN"/>
                <w14:textFill>
                  <w14:solidFill>
                    <w14:schemeClr w14:val="tx1"/>
                  </w14:solidFill>
                </w14:textFill>
              </w:rPr>
              <w:t>200</w:t>
            </w:r>
            <w:r>
              <w:rPr>
                <w:rFonts w:hint="default" w:ascii="Times New Roman" w:hAnsi="Times New Roman" w:cs="Times New Roman"/>
                <w:color w:val="000000" w:themeColor="text1"/>
                <w:sz w:val="21"/>
                <w:szCs w:val="21"/>
                <w:lang w:val="en-US" w:eastAsia="zh-CN"/>
                <w14:textFill>
                  <w14:solidFill>
                    <w14:schemeClr w14:val="tx1"/>
                  </w14:solidFill>
                </w14:textFill>
              </w:rPr>
              <w:t>μ</w:t>
            </w:r>
            <w:r>
              <w:rPr>
                <w:rFonts w:hint="eastAsia" w:ascii="Times New Roman" w:hAnsi="Times New Roman" w:cs="Times New Roman"/>
                <w:color w:val="000000" w:themeColor="text1"/>
                <w:sz w:val="21"/>
                <w:szCs w:val="21"/>
                <w:lang w:val="en-US" w:eastAsia="zh-CN"/>
                <w14:textFill>
                  <w14:solidFill>
                    <w14:schemeClr w14:val="tx1"/>
                  </w14:solidFill>
                </w14:textFill>
              </w:rPr>
              <w:t>g/m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618"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毒性</w:t>
            </w:r>
          </w:p>
        </w:tc>
        <w:tc>
          <w:tcPr>
            <w:tcW w:w="7718" w:type="dxa"/>
            <w:gridSpan w:val="3"/>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急性毒性：</w:t>
            </w:r>
            <w:r>
              <w:rPr>
                <w:rFonts w:hint="eastAsia" w:ascii="Times New Roman" w:hAnsi="Times New Roman" w:cs="Times New Roman"/>
                <w:color w:val="000000" w:themeColor="text1"/>
                <w:sz w:val="21"/>
                <w:szCs w:val="21"/>
                <w:lang w:val="en-US" w:eastAsia="zh-CN"/>
                <w14:textFill>
                  <w14:solidFill>
                    <w14:schemeClr w14:val="tx1"/>
                  </w14:solidFill>
                </w14:textFill>
              </w:rPr>
              <w:t>LC</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50</w:t>
            </w:r>
            <w:r>
              <w:rPr>
                <w:rFonts w:hint="eastAsia" w:ascii="Times New Roman" w:hAnsi="Times New Roman" w:cs="Times New Roman"/>
                <w:color w:val="000000" w:themeColor="text1"/>
                <w:sz w:val="21"/>
                <w:szCs w:val="21"/>
                <w:lang w:val="en-US" w:eastAsia="zh-CN"/>
                <w14:textFill>
                  <w14:solidFill>
                    <w14:schemeClr w14:val="tx1"/>
                  </w14:solidFill>
                </w14:textFill>
              </w:rPr>
              <w:t>1490ppm，4小时（大鼠吸入）；LC</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50</w:t>
            </w:r>
            <w:r>
              <w:rPr>
                <w:rFonts w:hint="eastAsia" w:ascii="Times New Roman" w:hAnsi="Times New Roman" w:cs="Times New Roman"/>
                <w:color w:val="000000" w:themeColor="text1"/>
                <w:sz w:val="21"/>
                <w:szCs w:val="21"/>
                <w:lang w:val="en-US" w:eastAsia="zh-CN"/>
                <w14:textFill>
                  <w14:solidFill>
                    <w14:schemeClr w14:val="tx1"/>
                  </w14:solidFill>
                </w14:textFill>
              </w:rPr>
              <w:t>350ppm，（大鼠经口）。氨进入人体后会阻碍三羧酸循环，降低细胞色素氧化酶的作用。致使脑氨增加，可产生神经毒作用。高浓度氨可引起组织溶解坏死。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618"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健康危害</w:t>
            </w:r>
          </w:p>
        </w:tc>
        <w:tc>
          <w:tcPr>
            <w:tcW w:w="7718" w:type="dxa"/>
            <w:gridSpan w:val="3"/>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侵入途径:吸入。健康危害:轻度者出现流泪、咽痛、声音嘶亚，咳嗽、咳等，眼结膜、</w:t>
            </w:r>
            <w:r>
              <w:rPr>
                <w:rFonts w:hint="eastAsia" w:ascii="Times New Roman" w:hAnsi="Times New Roman" w:cs="Times New Roman"/>
                <w:color w:val="000000" w:themeColor="text1"/>
                <w:sz w:val="21"/>
                <w:szCs w:val="21"/>
                <w:lang w:val="en-US" w:eastAsia="zh-CN"/>
                <w14:textFill>
                  <w14:solidFill>
                    <w14:schemeClr w14:val="tx1"/>
                  </w14:solidFill>
                </w14:textFill>
              </w:rPr>
              <w:t>鼻粘膜</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咽</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部充血、水肿</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胸部X线征象符合肺炎或间质性肺炎。严重者可发生中毒性危</w:t>
            </w:r>
            <w:r>
              <w:rPr>
                <w:rFonts w:hint="eastAsia" w:ascii="Times New Roman" w:hAnsi="Times New Roman" w:cs="Times New Roman"/>
                <w:color w:val="000000" w:themeColor="text1"/>
                <w:sz w:val="21"/>
                <w:szCs w:val="21"/>
                <w:lang w:val="en-US" w:eastAsia="zh-CN"/>
                <w14:textFill>
                  <w14:solidFill>
                    <w14:schemeClr w14:val="tx1"/>
                  </w14:solidFill>
                </w14:textFill>
              </w:rPr>
              <w:t>水肿</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，或有</w:t>
            </w:r>
            <w:r>
              <w:rPr>
                <w:rFonts w:hint="eastAsia" w:ascii="Times New Roman" w:hAnsi="Times New Roman" w:cs="Times New Roman"/>
                <w:color w:val="000000" w:themeColor="text1"/>
                <w:sz w:val="21"/>
                <w:szCs w:val="21"/>
                <w:lang w:val="en-US" w:eastAsia="zh-CN"/>
                <w14:textFill>
                  <w14:solidFill>
                    <w14:schemeClr w14:val="tx1"/>
                  </w14:solidFill>
                </w14:textFill>
              </w:rPr>
              <w:t>呼吸窘迫综合症，患者剧烈咳嗽，</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咳大量粉红色泡沫、呼吸</w:t>
            </w:r>
            <w:r>
              <w:rPr>
                <w:rFonts w:hint="eastAsia" w:ascii="Times New Roman" w:hAnsi="Times New Roman" w:cs="Times New Roman"/>
                <w:color w:val="000000" w:themeColor="text1"/>
                <w:sz w:val="21"/>
                <w:szCs w:val="21"/>
                <w:lang w:val="en-US" w:eastAsia="zh-CN"/>
                <w14:textFill>
                  <w14:solidFill>
                    <w14:schemeClr w14:val="tx1"/>
                  </w14:solidFill>
                </w14:textFill>
              </w:rPr>
              <w:t>窘迫</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、昏迷，</w:t>
            </w:r>
            <w:r>
              <w:rPr>
                <w:rFonts w:hint="eastAsia" w:ascii="Times New Roman" w:hAnsi="Times New Roman" w:cs="Times New Roman"/>
                <w:color w:val="000000" w:themeColor="text1"/>
                <w:sz w:val="21"/>
                <w:szCs w:val="21"/>
                <w:lang w:val="en-US" w:eastAsia="zh-CN"/>
                <w14:textFill>
                  <w14:solidFill>
                    <w14:schemeClr w14:val="tx1"/>
                  </w14:solidFill>
                </w14:textFill>
              </w:rPr>
              <w:t>休</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克等。可发生</w:t>
            </w:r>
            <w:r>
              <w:rPr>
                <w:rFonts w:hint="eastAsia" w:ascii="Times New Roman" w:hAnsi="Times New Roman" w:cs="Times New Roman"/>
                <w:color w:val="000000" w:themeColor="text1"/>
                <w:sz w:val="21"/>
                <w:szCs w:val="21"/>
                <w:lang w:val="en-US" w:eastAsia="zh-CN"/>
                <w14:textFill>
                  <w14:solidFill>
                    <w14:schemeClr w14:val="tx1"/>
                  </w14:solidFill>
                </w14:textFill>
              </w:rPr>
              <w:t>喉头水肿</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或支气管</w:t>
            </w:r>
            <w:r>
              <w:rPr>
                <w:rFonts w:hint="eastAsia" w:ascii="Times New Roman" w:hAnsi="Times New Roman" w:cs="Times New Roman"/>
                <w:color w:val="000000" w:themeColor="text1"/>
                <w:sz w:val="21"/>
                <w:szCs w:val="21"/>
                <w:lang w:val="en-US" w:eastAsia="zh-CN"/>
                <w14:textFill>
                  <w14:solidFill>
                    <w14:schemeClr w14:val="tx1"/>
                  </w14:solidFill>
                </w14:textFill>
              </w:rPr>
              <w:t>粘膜</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坏死脱落室息。高浓度氨可引起反射性呼吸停止。液氨或高浓度氨可致</w:t>
            </w:r>
            <w:r>
              <w:rPr>
                <w:rFonts w:hint="eastAsia" w:ascii="Times New Roman" w:hAnsi="Times New Roman" w:cs="Times New Roman"/>
                <w:color w:val="000000" w:themeColor="text1"/>
                <w:sz w:val="21"/>
                <w:szCs w:val="21"/>
                <w:lang w:val="en-US" w:eastAsia="zh-CN"/>
                <w14:textFill>
                  <w14:solidFill>
                    <w14:schemeClr w14:val="tx1"/>
                  </w14:solidFill>
                </w14:textFill>
              </w:rPr>
              <w:t>眼灼伤；</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液氨可致皮肤灼伤 </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618"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急救</w:t>
            </w:r>
          </w:p>
        </w:tc>
        <w:tc>
          <w:tcPr>
            <w:tcW w:w="7718" w:type="dxa"/>
            <w:gridSpan w:val="3"/>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接触浓度≥500p</w:t>
            </w:r>
            <w:r>
              <w:rPr>
                <w:rFonts w:hint="eastAsia" w:ascii="Times New Roman" w:hAnsi="Times New Roman" w:cs="Times New Roman"/>
                <w:color w:val="000000" w:themeColor="text1"/>
                <w:sz w:val="21"/>
                <w:szCs w:val="21"/>
                <w:lang w:val="en-US" w:eastAsia="zh-CN"/>
                <w14:textFill>
                  <w14:solidFill>
                    <w14:schemeClr w14:val="tx1"/>
                  </w14:solidFill>
                </w14:textFill>
              </w:rPr>
              <w:t>p</w:t>
            </w:r>
            <w:r>
              <w:rPr>
                <w:rFonts w:hint="default" w:ascii="Times New Roman" w:hAnsi="Times New Roman" w:cs="Times New Roman"/>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并出现眼刺激、</w:t>
            </w:r>
            <w:r>
              <w:rPr>
                <w:rFonts w:hint="eastAsia" w:ascii="Times New Roman" w:hAnsi="Times New Roman" w:cs="Times New Roman"/>
                <w:color w:val="000000" w:themeColor="text1"/>
                <w:sz w:val="21"/>
                <w:szCs w:val="21"/>
                <w:lang w:eastAsia="zh-CN"/>
                <w14:textFill>
                  <w14:solidFill>
                    <w14:schemeClr w14:val="tx1"/>
                  </w14:solidFill>
                </w14:textFill>
              </w:rPr>
              <w:t>肺水肿</w:t>
            </w:r>
            <w:r>
              <w:rPr>
                <w:rFonts w:hint="default" w:ascii="Times New Roman" w:hAnsi="Times New Roman" w:cs="Times New Roman"/>
                <w:color w:val="000000" w:themeColor="text1"/>
                <w:sz w:val="21"/>
                <w:szCs w:val="21"/>
                <w14:textFill>
                  <w14:solidFill>
                    <w14:schemeClr w14:val="tx1"/>
                  </w14:solidFill>
                </w14:textFill>
              </w:rPr>
              <w:t>的症状，应先喷5次地</w:t>
            </w:r>
            <w:r>
              <w:rPr>
                <w:rFonts w:hint="eastAsia" w:ascii="Times New Roman" w:hAnsi="Times New Roman" w:cs="Times New Roman"/>
                <w:color w:val="000000" w:themeColor="text1"/>
                <w:sz w:val="21"/>
                <w:szCs w:val="21"/>
                <w:lang w:eastAsia="zh-CN"/>
                <w14:textFill>
                  <w14:solidFill>
                    <w14:schemeClr w14:val="tx1"/>
                  </w14:solidFill>
                </w14:textFill>
              </w:rPr>
              <w:t>塞</w:t>
            </w:r>
            <w:r>
              <w:rPr>
                <w:rFonts w:hint="default" w:ascii="Times New Roman" w:hAnsi="Times New Roman" w:cs="Times New Roman"/>
                <w:color w:val="000000" w:themeColor="text1"/>
                <w:sz w:val="21"/>
                <w:szCs w:val="21"/>
                <w14:textFill>
                  <w14:solidFill>
                    <w14:schemeClr w14:val="tx1"/>
                  </w14:solidFill>
                </w14:textFill>
              </w:rPr>
              <w:t>米松(用定量吸入器)然后每5分钟喷两次，直至到达医院急症室为止。接触浓度≥1500ppm，应建立静脉通路并静脉注射1.0g甲基</w:t>
            </w:r>
            <w:r>
              <w:rPr>
                <w:rFonts w:hint="eastAsia" w:ascii="Times New Roman" w:hAnsi="Times New Roman" w:cs="Times New Roman"/>
                <w:color w:val="000000" w:themeColor="text1"/>
                <w:sz w:val="21"/>
                <w:szCs w:val="21"/>
                <w:lang w:eastAsia="zh-CN"/>
                <w14:textFill>
                  <w14:solidFill>
                    <w14:schemeClr w14:val="tx1"/>
                  </w14:solidFill>
                </w14:textFill>
              </w:rPr>
              <w:t>泼尼</w:t>
            </w:r>
            <w:r>
              <w:rPr>
                <w:rFonts w:hint="default" w:ascii="Times New Roman" w:hAnsi="Times New Roman" w:cs="Times New Roman"/>
                <w:color w:val="000000" w:themeColor="text1"/>
                <w:sz w:val="21"/>
                <w:szCs w:val="21"/>
                <w14:textFill>
                  <w14:solidFill>
                    <w14:schemeClr w14:val="tx1"/>
                  </w14:solidFill>
                </w14:textFill>
              </w:rPr>
              <w:t>尼松( methylprednisolone)成等量类固醇。对氨吸者，应给</w:t>
            </w:r>
            <w:r>
              <w:rPr>
                <w:rFonts w:hint="eastAsia" w:ascii="Times New Roman" w:hAnsi="Times New Roman" w:cs="Times New Roman"/>
                <w:color w:val="000000" w:themeColor="text1"/>
                <w:sz w:val="21"/>
                <w:szCs w:val="21"/>
                <w:lang w:eastAsia="zh-CN"/>
                <w14:textFill>
                  <w14:solidFill>
                    <w14:schemeClr w14:val="tx1"/>
                  </w14:solidFill>
                </w14:textFill>
              </w:rPr>
              <w:t>湿化空气和氧气。</w:t>
            </w:r>
            <w:r>
              <w:rPr>
                <w:rFonts w:hint="default" w:ascii="Times New Roman" w:hAnsi="Times New Roman" w:cs="Times New Roman"/>
                <w:color w:val="000000" w:themeColor="text1"/>
                <w:sz w:val="21"/>
                <w:szCs w:val="21"/>
                <w14:textFill>
                  <w14:solidFill>
                    <w14:schemeClr w14:val="tx1"/>
                  </w14:solidFill>
                </w14:textFill>
              </w:rPr>
              <w:t>如有缺氧症状应给湿化氧气</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如果呼吸</w:t>
            </w:r>
            <w:r>
              <w:rPr>
                <w:rFonts w:hint="eastAsia" w:ascii="Times New Roman" w:hAnsi="Times New Roman" w:cs="Times New Roman"/>
                <w:color w:val="000000" w:themeColor="text1"/>
                <w:sz w:val="21"/>
                <w:szCs w:val="21"/>
                <w:lang w:eastAsia="zh-CN"/>
                <w14:textFill>
                  <w14:solidFill>
                    <w14:schemeClr w14:val="tx1"/>
                  </w14:solidFill>
                </w14:textFill>
              </w:rPr>
              <w:t>窘迫</w:t>
            </w:r>
            <w:r>
              <w:rPr>
                <w:rFonts w:hint="default" w:ascii="Times New Roman" w:hAnsi="Times New Roman" w:cs="Times New Roman"/>
                <w:color w:val="000000" w:themeColor="text1"/>
                <w:sz w:val="21"/>
                <w:szCs w:val="21"/>
                <w14:textFill>
                  <w14:solidFill>
                    <w14:schemeClr w14:val="tx1"/>
                  </w14:solidFill>
                </w14:textFill>
              </w:rPr>
              <w:t>，应考虑进行气管插管・</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当人的情况不能进行气管插管时</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如条件许可，应施行环甲状软骨切开术。对有支气管</w:t>
            </w:r>
            <w:r>
              <w:rPr>
                <w:rFonts w:hint="eastAsia" w:ascii="Times New Roman" w:hAnsi="Times New Roman" w:cs="Times New Roman"/>
                <w:color w:val="000000" w:themeColor="text1"/>
                <w:sz w:val="21"/>
                <w:szCs w:val="21"/>
                <w:lang w:eastAsia="zh-CN"/>
                <w14:textFill>
                  <w14:solidFill>
                    <w14:schemeClr w14:val="tx1"/>
                  </w14:solidFill>
                </w14:textFill>
              </w:rPr>
              <w:t>痉挛</w:t>
            </w:r>
            <w:r>
              <w:rPr>
                <w:rFonts w:hint="default" w:ascii="Times New Roman" w:hAnsi="Times New Roman" w:cs="Times New Roman"/>
                <w:color w:val="000000" w:themeColor="text1"/>
                <w:sz w:val="21"/>
                <w:szCs w:val="21"/>
                <w14:textFill>
                  <w14:solidFill>
                    <w14:schemeClr w14:val="tx1"/>
                  </w14:solidFill>
                </w14:textFill>
              </w:rPr>
              <w:t>的病人，可给支气管扩张剂雾</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如叔皮肤接触氨</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会引起化学烧伤，可按热烧伤处理，</w:t>
            </w:r>
            <w:r>
              <w:rPr>
                <w:rFonts w:hint="eastAsia" w:ascii="Times New Roman" w:hAnsi="Times New Roman" w:cs="Times New Roman"/>
                <w:color w:val="000000" w:themeColor="text1"/>
                <w:sz w:val="21"/>
                <w:szCs w:val="21"/>
                <w:lang w:eastAsia="zh-CN"/>
                <w14:textFill>
                  <w14:solidFill>
                    <w14:schemeClr w14:val="tx1"/>
                  </w14:solidFill>
                </w14:textFill>
              </w:rPr>
              <w:t>适当</w:t>
            </w:r>
            <w:r>
              <w:rPr>
                <w:rFonts w:hint="default" w:ascii="Times New Roman" w:hAnsi="Times New Roman" w:cs="Times New Roman"/>
                <w:color w:val="000000" w:themeColor="text1"/>
                <w:sz w:val="21"/>
                <w:szCs w:val="21"/>
                <w14:textFill>
                  <w14:solidFill>
                    <w14:schemeClr w14:val="tx1"/>
                  </w14:solidFill>
                </w14:textFill>
              </w:rPr>
              <w:t>补液，给止痛剂，锥持体温，用消毒</w:t>
            </w:r>
            <w:r>
              <w:rPr>
                <w:rFonts w:hint="eastAsia" w:ascii="Times New Roman" w:hAnsi="Times New Roman" w:cs="Times New Roman"/>
                <w:color w:val="000000" w:themeColor="text1"/>
                <w:sz w:val="21"/>
                <w:szCs w:val="21"/>
                <w:lang w:eastAsia="zh-CN"/>
                <w14:textFill>
                  <w14:solidFill>
                    <w14:schemeClr w14:val="tx1"/>
                  </w14:solidFill>
                </w14:textFill>
              </w:rPr>
              <w:t>垫</w:t>
            </w:r>
            <w:r>
              <w:rPr>
                <w:rFonts w:hint="default" w:ascii="Times New Roman" w:hAnsi="Times New Roman" w:cs="Times New Roman"/>
                <w:color w:val="000000" w:themeColor="text1"/>
                <w:sz w:val="21"/>
                <w:szCs w:val="21"/>
                <w14:textFill>
                  <w14:solidFill>
                    <w14:schemeClr w14:val="tx1"/>
                  </w14:solidFill>
                </w14:textFill>
              </w:rPr>
              <w:t>或清洁床单覆盖伤面。如果皮肤接触高压液氨，要注意冻伤</w:t>
            </w:r>
            <w:r>
              <w:rPr>
                <w:rFonts w:hint="eastAsia"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618"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防护</w:t>
            </w:r>
          </w:p>
        </w:tc>
        <w:tc>
          <w:tcPr>
            <w:tcW w:w="7718" w:type="dxa"/>
            <w:gridSpan w:val="3"/>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严加密闭，加强通风</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工作场所禁止吸烟进食和饮水，班后沐溶。戴化学安全防护眼镜，穿相应的防护服，</w:t>
            </w:r>
            <w:r>
              <w:rPr>
                <w:rFonts w:hint="eastAsia" w:ascii="Times New Roman" w:hAnsi="Times New Roman" w:cs="Times New Roman"/>
                <w:color w:val="000000" w:themeColor="text1"/>
                <w:sz w:val="21"/>
                <w:szCs w:val="21"/>
                <w:lang w:eastAsia="zh-CN"/>
                <w14:textFill>
                  <w14:solidFill>
                    <w14:schemeClr w14:val="tx1"/>
                  </w14:solidFill>
                </w14:textFill>
              </w:rPr>
              <w:t>戴</w:t>
            </w:r>
            <w:r>
              <w:rPr>
                <w:rFonts w:hint="default" w:ascii="Times New Roman" w:hAnsi="Times New Roman" w:cs="Times New Roman"/>
                <w:color w:val="000000" w:themeColor="text1"/>
                <w:sz w:val="21"/>
                <w:szCs w:val="21"/>
                <w14:textFill>
                  <w14:solidFill>
                    <w14:schemeClr w14:val="tx1"/>
                  </w14:solidFill>
                </w14:textFill>
              </w:rPr>
              <w:t>防化学手套。进步不明或高浓度区，须戴防毒面具，同时有人监护，</w:t>
            </w:r>
            <w:r>
              <w:rPr>
                <w:rFonts w:hint="eastAsia" w:ascii="Times New Roman" w:hAnsi="Times New Roman" w:cs="Times New Roman"/>
                <w:color w:val="000000" w:themeColor="text1"/>
                <w:sz w:val="21"/>
                <w:szCs w:val="21"/>
                <w:lang w:eastAsia="zh-CN"/>
                <w14:textFill>
                  <w14:solidFill>
                    <w14:schemeClr w14:val="tx1"/>
                  </w14:solidFill>
                </w14:textFill>
              </w:rPr>
              <w:t>紧急事态抢救或逃生时，需戴正压自给式呼吸器。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618"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textAlignment w:val="auto"/>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泄漏处理</w:t>
            </w:r>
          </w:p>
        </w:tc>
        <w:tc>
          <w:tcPr>
            <w:tcW w:w="7718" w:type="dxa"/>
            <w:gridSpan w:val="3"/>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应及时</w:t>
            </w:r>
            <w:r>
              <w:rPr>
                <w:rFonts w:hint="eastAsia" w:ascii="Times New Roman" w:hAnsi="Times New Roman" w:cs="Times New Roman"/>
                <w:color w:val="000000" w:themeColor="text1"/>
                <w:sz w:val="21"/>
                <w:szCs w:val="21"/>
                <w:lang w:eastAsia="zh-CN"/>
                <w14:textFill>
                  <w14:solidFill>
                    <w14:schemeClr w14:val="tx1"/>
                  </w14:solidFill>
                </w14:textFill>
              </w:rPr>
              <w:t>采用</w:t>
            </w:r>
            <w:r>
              <w:rPr>
                <w:rFonts w:hint="default" w:ascii="Times New Roman" w:hAnsi="Times New Roman" w:cs="Times New Roman"/>
                <w:color w:val="000000" w:themeColor="text1"/>
                <w:sz w:val="21"/>
                <w:szCs w:val="21"/>
                <w14:textFill>
                  <w14:solidFill>
                    <w14:schemeClr w14:val="tx1"/>
                  </w14:solidFill>
                </w14:textFill>
              </w:rPr>
              <w:t>水幕法进行封闭，稀释破环(如采用消火栓等)，可起到阻止氨气</w:t>
            </w:r>
            <w:r>
              <w:rPr>
                <w:rFonts w:hint="eastAsia" w:ascii="Times New Roman" w:hAnsi="Times New Roman" w:cs="Times New Roman"/>
                <w:color w:val="000000" w:themeColor="text1"/>
                <w:sz w:val="21"/>
                <w:szCs w:val="21"/>
                <w:lang w:eastAsia="zh-CN"/>
                <w14:textFill>
                  <w14:solidFill>
                    <w14:schemeClr w14:val="tx1"/>
                  </w14:solidFill>
                </w14:textFill>
              </w:rPr>
              <w:t>扩散和捕集作用，对产生的含氨废水，需构筑围堤或挖坑收容，用泵转移至槽车或专用收集器，</w:t>
            </w:r>
          </w:p>
          <w:p>
            <w:pPr>
              <w:pStyle w:val="132"/>
              <w:keepNext w:val="0"/>
              <w:keepLines w:val="0"/>
              <w:pageBreakBefore w:val="0"/>
              <w:kinsoku/>
              <w:wordWrap/>
              <w:overflowPunct/>
              <w:topLinePunct w:val="0"/>
              <w:autoSpaceDE/>
              <w:autoSpaceDN/>
              <w:bidi w:val="0"/>
              <w:adjustRightInd/>
              <w:snapToGrid w:val="0"/>
              <w:spacing w:line="360" w:lineRule="exact"/>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回收或运至废物处理场所处置，禁止直接排放</w:t>
            </w:r>
            <w:r>
              <w:rPr>
                <w:rFonts w:hint="eastAsia" w:ascii="Times New Roman" w:hAnsi="Times New Roman" w:cs="Times New Roman"/>
                <w:color w:val="000000" w:themeColor="text1"/>
                <w:sz w:val="21"/>
                <w:szCs w:val="21"/>
                <w:lang w:eastAsia="zh-CN"/>
                <w14:textFill>
                  <w14:solidFill>
                    <w14:schemeClr w14:val="tx1"/>
                  </w14:solidFill>
                </w14:textFill>
              </w:rPr>
              <w:t>。</w:t>
            </w:r>
          </w:p>
        </w:tc>
      </w:tr>
    </w:tbl>
    <w:p>
      <w:pPr>
        <w:pStyle w:val="5"/>
        <w:keepNext w:val="0"/>
        <w:keepLines w:val="0"/>
        <w:pageBreakBefore w:val="0"/>
        <w:widowControl w:val="0"/>
        <w:kinsoku/>
        <w:wordWrap/>
        <w:overflowPunct w:val="0"/>
        <w:topLinePunct w:val="0"/>
        <w:autoSpaceDE/>
        <w:autoSpaceDN/>
        <w:bidi w:val="0"/>
        <w:adjustRightInd/>
        <w:snapToGrid/>
        <w:spacing w:before="313" w:beforeLines="100" w:after="0" w:line="360" w:lineRule="auto"/>
        <w:textAlignment w:val="auto"/>
        <w:rPr>
          <w:rFonts w:hint="default" w:ascii="Times New Roman" w:hAnsi="Times New Roman" w:cs="Times New Roman"/>
          <w:bCs w:val="0"/>
          <w:color w:val="000000" w:themeColor="text1"/>
          <w:kern w:val="0"/>
          <w:sz w:val="28"/>
          <w:szCs w:val="28"/>
          <w:lang w:val="zh-CN"/>
          <w14:textFill>
            <w14:solidFill>
              <w14:schemeClr w14:val="tx1"/>
            </w14:solidFill>
          </w14:textFill>
        </w:rPr>
      </w:pPr>
      <w:bookmarkStart w:id="436" w:name="_Toc21409"/>
      <w:bookmarkStart w:id="437" w:name="_Toc9478"/>
      <w:bookmarkStart w:id="438" w:name="_Toc4183_WPSOffice_Level2"/>
      <w:bookmarkStart w:id="439" w:name="_Toc16706"/>
      <w:bookmarkStart w:id="440" w:name="_Toc1770"/>
      <w:bookmarkStart w:id="441" w:name="_Toc31298"/>
      <w:r>
        <w:rPr>
          <w:rFonts w:hint="eastAsia" w:ascii="Times New Roman" w:hAnsi="Times New Roman" w:cs="Times New Roman"/>
          <w:bCs w:val="0"/>
          <w:color w:val="000000" w:themeColor="text1"/>
          <w:kern w:val="0"/>
          <w:sz w:val="28"/>
          <w:szCs w:val="28"/>
          <w:lang w:val="zh-CN" w:eastAsia="zh-CN"/>
          <w14:textFill>
            <w14:solidFill>
              <w14:schemeClr w14:val="tx1"/>
            </w14:solidFill>
          </w14:textFill>
        </w:rPr>
        <w:t>5.8</w:t>
      </w:r>
      <w:r>
        <w:rPr>
          <w:rFonts w:hint="default" w:ascii="Times New Roman" w:hAnsi="Times New Roman" w:cs="Times New Roman"/>
          <w:bCs w:val="0"/>
          <w:color w:val="000000" w:themeColor="text1"/>
          <w:kern w:val="0"/>
          <w:sz w:val="28"/>
          <w:szCs w:val="28"/>
          <w:lang w:val="zh-CN"/>
          <w14:textFill>
            <w14:solidFill>
              <w14:schemeClr w14:val="tx1"/>
            </w14:solidFill>
          </w14:textFill>
        </w:rPr>
        <w:t xml:space="preserve">.5 </w:t>
      </w:r>
      <w:bookmarkEnd w:id="436"/>
      <w:bookmarkEnd w:id="437"/>
      <w:bookmarkEnd w:id="438"/>
      <w:r>
        <w:rPr>
          <w:rFonts w:hint="default" w:ascii="Times New Roman" w:hAnsi="Times New Roman" w:cs="Times New Roman"/>
          <w:bCs w:val="0"/>
          <w:color w:val="000000" w:themeColor="text1"/>
          <w:kern w:val="0"/>
          <w:sz w:val="28"/>
          <w:szCs w:val="28"/>
          <w:lang w:val="zh-CN"/>
          <w14:textFill>
            <w14:solidFill>
              <w14:schemeClr w14:val="tx1"/>
            </w14:solidFill>
          </w14:textFill>
        </w:rPr>
        <w:t>环境风险管理</w:t>
      </w:r>
      <w:bookmarkEnd w:id="439"/>
      <w:bookmarkEnd w:id="440"/>
      <w:bookmarkEnd w:id="441"/>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hint="default" w:ascii="Times New Roman" w:hAnsi="Times New Roman" w:cs="Times New Roman"/>
          <w:b/>
          <w:bCs/>
          <w:color w:val="000000" w:themeColor="text1"/>
          <w:kern w:val="2"/>
          <w:sz w:val="28"/>
          <w:szCs w:val="28"/>
          <w:lang w:val="en-US" w:eastAsia="zh-CN" w:bidi="ar-SA"/>
          <w14:textFill>
            <w14:solidFill>
              <w14:schemeClr w14:val="tx1"/>
            </w14:solidFill>
          </w14:textFill>
        </w:rPr>
      </w:pPr>
      <w:bookmarkStart w:id="442" w:name="_Toc7666"/>
      <w:bookmarkStart w:id="443" w:name="_Toc11957"/>
      <w:r>
        <w:rPr>
          <w:rFonts w:hint="eastAsia" w:ascii="Times New Roman" w:hAnsi="Times New Roman" w:cs="Times New Roman"/>
          <w:b/>
          <w:bCs/>
          <w:color w:val="000000" w:themeColor="text1"/>
          <w:kern w:val="2"/>
          <w:sz w:val="28"/>
          <w:szCs w:val="28"/>
          <w:lang w:val="en-US" w:eastAsia="zh-CN" w:bidi="ar-SA"/>
          <w14:textFill>
            <w14:solidFill>
              <w14:schemeClr w14:val="tx1"/>
            </w14:solidFill>
          </w14:textFill>
        </w:rPr>
        <w:t>5.8</w:t>
      </w:r>
      <w:r>
        <w:rPr>
          <w:rFonts w:hint="default" w:ascii="Times New Roman" w:hAnsi="Times New Roman" w:cs="Times New Roman"/>
          <w:b/>
          <w:bCs/>
          <w:color w:val="000000" w:themeColor="text1"/>
          <w:kern w:val="2"/>
          <w:sz w:val="28"/>
          <w:szCs w:val="28"/>
          <w:lang w:val="en-US" w:eastAsia="zh-CN" w:bidi="ar-SA"/>
          <w14:textFill>
            <w14:solidFill>
              <w14:schemeClr w14:val="tx1"/>
            </w14:solidFill>
          </w14:textFill>
        </w:rPr>
        <w:t xml:space="preserve">.5.1 </w:t>
      </w:r>
      <w:bookmarkEnd w:id="442"/>
      <w:bookmarkEnd w:id="443"/>
      <w:r>
        <w:rPr>
          <w:rFonts w:hint="eastAsia" w:ascii="Times New Roman" w:hAnsi="Times New Roman" w:cs="Times New Roman"/>
          <w:b/>
          <w:bCs/>
          <w:color w:val="000000" w:themeColor="text1"/>
          <w:kern w:val="2"/>
          <w:sz w:val="28"/>
          <w:szCs w:val="28"/>
          <w:lang w:val="en-US" w:eastAsia="zh-CN" w:bidi="ar-SA"/>
          <w14:textFill>
            <w14:solidFill>
              <w14:schemeClr w14:val="tx1"/>
            </w14:solidFill>
          </w14:textFill>
        </w:rPr>
        <w:t>风险防范措施</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snapToGrid w:val="0"/>
          <w:color w:val="000000" w:themeColor="text1"/>
          <w:kern w:val="0"/>
          <w:sz w:val="24"/>
          <w:szCs w:val="24"/>
          <w14:textFill>
            <w14:solidFill>
              <w14:schemeClr w14:val="tx1"/>
            </w14:solidFill>
          </w14:textFill>
        </w:rPr>
        <w:t>脱硝使用的液氨贮存应选用加压卧式贮槽，置于露天通风遮阳棚内，防止阳光直射，夏季要有降温措施</w:t>
      </w:r>
      <w:r>
        <w:rPr>
          <w:rFonts w:hint="eastAsia" w:eastAsia="宋体" w:cs="Times New Roman"/>
          <w:snapToGrid w:val="0"/>
          <w:color w:val="000000" w:themeColor="text1"/>
          <w:kern w:val="0"/>
          <w:sz w:val="24"/>
          <w:szCs w:val="24"/>
          <w:lang w:eastAsia="zh-CN"/>
          <w14:textFill>
            <w14:solidFill>
              <w14:schemeClr w14:val="tx1"/>
            </w14:solidFill>
          </w14:textFill>
        </w:rPr>
        <w:t>：</w:t>
      </w:r>
      <w:r>
        <w:rPr>
          <w:rFonts w:hint="default" w:ascii="Times New Roman" w:hAnsi="Times New Roman" w:cs="Times New Roman"/>
          <w:snapToGrid w:val="0"/>
          <w:color w:val="000000" w:themeColor="text1"/>
          <w:kern w:val="0"/>
          <w:sz w:val="24"/>
          <w:szCs w:val="24"/>
          <w14:textFill>
            <w14:solidFill>
              <w14:schemeClr w14:val="tx1"/>
            </w14:solidFill>
          </w14:textFill>
        </w:rPr>
        <w:t>为减少压力升高引起事故风险，液氨贮槽应安两个安全</w:t>
      </w:r>
      <w:r>
        <w:rPr>
          <w:rFonts w:hint="eastAsia" w:ascii="Times New Roman" w:hAnsi="Times New Roman" w:cs="Times New Roman"/>
          <w:snapToGrid w:val="0"/>
          <w:color w:val="000000" w:themeColor="text1"/>
          <w:kern w:val="0"/>
          <w:sz w:val="24"/>
          <w:szCs w:val="24"/>
          <w:lang w:eastAsia="zh-CN"/>
          <w14:textFill>
            <w14:solidFill>
              <w14:schemeClr w14:val="tx1"/>
            </w14:solidFill>
          </w14:textFill>
        </w:rPr>
        <w:t>阀</w:t>
      </w:r>
      <w:r>
        <w:rPr>
          <w:rFonts w:hint="default" w:ascii="Times New Roman" w:hAnsi="Times New Roman" w:cs="Times New Roman"/>
          <w:snapToGrid w:val="0"/>
          <w:color w:val="000000" w:themeColor="text1"/>
          <w:kern w:val="0"/>
          <w:sz w:val="24"/>
          <w:szCs w:val="24"/>
          <w14:textFill>
            <w14:solidFill>
              <w14:schemeClr w14:val="tx1"/>
            </w14:solidFill>
          </w14:textFill>
        </w:rPr>
        <w:t>，泄压引出管线应通入空罐临时贮存，不能排放。储罐装入容积85</w:t>
      </w:r>
      <w:r>
        <w:rPr>
          <w:rFonts w:hint="eastAsia" w:eastAsia="宋体" w:cs="Times New Roman"/>
          <w:snapToGrid w:val="0"/>
          <w:color w:val="000000" w:themeColor="text1"/>
          <w:kern w:val="0"/>
          <w:sz w:val="24"/>
          <w:szCs w:val="24"/>
          <w:lang w:val="en-US" w:eastAsia="zh-CN"/>
          <w14:textFill>
            <w14:solidFill>
              <w14:schemeClr w14:val="tx1"/>
            </w14:solidFill>
          </w14:textFill>
        </w:rPr>
        <w:t>%</w:t>
      </w:r>
      <w:r>
        <w:rPr>
          <w:rFonts w:hint="eastAsia" w:ascii="Times New Roman" w:hAnsi="Times New Roman" w:cs="Times New Roman"/>
          <w:snapToGrid w:val="0"/>
          <w:color w:val="000000" w:themeColor="text1"/>
          <w:kern w:val="0"/>
          <w:sz w:val="24"/>
          <w:szCs w:val="24"/>
          <w:lang w:eastAsia="zh-CN"/>
          <w14:textFill>
            <w14:solidFill>
              <w14:schemeClr w14:val="tx1"/>
            </w14:solidFill>
          </w14:textFill>
        </w:rPr>
        <w:t>，</w:t>
      </w:r>
      <w:r>
        <w:rPr>
          <w:rFonts w:hint="default" w:ascii="Times New Roman" w:hAnsi="Times New Roman" w:cs="Times New Roman"/>
          <w:snapToGrid w:val="0"/>
          <w:color w:val="000000" w:themeColor="text1"/>
          <w:kern w:val="0"/>
          <w:sz w:val="24"/>
          <w:szCs w:val="24"/>
          <w14:textFill>
            <w14:solidFill>
              <w14:schemeClr w14:val="tx1"/>
            </w14:solidFill>
          </w14:textFill>
        </w:rPr>
        <w:t>留有汽化空间</w:t>
      </w:r>
      <w:r>
        <w:rPr>
          <w:rFonts w:hint="eastAsia" w:eastAsia="宋体" w:cs="Times New Roman"/>
          <w:snapToGrid w:val="0"/>
          <w:color w:val="000000" w:themeColor="text1"/>
          <w:kern w:val="0"/>
          <w:sz w:val="24"/>
          <w:szCs w:val="24"/>
          <w:lang w:eastAsia="zh-CN"/>
          <w14:textFill>
            <w14:solidFill>
              <w14:schemeClr w14:val="tx1"/>
            </w14:solidFill>
          </w14:textFill>
        </w:rPr>
        <w:t>；</w:t>
      </w:r>
      <w:r>
        <w:rPr>
          <w:rFonts w:hint="default" w:ascii="Times New Roman" w:hAnsi="Times New Roman" w:cs="Times New Roman"/>
          <w:snapToGrid w:val="0"/>
          <w:color w:val="000000" w:themeColor="text1"/>
          <w:kern w:val="0"/>
          <w:sz w:val="24"/>
          <w:szCs w:val="24"/>
          <w14:textFill>
            <w14:solidFill>
              <w14:schemeClr w14:val="tx1"/>
            </w14:solidFill>
          </w14:textFill>
        </w:rPr>
        <w:t>液氨贮槽应设置降温设施，如水冷换热盘管甚至冰机制冷降温</w:t>
      </w:r>
      <w:r>
        <w:rPr>
          <w:rFonts w:hint="eastAsia" w:eastAsia="宋体" w:cs="Times New Roman"/>
          <w:snapToGrid w:val="0"/>
          <w:color w:val="000000" w:themeColor="text1"/>
          <w:kern w:val="0"/>
          <w:sz w:val="24"/>
          <w:szCs w:val="24"/>
          <w:lang w:eastAsia="zh-CN"/>
          <w14:textFill>
            <w14:solidFill>
              <w14:schemeClr w14:val="tx1"/>
            </w14:solidFill>
          </w14:textFill>
        </w:rPr>
        <w:t>：</w:t>
      </w:r>
      <w:r>
        <w:rPr>
          <w:rFonts w:hint="default" w:ascii="Times New Roman" w:hAnsi="Times New Roman" w:cs="Times New Roman"/>
          <w:snapToGrid w:val="0"/>
          <w:color w:val="000000" w:themeColor="text1"/>
          <w:kern w:val="0"/>
          <w:sz w:val="24"/>
          <w:szCs w:val="24"/>
          <w14:textFill>
            <w14:solidFill>
              <w14:schemeClr w14:val="tx1"/>
            </w14:solidFill>
          </w14:textFill>
        </w:rPr>
        <w:t>液氨使用时场地周国有国栏防止人员进入，固栏上应有警告标志，场地内设有自动监测氨气装置和报警装置，四周设有</w:t>
      </w:r>
      <w:r>
        <w:rPr>
          <w:rFonts w:hint="eastAsia" w:ascii="Times New Roman" w:hAnsi="Times New Roman" w:cs="Times New Roman"/>
          <w:snapToGrid w:val="0"/>
          <w:color w:val="000000" w:themeColor="text1"/>
          <w:kern w:val="0"/>
          <w:sz w:val="24"/>
          <w:szCs w:val="24"/>
          <w:lang w:eastAsia="zh-CN"/>
          <w14:textFill>
            <w14:solidFill>
              <w14:schemeClr w14:val="tx1"/>
            </w14:solidFill>
          </w14:textFill>
        </w:rPr>
        <w:t>围堰</w:t>
      </w:r>
      <w:r>
        <w:rPr>
          <w:rFonts w:hint="default" w:ascii="Times New Roman" w:hAnsi="Times New Roman" w:cs="Times New Roman"/>
          <w:snapToGrid w:val="0"/>
          <w:color w:val="000000" w:themeColor="text1"/>
          <w:kern w:val="0"/>
          <w:sz w:val="24"/>
          <w:szCs w:val="24"/>
          <w14:textFill>
            <w14:solidFill>
              <w14:schemeClr w14:val="tx1"/>
            </w14:solidFill>
          </w14:textFill>
        </w:rPr>
        <w:t>，并采取防滲措施，</w:t>
      </w:r>
      <w:r>
        <w:rPr>
          <w:rFonts w:hint="eastAsia" w:ascii="Times New Roman" w:hAnsi="Times New Roman" w:cs="Times New Roman"/>
          <w:snapToGrid w:val="0"/>
          <w:color w:val="000000" w:themeColor="text1"/>
          <w:kern w:val="0"/>
          <w:sz w:val="24"/>
          <w:szCs w:val="24"/>
          <w:lang w:eastAsia="zh-CN"/>
          <w14:textFill>
            <w14:solidFill>
              <w14:schemeClr w14:val="tx1"/>
            </w14:solidFill>
          </w14:textFill>
        </w:rPr>
        <w:t>围</w:t>
      </w:r>
      <w:r>
        <w:rPr>
          <w:rFonts w:hint="default" w:ascii="Times New Roman" w:hAnsi="Times New Roman" w:cs="Times New Roman"/>
          <w:snapToGrid w:val="0"/>
          <w:color w:val="000000" w:themeColor="text1"/>
          <w:kern w:val="0"/>
          <w:sz w:val="24"/>
          <w:szCs w:val="24"/>
          <w14:textFill>
            <w14:solidFill>
              <w14:schemeClr w14:val="tx1"/>
            </w14:solidFill>
          </w14:textFill>
        </w:rPr>
        <w:t>堰容积50m</w:t>
      </w:r>
      <w:r>
        <w:rPr>
          <w:rFonts w:hint="default" w:ascii="Times New Roman" w:hAnsi="Times New Roman" w:cs="Times New Roman"/>
          <w:snapToGrid w:val="0"/>
          <w:color w:val="000000" w:themeColor="text1"/>
          <w:kern w:val="0"/>
          <w:sz w:val="24"/>
          <w:szCs w:val="24"/>
          <w:vertAlign w:val="superscript"/>
          <w14:textFill>
            <w14:solidFill>
              <w14:schemeClr w14:val="tx1"/>
            </w14:solidFill>
          </w14:textFill>
        </w:rPr>
        <w:t>3</w:t>
      </w:r>
      <w:r>
        <w:rPr>
          <w:rFonts w:hint="default" w:ascii="Times New Roman" w:hAnsi="Times New Roman" w:cs="Times New Roman"/>
          <w:snapToGrid w:val="0"/>
          <w:color w:val="000000" w:themeColor="text1"/>
          <w:kern w:val="0"/>
          <w:sz w:val="24"/>
          <w:szCs w:val="24"/>
          <w14:textFill>
            <w14:solidFill>
              <w14:schemeClr w14:val="tx1"/>
            </w14:solidFill>
          </w14:textFill>
        </w:rPr>
        <w:t>、水喷淋系统和冲洗设施，设置2座50m</w:t>
      </w:r>
      <w:r>
        <w:rPr>
          <w:rFonts w:hint="default" w:ascii="Times New Roman" w:hAnsi="Times New Roman" w:cs="Times New Roman"/>
          <w:snapToGrid w:val="0"/>
          <w:color w:val="000000" w:themeColor="text1"/>
          <w:kern w:val="0"/>
          <w:sz w:val="24"/>
          <w:szCs w:val="24"/>
          <w:vertAlign w:val="superscript"/>
          <w14:textFill>
            <w14:solidFill>
              <w14:schemeClr w14:val="tx1"/>
            </w14:solidFill>
          </w14:textFill>
        </w:rPr>
        <w:t>3</w:t>
      </w:r>
      <w:r>
        <w:rPr>
          <w:rFonts w:hint="default" w:ascii="Times New Roman" w:hAnsi="Times New Roman" w:cs="Times New Roman"/>
          <w:snapToGrid w:val="0"/>
          <w:color w:val="000000" w:themeColor="text1"/>
          <w:kern w:val="0"/>
          <w:sz w:val="24"/>
          <w:szCs w:val="24"/>
          <w14:textFill>
            <w14:solidFill>
              <w14:schemeClr w14:val="tx1"/>
            </w14:solidFill>
          </w14:textFill>
        </w:rPr>
        <w:t>事故水池</w:t>
      </w:r>
      <w:r>
        <w:rPr>
          <w:rFonts w:hint="eastAsia" w:ascii="Times New Roman" w:hAnsi="Times New Roman" w:cs="Times New Roman"/>
          <w:snapToGrid w:val="0"/>
          <w:color w:val="000000" w:themeColor="text1"/>
          <w:kern w:val="0"/>
          <w:sz w:val="24"/>
          <w:szCs w:val="24"/>
          <w:lang w:eastAsia="zh-CN"/>
          <w14:textFill>
            <w14:solidFill>
              <w14:schemeClr w14:val="tx1"/>
            </w14:solidFill>
          </w14:textFill>
        </w:rPr>
        <w:t>；</w:t>
      </w:r>
      <w:r>
        <w:rPr>
          <w:rFonts w:hint="default" w:ascii="Times New Roman" w:hAnsi="Times New Roman" w:cs="Times New Roman"/>
          <w:snapToGrid w:val="0"/>
          <w:color w:val="000000" w:themeColor="text1"/>
          <w:kern w:val="0"/>
          <w:sz w:val="24"/>
          <w:szCs w:val="24"/>
          <w14:textFill>
            <w14:solidFill>
              <w14:schemeClr w14:val="tx1"/>
            </w14:solidFill>
          </w14:textFill>
        </w:rPr>
        <w:t>需要切实加强贮存设备日常检</w:t>
      </w:r>
      <w:r>
        <w:rPr>
          <w:rFonts w:hint="eastAsia" w:ascii="Times New Roman" w:hAnsi="Times New Roman" w:cs="Times New Roman"/>
          <w:snapToGrid w:val="0"/>
          <w:color w:val="000000" w:themeColor="text1"/>
          <w:kern w:val="0"/>
          <w:sz w:val="24"/>
          <w:szCs w:val="24"/>
          <w:lang w:eastAsia="zh-CN"/>
          <w14:textFill>
            <w14:solidFill>
              <w14:schemeClr w14:val="tx1"/>
            </w14:solidFill>
          </w14:textFill>
        </w:rPr>
        <w:t>查、维修，防止滴漏。液氨加压卧式贮槽附近提供安全淋浴和洗眼设备；在氨浓度可能超过标准的场所，工人必须配备有氨滤毒罐的防毒面具、戴化学安全防护眼镜、橡胶手套、穿防静电工作服方可进行工作，保护工人的呼吸道、眼和皮肤，并在附近提供安全淋浴和洗眼设备；液氨输送管道应有良好的接地装置，防止静电电荷聚集引发事故；液氨压缩机房内的设各备均需做静电接地处理，防止静电积累；在液氨贮罐区、管线周围必须设置消防栓、排水沟渠和事故池，液氨外泄时，可立即喷洒水幕以稀释空气中的氨浓度，阻止有毒气体扩散，氨水则通过排水沟直接进入事故池，减少事故下氨水外泚对外环境的影响范围；保持液氨站及压缩机房附近道路通畅，场地宽松，以便于抢险；储罐要远离热源、火源:对管道、阀门、接口及零件进行日常的检查与更换，保持设备完好，防止跑冒滴漏液氨贮和管线附近设置危险标志。配备紧急医疗箱，配各防毒面具和防护服，以便事故下紧急逃生和紧急抢修之用。</w:t>
      </w:r>
      <w:r>
        <w:rPr>
          <w:rFonts w:hint="default" w:ascii="Times New Roman" w:hAnsi="Times New Roman" w:cs="Times New Roman"/>
          <w:snapToGrid/>
          <w:color w:val="000000" w:themeColor="text1"/>
          <w:kern w:val="2"/>
          <w:sz w:val="24"/>
          <w:szCs w:val="24"/>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hint="default" w:ascii="Times New Roman" w:hAnsi="Times New Roman" w:cs="Times New Roman"/>
          <w:b/>
          <w:bCs/>
          <w:color w:val="000000" w:themeColor="text1"/>
          <w:kern w:val="2"/>
          <w:sz w:val="28"/>
          <w:szCs w:val="28"/>
          <w:lang w:val="en-US" w:eastAsia="zh-CN" w:bidi="ar-SA"/>
          <w14:textFill>
            <w14:solidFill>
              <w14:schemeClr w14:val="tx1"/>
            </w14:solidFill>
          </w14:textFill>
        </w:rPr>
      </w:pPr>
      <w:bookmarkStart w:id="444" w:name="_Toc1793"/>
      <w:bookmarkStart w:id="445" w:name="_Toc14654"/>
      <w:r>
        <w:rPr>
          <w:rFonts w:hint="eastAsia" w:ascii="Times New Roman" w:hAnsi="Times New Roman" w:cs="Times New Roman"/>
          <w:b/>
          <w:bCs/>
          <w:color w:val="000000" w:themeColor="text1"/>
          <w:kern w:val="2"/>
          <w:sz w:val="28"/>
          <w:szCs w:val="28"/>
          <w:lang w:val="en-US" w:eastAsia="zh-CN" w:bidi="ar-SA"/>
          <w14:textFill>
            <w14:solidFill>
              <w14:schemeClr w14:val="tx1"/>
            </w14:solidFill>
          </w14:textFill>
        </w:rPr>
        <w:t>5.8</w:t>
      </w:r>
      <w:r>
        <w:rPr>
          <w:rFonts w:hint="default" w:ascii="Times New Roman" w:hAnsi="Times New Roman" w:cs="Times New Roman"/>
          <w:b/>
          <w:bCs/>
          <w:color w:val="000000" w:themeColor="text1"/>
          <w:kern w:val="2"/>
          <w:sz w:val="28"/>
          <w:szCs w:val="28"/>
          <w:lang w:val="en-US" w:eastAsia="zh-CN" w:bidi="ar-SA"/>
          <w14:textFill>
            <w14:solidFill>
              <w14:schemeClr w14:val="tx1"/>
            </w14:solidFill>
          </w14:textFill>
        </w:rPr>
        <w:t>.5.</w:t>
      </w:r>
      <w:r>
        <w:rPr>
          <w:rFonts w:hint="eastAsia" w:ascii="Times New Roman" w:hAnsi="Times New Roman" w:cs="Times New Roman"/>
          <w:b/>
          <w:bCs/>
          <w:color w:val="000000" w:themeColor="text1"/>
          <w:kern w:val="2"/>
          <w:sz w:val="28"/>
          <w:szCs w:val="28"/>
          <w:lang w:val="en-US" w:eastAsia="zh-CN" w:bidi="ar-SA"/>
          <w14:textFill>
            <w14:solidFill>
              <w14:schemeClr w14:val="tx1"/>
            </w14:solidFill>
          </w14:textFill>
        </w:rPr>
        <w:t>2</w:t>
      </w:r>
      <w:r>
        <w:rPr>
          <w:rFonts w:hint="default" w:ascii="Times New Roman" w:hAnsi="Times New Roman" w:cs="Times New Roman"/>
          <w:b/>
          <w:bCs/>
          <w:color w:val="000000" w:themeColor="text1"/>
          <w:kern w:val="2"/>
          <w:sz w:val="28"/>
          <w:szCs w:val="28"/>
          <w:lang w:val="en-US" w:eastAsia="zh-CN" w:bidi="ar-SA"/>
          <w14:textFill>
            <w14:solidFill>
              <w14:schemeClr w14:val="tx1"/>
            </w14:solidFill>
          </w14:textFill>
        </w:rPr>
        <w:t xml:space="preserve"> 事故应急措施</w:t>
      </w:r>
      <w:bookmarkEnd w:id="444"/>
      <w:bookmarkEnd w:id="445"/>
    </w:p>
    <w:p>
      <w:pPr>
        <w:pageBreakBefore w:val="0"/>
        <w:widowControl w:val="0"/>
        <w:kinsoku/>
        <w:wordWrap/>
        <w:overflowPunct w:val="0"/>
        <w:topLinePunct w:val="0"/>
        <w:autoSpaceDE/>
        <w:autoSpaceDN/>
        <w:bidi w:val="0"/>
        <w:snapToGrid/>
        <w:spacing w:line="360" w:lineRule="auto"/>
        <w:ind w:firstLine="480" w:firstLineChars="200"/>
        <w:rPr>
          <w:rFonts w:hint="default" w:ascii="Times New Roman" w:hAnsi="Times New Roman" w:cs="Times New Roman"/>
          <w:snapToGrid w:val="0"/>
          <w:color w:val="000000" w:themeColor="text1"/>
          <w:kern w:val="0"/>
          <w:sz w:val="24"/>
          <w:szCs w:val="24"/>
          <w14:textFill>
            <w14:solidFill>
              <w14:schemeClr w14:val="tx1"/>
            </w14:solidFill>
          </w14:textFill>
        </w:rPr>
      </w:pPr>
      <w:r>
        <w:rPr>
          <w:rFonts w:hint="eastAsia" w:eastAsia="宋体" w:cs="Times New Roman"/>
          <w:snapToGrid w:val="0"/>
          <w:color w:val="000000" w:themeColor="text1"/>
          <w:kern w:val="0"/>
          <w:sz w:val="24"/>
          <w:szCs w:val="24"/>
          <w:lang w:eastAsia="zh-CN"/>
          <w14:textFill>
            <w14:solidFill>
              <w14:schemeClr w14:val="tx1"/>
            </w14:solidFill>
          </w14:textFill>
        </w:rPr>
        <w:t>（</w:t>
      </w:r>
      <w:r>
        <w:rPr>
          <w:rFonts w:hint="eastAsia" w:eastAsia="宋体" w:cs="Times New Roman"/>
          <w:snapToGrid w:val="0"/>
          <w:color w:val="000000" w:themeColor="text1"/>
          <w:kern w:val="0"/>
          <w:sz w:val="24"/>
          <w:szCs w:val="24"/>
          <w:lang w:val="en-US" w:eastAsia="zh-CN"/>
          <w14:textFill>
            <w14:solidFill>
              <w14:schemeClr w14:val="tx1"/>
            </w14:solidFill>
          </w14:textFill>
        </w:rPr>
        <w:t>1</w:t>
      </w:r>
      <w:r>
        <w:rPr>
          <w:rFonts w:hint="eastAsia" w:eastAsia="宋体" w:cs="Times New Roman"/>
          <w:snapToGrid w:val="0"/>
          <w:color w:val="000000" w:themeColor="text1"/>
          <w:kern w:val="0"/>
          <w:sz w:val="24"/>
          <w:szCs w:val="24"/>
          <w:lang w:eastAsia="zh-CN"/>
          <w14:textFill>
            <w14:solidFill>
              <w14:schemeClr w14:val="tx1"/>
            </w14:solidFill>
          </w14:textFill>
        </w:rPr>
        <w:t>）</w:t>
      </w:r>
      <w:r>
        <w:rPr>
          <w:rFonts w:hint="default" w:ascii="Times New Roman" w:hAnsi="Times New Roman" w:cs="Times New Roman"/>
          <w:snapToGrid w:val="0"/>
          <w:color w:val="000000" w:themeColor="text1"/>
          <w:kern w:val="0"/>
          <w:sz w:val="24"/>
          <w:szCs w:val="24"/>
          <w14:textFill>
            <w14:solidFill>
              <w14:schemeClr w14:val="tx1"/>
            </w14:solidFill>
          </w14:textFill>
        </w:rPr>
        <w:t>泄漏事故排放应急措施</w:t>
      </w:r>
    </w:p>
    <w:p>
      <w:pPr>
        <w:pageBreakBefore w:val="0"/>
        <w:widowControl w:val="0"/>
        <w:kinsoku/>
        <w:wordWrap/>
        <w:overflowPunct w:val="0"/>
        <w:topLinePunct w:val="0"/>
        <w:autoSpaceDE/>
        <w:autoSpaceDN/>
        <w:bidi w:val="0"/>
        <w:snapToGrid/>
        <w:spacing w:line="360" w:lineRule="auto"/>
        <w:ind w:firstLine="480" w:firstLineChars="200"/>
        <w:rPr>
          <w:rFonts w:hint="default" w:ascii="Times New Roman" w:hAnsi="Times New Roman" w:cs="Times New Roman"/>
          <w:snapToGrid w:val="0"/>
          <w:color w:val="000000" w:themeColor="text1"/>
          <w:kern w:val="0"/>
          <w:sz w:val="24"/>
          <w:szCs w:val="24"/>
          <w14:textFill>
            <w14:solidFill>
              <w14:schemeClr w14:val="tx1"/>
            </w14:solidFill>
          </w14:textFill>
        </w:rPr>
      </w:pPr>
      <w:r>
        <w:rPr>
          <w:rFonts w:hint="default" w:ascii="Times New Roman" w:hAnsi="Times New Roman" w:cs="Times New Roman"/>
          <w:snapToGrid w:val="0"/>
          <w:color w:val="000000" w:themeColor="text1"/>
          <w:kern w:val="0"/>
          <w:sz w:val="24"/>
          <w:szCs w:val="24"/>
          <w14:textFill>
            <w14:solidFill>
              <w14:schemeClr w14:val="tx1"/>
            </w14:solidFill>
          </w14:textFill>
        </w:rPr>
        <w:t>当发生泄漏事故时：现场负责人员隔离泄漏污染区，禁止无关人员进入污染区，限制出入，切断火源。同时向主管负责人员报告。对泄漏的污泥应及时清理、收集，防止污泥扩散污染周围土壤和地下水环境，被污泥染的土壤也应及时清理、收集，与污泥一起处理。</w:t>
      </w:r>
    </w:p>
    <w:p>
      <w:pPr>
        <w:pageBreakBefore w:val="0"/>
        <w:widowControl w:val="0"/>
        <w:kinsoku/>
        <w:wordWrap/>
        <w:overflowPunct w:val="0"/>
        <w:topLinePunct w:val="0"/>
        <w:autoSpaceDE/>
        <w:autoSpaceDN/>
        <w:bidi w:val="0"/>
        <w:snapToGrid/>
        <w:spacing w:line="360" w:lineRule="auto"/>
        <w:ind w:firstLine="480" w:firstLineChars="200"/>
        <w:rPr>
          <w:rFonts w:hint="default" w:ascii="Times New Roman" w:hAnsi="Times New Roman" w:cs="Times New Roman"/>
          <w:snapToGrid w:val="0"/>
          <w:color w:val="000000" w:themeColor="text1"/>
          <w:kern w:val="0"/>
          <w:sz w:val="24"/>
          <w:szCs w:val="24"/>
          <w14:textFill>
            <w14:solidFill>
              <w14:schemeClr w14:val="tx1"/>
            </w14:solidFill>
          </w14:textFill>
        </w:rPr>
      </w:pPr>
      <w:r>
        <w:rPr>
          <w:rFonts w:hint="eastAsia" w:eastAsia="宋体" w:cs="Times New Roman"/>
          <w:snapToGrid w:val="0"/>
          <w:color w:val="000000" w:themeColor="text1"/>
          <w:kern w:val="0"/>
          <w:sz w:val="24"/>
          <w:szCs w:val="24"/>
          <w:lang w:eastAsia="zh-CN"/>
          <w14:textFill>
            <w14:solidFill>
              <w14:schemeClr w14:val="tx1"/>
            </w14:solidFill>
          </w14:textFill>
        </w:rPr>
        <w:t>（</w:t>
      </w:r>
      <w:r>
        <w:rPr>
          <w:rFonts w:hint="eastAsia" w:eastAsia="宋体" w:cs="Times New Roman"/>
          <w:snapToGrid w:val="0"/>
          <w:color w:val="000000" w:themeColor="text1"/>
          <w:kern w:val="0"/>
          <w:sz w:val="24"/>
          <w:szCs w:val="24"/>
          <w:lang w:val="en-US" w:eastAsia="zh-CN"/>
          <w14:textFill>
            <w14:solidFill>
              <w14:schemeClr w14:val="tx1"/>
            </w14:solidFill>
          </w14:textFill>
        </w:rPr>
        <w:t>2</w:t>
      </w:r>
      <w:r>
        <w:rPr>
          <w:rFonts w:hint="eastAsia" w:eastAsia="宋体" w:cs="Times New Roman"/>
          <w:snapToGrid w:val="0"/>
          <w:color w:val="000000" w:themeColor="text1"/>
          <w:kern w:val="0"/>
          <w:sz w:val="24"/>
          <w:szCs w:val="24"/>
          <w:lang w:eastAsia="zh-CN"/>
          <w14:textFill>
            <w14:solidFill>
              <w14:schemeClr w14:val="tx1"/>
            </w14:solidFill>
          </w14:textFill>
        </w:rPr>
        <w:t>）</w:t>
      </w:r>
      <w:r>
        <w:rPr>
          <w:rFonts w:hint="default" w:ascii="Times New Roman" w:hAnsi="Times New Roman" w:cs="Times New Roman"/>
          <w:snapToGrid w:val="0"/>
          <w:color w:val="000000" w:themeColor="text1"/>
          <w:kern w:val="0"/>
          <w:sz w:val="24"/>
          <w:szCs w:val="24"/>
          <w14:textFill>
            <w14:solidFill>
              <w14:schemeClr w14:val="tx1"/>
            </w14:solidFill>
          </w14:textFill>
        </w:rPr>
        <w:t>火灾事故应急措施</w:t>
      </w:r>
    </w:p>
    <w:p>
      <w:pPr>
        <w:pageBreakBefore w:val="0"/>
        <w:widowControl w:val="0"/>
        <w:kinsoku/>
        <w:wordWrap/>
        <w:overflowPunct w:val="0"/>
        <w:topLinePunct w:val="0"/>
        <w:autoSpaceDE/>
        <w:autoSpaceDN/>
        <w:bidi w:val="0"/>
        <w:snapToGrid/>
        <w:spacing w:line="360" w:lineRule="auto"/>
        <w:ind w:firstLine="480" w:firstLineChars="200"/>
        <w:rPr>
          <w:rFonts w:hint="default" w:ascii="Times New Roman" w:hAnsi="Times New Roman" w:cs="Times New Roman"/>
          <w:snapToGrid w:val="0"/>
          <w:color w:val="000000" w:themeColor="text1"/>
          <w:kern w:val="0"/>
          <w:sz w:val="24"/>
          <w:szCs w:val="24"/>
          <w14:textFill>
            <w14:solidFill>
              <w14:schemeClr w14:val="tx1"/>
            </w14:solidFill>
          </w14:textFill>
        </w:rPr>
      </w:pPr>
      <w:r>
        <w:rPr>
          <w:rFonts w:hint="default" w:ascii="Times New Roman" w:hAnsi="Times New Roman" w:cs="Times New Roman"/>
          <w:snapToGrid w:val="0"/>
          <w:color w:val="000000" w:themeColor="text1"/>
          <w:kern w:val="0"/>
          <w:sz w:val="24"/>
          <w:szCs w:val="24"/>
          <w14:textFill>
            <w14:solidFill>
              <w14:schemeClr w14:val="tx1"/>
            </w14:solidFill>
          </w14:textFill>
        </w:rPr>
        <w:t>当发生火灾后，消防人员按照灭火方案进入阵地，必须首先熄灭周围明火，降温减轻热辐射，封锁交通，所有装置紧急停工，以防事态进一步扩在消防人员的监视下迅速堵漏。</w:t>
      </w:r>
    </w:p>
    <w:p>
      <w:pPr>
        <w:pageBreakBefore w:val="0"/>
        <w:widowControl w:val="0"/>
        <w:kinsoku/>
        <w:wordWrap/>
        <w:overflowPunct w:val="0"/>
        <w:topLinePunct w:val="0"/>
        <w:autoSpaceDE/>
        <w:autoSpaceDN/>
        <w:bidi w:val="0"/>
        <w:snapToGrid/>
        <w:spacing w:line="360" w:lineRule="auto"/>
        <w:ind w:firstLine="480" w:firstLineChars="200"/>
        <w:rPr>
          <w:rFonts w:hint="default" w:ascii="Times New Roman" w:hAnsi="Times New Roman" w:cs="Times New Roman"/>
          <w:snapToGrid w:val="0"/>
          <w:color w:val="000000" w:themeColor="text1"/>
          <w:kern w:val="0"/>
          <w:sz w:val="24"/>
          <w:szCs w:val="24"/>
          <w14:textFill>
            <w14:solidFill>
              <w14:schemeClr w14:val="tx1"/>
            </w14:solidFill>
          </w14:textFill>
        </w:rPr>
      </w:pPr>
      <w:r>
        <w:rPr>
          <w:rFonts w:hint="default" w:ascii="Times New Roman" w:hAnsi="Times New Roman" w:cs="Times New Roman"/>
          <w:snapToGrid w:val="0"/>
          <w:color w:val="000000" w:themeColor="text1"/>
          <w:kern w:val="0"/>
          <w:sz w:val="24"/>
          <w:szCs w:val="24"/>
          <w14:textFill>
            <w14:solidFill>
              <w14:schemeClr w14:val="tx1"/>
            </w14:solidFill>
          </w14:textFill>
        </w:rPr>
        <w:t>在灭火时，前方水枪手要占据上风方向防止辐射热灼伤或烫伤，尽可能将容器从火场移至空旷处。可采用的灭火剂有二氧化碳、干粉、砂土，禁止用水。</w:t>
      </w:r>
    </w:p>
    <w:p>
      <w:pPr>
        <w:pStyle w:val="2"/>
        <w:pageBreakBefore w:val="0"/>
        <w:widowControl w:val="0"/>
        <w:kinsoku/>
        <w:wordWrap/>
        <w:overflowPunct w:val="0"/>
        <w:topLinePunct w:val="0"/>
        <w:autoSpaceDE/>
        <w:autoSpaceDN/>
        <w:bidi w:val="0"/>
        <w:snapToGrid/>
        <w:spacing w:line="360" w:lineRule="auto"/>
        <w:ind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eastAsia" w:eastAsia="宋体" w:cs="Times New Roman"/>
          <w:color w:val="000000" w:themeColor="text1"/>
          <w:sz w:val="24"/>
          <w:szCs w:val="24"/>
          <w:lang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3</w:t>
      </w:r>
      <w:r>
        <w:rPr>
          <w:rFonts w:hint="eastAsia"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事故的后处理</w:t>
      </w:r>
    </w:p>
    <w:p>
      <w:pPr>
        <w:pStyle w:val="2"/>
        <w:pageBreakBefore w:val="0"/>
        <w:widowControl w:val="0"/>
        <w:kinsoku/>
        <w:wordWrap/>
        <w:overflowPunct w:val="0"/>
        <w:topLinePunct w:val="0"/>
        <w:autoSpaceDE/>
        <w:autoSpaceDN/>
        <w:bidi w:val="0"/>
        <w:snapToGrid/>
        <w:spacing w:line="360" w:lineRule="auto"/>
        <w:ind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事故的后处理是对发生事故设施维修和事故后现场的清理。一旦发生事故，影响到外环境时，要及时掌握对环境破坏程度，为处理污染事故决策提供信息。</w:t>
      </w:r>
    </w:p>
    <w:p>
      <w:pPr>
        <w:pStyle w:val="5"/>
        <w:keepNext w:val="0"/>
        <w:keepLines w:val="0"/>
        <w:pageBreakBefore w:val="0"/>
        <w:widowControl w:val="0"/>
        <w:kinsoku/>
        <w:wordWrap/>
        <w:overflowPunct w:val="0"/>
        <w:topLinePunct w:val="0"/>
        <w:autoSpaceDE/>
        <w:autoSpaceDN/>
        <w:bidi w:val="0"/>
        <w:snapToGrid/>
        <w:spacing w:before="0" w:after="0" w:line="360" w:lineRule="auto"/>
        <w:rPr>
          <w:rFonts w:hint="default" w:ascii="Times New Roman" w:hAnsi="Times New Roman" w:cs="Times New Roman"/>
          <w:color w:val="000000" w:themeColor="text1"/>
          <w14:textFill>
            <w14:solidFill>
              <w14:schemeClr w14:val="tx1"/>
            </w14:solidFill>
          </w14:textFill>
        </w:rPr>
      </w:pPr>
      <w:bookmarkStart w:id="446" w:name="_Toc20997"/>
      <w:bookmarkStart w:id="447" w:name="_Toc9813"/>
      <w:bookmarkStart w:id="448" w:name="_Toc17534"/>
      <w:bookmarkStart w:id="449" w:name="_Toc32494"/>
      <w:bookmarkStart w:id="450" w:name="_Toc18203"/>
      <w:r>
        <w:rPr>
          <w:rFonts w:hint="eastAsia" w:ascii="Times New Roman" w:hAnsi="Times New Roman" w:cs="Times New Roman"/>
          <w:color w:val="000000" w:themeColor="text1"/>
          <w:lang w:eastAsia="zh-CN"/>
          <w14:textFill>
            <w14:solidFill>
              <w14:schemeClr w14:val="tx1"/>
            </w14:solidFill>
          </w14:textFill>
        </w:rPr>
        <w:t>5.8</w:t>
      </w:r>
      <w:r>
        <w:rPr>
          <w:rFonts w:hint="default" w:ascii="Times New Roman" w:hAnsi="Times New Roman" w:cs="Times New Roman"/>
          <w:color w:val="000000" w:themeColor="text1"/>
          <w14:textFill>
            <w14:solidFill>
              <w14:schemeClr w14:val="tx1"/>
            </w14:solidFill>
          </w14:textFill>
        </w:rPr>
        <w:t>.6 风险评价结论</w:t>
      </w:r>
      <w:bookmarkEnd w:id="446"/>
      <w:bookmarkEnd w:id="447"/>
      <w:bookmarkEnd w:id="448"/>
      <w:bookmarkEnd w:id="449"/>
      <w:bookmarkEnd w:id="450"/>
    </w:p>
    <w:p>
      <w:pPr>
        <w:pStyle w:val="2"/>
        <w:pageBreakBefore w:val="0"/>
        <w:widowControl w:val="0"/>
        <w:kinsoku/>
        <w:wordWrap/>
        <w:overflowPunct w:val="0"/>
        <w:topLinePunct w:val="0"/>
        <w:autoSpaceDE/>
        <w:autoSpaceDN/>
        <w:bidi w:val="0"/>
        <w:snapToGrid/>
        <w:spacing w:line="360" w:lineRule="auto"/>
        <w:ind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本项目无重大危险源，本项目制定切实可行的事故防范措施和应急预案后，事故的发生概率和产生的影响能降到可接受范围，建设项目环境风险简单分析内容表，见表</w:t>
      </w:r>
      <w:r>
        <w:rPr>
          <w:rFonts w:hint="eastAsia" w:ascii="Times New Roman" w:hAnsi="Times New Roman" w:cs="Times New Roman"/>
          <w:color w:val="000000" w:themeColor="text1"/>
          <w:sz w:val="24"/>
          <w:szCs w:val="24"/>
          <w:lang w:eastAsia="zh-CN"/>
          <w14:textFill>
            <w14:solidFill>
              <w14:schemeClr w14:val="tx1"/>
            </w14:solidFill>
          </w14:textFill>
        </w:rPr>
        <w:t>5.8</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w:t>
      </w:r>
    </w:p>
    <w:p>
      <w:pPr>
        <w:pStyle w:val="2"/>
        <w:pageBreakBefore w:val="0"/>
        <w:widowControl w:val="0"/>
        <w:kinsoku/>
        <w:wordWrap/>
        <w:overflowPunct w:val="0"/>
        <w:topLinePunct w:val="0"/>
        <w:autoSpaceDE/>
        <w:autoSpaceDN/>
        <w:bidi w:val="0"/>
        <w:snapToGrid/>
        <w:spacing w:line="360" w:lineRule="auto"/>
        <w:ind w:firstLine="480" w:firstLineChars="20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eastAsia="宋体" w:cs="Times New Roman"/>
          <w:color w:val="000000" w:themeColor="text1"/>
          <w:sz w:val="24"/>
          <w:szCs w:val="24"/>
          <w:lang w:eastAsia="zh-CN"/>
          <w14:textFill>
            <w14:solidFill>
              <w14:schemeClr w14:val="tx1"/>
            </w14:solidFill>
          </w14:textFill>
        </w:rPr>
        <w:t>环境风险自查表见</w:t>
      </w:r>
      <w:r>
        <w:rPr>
          <w:rFonts w:hint="eastAsia" w:eastAsia="宋体" w:cs="Times New Roman"/>
          <w:color w:val="000000" w:themeColor="text1"/>
          <w:sz w:val="24"/>
          <w:szCs w:val="24"/>
          <w:lang w:val="en-US" w:eastAsia="zh-CN"/>
          <w14:textFill>
            <w14:solidFill>
              <w14:schemeClr w14:val="tx1"/>
            </w14:solidFill>
          </w14:textFill>
        </w:rPr>
        <w:t>5.8-6。</w:t>
      </w:r>
    </w:p>
    <w:p>
      <w:pPr>
        <w:pStyle w:val="131"/>
        <w:keepNext w:val="0"/>
        <w:keepLines w:val="0"/>
        <w:pageBreakBefore w:val="0"/>
        <w:widowControl w:val="0"/>
        <w:shd w:val="clear" w:color="auto" w:fill="auto"/>
        <w:kinsoku/>
        <w:wordWrap/>
        <w:overflowPunct/>
        <w:topLinePunct w:val="0"/>
        <w:autoSpaceDE/>
        <w:autoSpaceDN/>
        <w:bidi w:val="0"/>
        <w:adjustRightInd/>
        <w:snapToGrid w:val="0"/>
        <w:spacing w:before="157" w:beforeLines="50" w:line="240" w:lineRule="auto"/>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w:t>
      </w:r>
      <w: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t>5.8</w:t>
      </w:r>
      <w:r>
        <w:rPr>
          <w:rFonts w:hint="default" w:ascii="Times New Roman" w:hAnsi="Times New Roman" w:eastAsia="黑体" w:cs="Times New Roman"/>
          <w:b w:val="0"/>
          <w:bCs w:val="0"/>
          <w:color w:val="000000" w:themeColor="text1"/>
          <w:sz w:val="21"/>
          <w:szCs w:val="21"/>
          <w14:textFill>
            <w14:solidFill>
              <w14:schemeClr w14:val="tx1"/>
            </w14:solidFill>
          </w14:textFill>
        </w:rPr>
        <w:t>-</w:t>
      </w:r>
      <w:r>
        <w:rPr>
          <w:rFonts w:hint="eastAsia" w:ascii="Times New Roman" w:hAnsi="Times New Roman" w:eastAsia="黑体"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建设项目环境风险简单分析内容表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3"/>
        <w:gridCol w:w="1500"/>
        <w:gridCol w:w="1644"/>
        <w:gridCol w:w="1512"/>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3" w:type="dxa"/>
            <w:noWrap w:val="0"/>
            <w:vAlign w:val="center"/>
          </w:tcPr>
          <w:p>
            <w:pPr>
              <w:pStyle w:val="2"/>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建设项目名称</w:t>
            </w:r>
          </w:p>
        </w:tc>
        <w:tc>
          <w:tcPr>
            <w:tcW w:w="6649" w:type="dxa"/>
            <w:gridSpan w:val="4"/>
            <w:noWrap w:val="0"/>
            <w:vAlign w:val="center"/>
          </w:tcPr>
          <w:p>
            <w:pPr>
              <w:pStyle w:val="2"/>
              <w:overflowPunct w:val="0"/>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3" w:type="dxa"/>
            <w:noWrap w:val="0"/>
            <w:vAlign w:val="center"/>
          </w:tcPr>
          <w:p>
            <w:pPr>
              <w:pStyle w:val="2"/>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建设地点</w:t>
            </w:r>
          </w:p>
        </w:tc>
        <w:tc>
          <w:tcPr>
            <w:tcW w:w="1500" w:type="dxa"/>
            <w:noWrap w:val="0"/>
            <w:vAlign w:val="center"/>
          </w:tcPr>
          <w:p>
            <w:pPr>
              <w:pStyle w:val="2"/>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（新疆维吾尔自治区）省</w:t>
            </w:r>
          </w:p>
        </w:tc>
        <w:tc>
          <w:tcPr>
            <w:tcW w:w="1644" w:type="dxa"/>
            <w:noWrap w:val="0"/>
            <w:vAlign w:val="center"/>
          </w:tcPr>
          <w:p>
            <w:pPr>
              <w:pStyle w:val="2"/>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（克拉玛依）市</w:t>
            </w:r>
          </w:p>
        </w:tc>
        <w:tc>
          <w:tcPr>
            <w:tcW w:w="1512" w:type="dxa"/>
            <w:noWrap w:val="0"/>
            <w:vAlign w:val="center"/>
          </w:tcPr>
          <w:p>
            <w:pPr>
              <w:pStyle w:val="2"/>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（白碱滩）区</w:t>
            </w:r>
          </w:p>
        </w:tc>
        <w:tc>
          <w:tcPr>
            <w:tcW w:w="1993" w:type="dxa"/>
            <w:noWrap w:val="0"/>
            <w:vAlign w:val="center"/>
          </w:tcPr>
          <w:p>
            <w:pPr>
              <w:pStyle w:val="2"/>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（克拉玛依市</w:t>
            </w:r>
            <w:r>
              <w:rPr>
                <w:rFonts w:hint="eastAsia" w:eastAsia="宋体" w:cs="Times New Roman"/>
                <w:color w:val="000000" w:themeColor="text1"/>
                <w:sz w:val="21"/>
                <w:szCs w:val="21"/>
                <w:lang w:eastAsia="zh-CN"/>
                <w14:textFill>
                  <w14:solidFill>
                    <w14:schemeClr w14:val="tx1"/>
                  </w14:solidFill>
                </w14:textFill>
              </w:rPr>
              <w:t>高新技术产业园</w:t>
            </w:r>
            <w:r>
              <w:rPr>
                <w:rFonts w:hint="default" w:ascii="Times New Roman" w:hAnsi="Times New Roman" w:cs="Times New Roman"/>
                <w:color w:val="000000" w:themeColor="text1"/>
                <w:sz w:val="21"/>
                <w:szCs w:val="21"/>
                <w14:textFill>
                  <w14:solidFill>
                    <w14:schemeClr w14:val="tx1"/>
                  </w14:solidFill>
                </w14:textFill>
              </w:rPr>
              <w:t>）园区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3" w:type="dxa"/>
            <w:noWrap w:val="0"/>
            <w:vAlign w:val="center"/>
          </w:tcPr>
          <w:p>
            <w:pPr>
              <w:pStyle w:val="2"/>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地理坐标</w:t>
            </w:r>
          </w:p>
        </w:tc>
        <w:tc>
          <w:tcPr>
            <w:tcW w:w="1500" w:type="dxa"/>
            <w:noWrap w:val="0"/>
            <w:vAlign w:val="center"/>
          </w:tcPr>
          <w:p>
            <w:pPr>
              <w:pStyle w:val="2"/>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经度</w:t>
            </w:r>
          </w:p>
        </w:tc>
        <w:tc>
          <w:tcPr>
            <w:tcW w:w="1644" w:type="dxa"/>
            <w:noWrap w:val="0"/>
            <w:vAlign w:val="center"/>
          </w:tcPr>
          <w:p>
            <w:pPr>
              <w:pStyle w:val="2"/>
              <w:overflowPunct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85.0</w:t>
            </w:r>
            <w:r>
              <w:rPr>
                <w:rFonts w:hint="default" w:ascii="Times New Roman" w:hAnsi="Times New Roman" w:cs="Times New Roman"/>
                <w:color w:val="000000" w:themeColor="text1"/>
                <w:sz w:val="21"/>
                <w:szCs w:val="21"/>
                <w:lang w:val="en-US" w:eastAsia="zh-CN"/>
                <w14:textFill>
                  <w14:solidFill>
                    <w14:schemeClr w14:val="tx1"/>
                  </w14:solidFill>
                </w14:textFill>
              </w:rPr>
              <w:t>35555556</w:t>
            </w:r>
          </w:p>
        </w:tc>
        <w:tc>
          <w:tcPr>
            <w:tcW w:w="1512" w:type="dxa"/>
            <w:noWrap w:val="0"/>
            <w:vAlign w:val="center"/>
          </w:tcPr>
          <w:p>
            <w:pPr>
              <w:pStyle w:val="2"/>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纬度</w:t>
            </w:r>
          </w:p>
        </w:tc>
        <w:tc>
          <w:tcPr>
            <w:tcW w:w="1993" w:type="dxa"/>
            <w:noWrap w:val="0"/>
            <w:vAlign w:val="center"/>
          </w:tcPr>
          <w:p>
            <w:pPr>
              <w:pStyle w:val="2"/>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45.580000000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3" w:type="dxa"/>
            <w:noWrap w:val="0"/>
            <w:vAlign w:val="center"/>
          </w:tcPr>
          <w:p>
            <w:pPr>
              <w:pStyle w:val="2"/>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主要危险物质及分布</w:t>
            </w:r>
          </w:p>
        </w:tc>
        <w:tc>
          <w:tcPr>
            <w:tcW w:w="6649" w:type="dxa"/>
            <w:gridSpan w:val="4"/>
            <w:noWrap w:val="0"/>
            <w:vAlign w:val="center"/>
          </w:tcPr>
          <w:p>
            <w:pPr>
              <w:pStyle w:val="2"/>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主要危险物质有：</w:t>
            </w:r>
            <w:r>
              <w:rPr>
                <w:rFonts w:hint="default" w:ascii="Times New Roman" w:hAnsi="Times New Roman" w:cs="Times New Roman"/>
                <w:color w:val="000000" w:themeColor="text1"/>
                <w:sz w:val="21"/>
                <w:szCs w:val="21"/>
                <w:lang w:eastAsia="zh-CN"/>
                <w14:textFill>
                  <w14:solidFill>
                    <w14:schemeClr w14:val="tx1"/>
                  </w14:solidFill>
                </w14:textFill>
              </w:rPr>
              <w:t>液氨</w:t>
            </w:r>
          </w:p>
          <w:p>
            <w:pPr>
              <w:pStyle w:val="2"/>
              <w:overflowPunct w:val="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主要分布在：氨气</w:t>
            </w:r>
            <w:r>
              <w:rPr>
                <w:rFonts w:hint="default" w:ascii="Times New Roman" w:hAnsi="Times New Roman" w:cs="Times New Roman"/>
                <w:color w:val="000000" w:themeColor="text1"/>
                <w:sz w:val="21"/>
                <w:szCs w:val="21"/>
                <w:lang w:eastAsia="zh-CN"/>
                <w14:textFill>
                  <w14:solidFill>
                    <w14:schemeClr w14:val="tx1"/>
                  </w14:solidFill>
                </w14:textFill>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3" w:type="dxa"/>
            <w:noWrap w:val="0"/>
            <w:vAlign w:val="center"/>
          </w:tcPr>
          <w:p>
            <w:pPr>
              <w:pStyle w:val="2"/>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环境影响途径及后果</w:t>
            </w:r>
          </w:p>
        </w:tc>
        <w:tc>
          <w:tcPr>
            <w:tcW w:w="6649" w:type="dxa"/>
            <w:gridSpan w:val="4"/>
            <w:noWrap w:val="0"/>
            <w:vAlign w:val="center"/>
          </w:tcPr>
          <w:p>
            <w:pPr>
              <w:pStyle w:val="2"/>
              <w:overflowPunct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液氨储罐破裂</w:t>
            </w:r>
            <w:r>
              <w:rPr>
                <w:rFonts w:hint="default" w:ascii="Times New Roman" w:hAnsi="Times New Roman" w:cs="Times New Roman"/>
                <w:color w:val="000000" w:themeColor="text1"/>
                <w:sz w:val="21"/>
                <w:szCs w:val="21"/>
                <w14:textFill>
                  <w14:solidFill>
                    <w14:schemeClr w14:val="tx1"/>
                  </w14:solidFill>
                </w14:textFill>
              </w:rPr>
              <w:t>，发生泄露，一旦处置不当可能会发生火灾、爆炸泄露等危及周围人群健康，污染周围大气环境。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3" w:type="dxa"/>
            <w:noWrap w:val="0"/>
            <w:vAlign w:val="center"/>
          </w:tcPr>
          <w:p>
            <w:pPr>
              <w:pStyle w:val="2"/>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风险防范措施要求</w:t>
            </w:r>
          </w:p>
        </w:tc>
        <w:tc>
          <w:tcPr>
            <w:tcW w:w="6649" w:type="dxa"/>
            <w:gridSpan w:val="4"/>
            <w:noWrap w:val="0"/>
            <w:vAlign w:val="center"/>
          </w:tcPr>
          <w:p>
            <w:pPr>
              <w:pStyle w:val="2"/>
              <w:numPr>
                <w:ilvl w:val="0"/>
                <w:numId w:val="10"/>
              </w:numPr>
              <w:overflowPunct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脱硝使用的液氨贮存应选用加压卧式贮槽，置于露天通风遮阳棚内，防止阳光直射，夏季要有降温措施:为减少压力升高引起事故风险，液氨贮槽应安两个安全</w:t>
            </w:r>
            <w:r>
              <w:rPr>
                <w:rFonts w:hint="default" w:ascii="Times New Roman" w:hAnsi="Times New Roman" w:cs="Times New Roman"/>
                <w:color w:val="000000" w:themeColor="text1"/>
                <w:sz w:val="21"/>
                <w:szCs w:val="21"/>
                <w:lang w:eastAsia="zh-CN"/>
                <w14:textFill>
                  <w14:solidFill>
                    <w14:schemeClr w14:val="tx1"/>
                  </w14:solidFill>
                </w14:textFill>
              </w:rPr>
              <w:t>阀</w:t>
            </w:r>
            <w:r>
              <w:rPr>
                <w:rFonts w:hint="default" w:ascii="Times New Roman" w:hAnsi="Times New Roman" w:cs="Times New Roman"/>
                <w:color w:val="000000" w:themeColor="text1"/>
                <w:sz w:val="21"/>
                <w:szCs w:val="21"/>
                <w14:textFill>
                  <w14:solidFill>
                    <w14:schemeClr w14:val="tx1"/>
                  </w14:solidFill>
                </w14:textFill>
              </w:rPr>
              <w:t>，泄压引出管线应通入空罐临时贮存，不能排放。储罐装入容积85％</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留有汽化空间;液氨贮槽应设置降温设施，如水冷换热盘管甚至冰机制冷降温:液氨使用时场地周国有国栏防止人员进入，固栏上应有警告标志，场地内设有自动监测氨气装置和报警装置，四周设有</w:t>
            </w:r>
            <w:r>
              <w:rPr>
                <w:rFonts w:hint="default" w:ascii="Times New Roman" w:hAnsi="Times New Roman" w:cs="Times New Roman"/>
                <w:color w:val="000000" w:themeColor="text1"/>
                <w:sz w:val="21"/>
                <w:szCs w:val="21"/>
                <w:lang w:eastAsia="zh-CN"/>
                <w14:textFill>
                  <w14:solidFill>
                    <w14:schemeClr w14:val="tx1"/>
                  </w14:solidFill>
                </w14:textFill>
              </w:rPr>
              <w:t>围堰</w:t>
            </w:r>
            <w:r>
              <w:rPr>
                <w:rFonts w:hint="default" w:ascii="Times New Roman" w:hAnsi="Times New Roman" w:cs="Times New Roman"/>
                <w:color w:val="000000" w:themeColor="text1"/>
                <w:sz w:val="21"/>
                <w:szCs w:val="21"/>
                <w14:textFill>
                  <w14:solidFill>
                    <w14:schemeClr w14:val="tx1"/>
                  </w14:solidFill>
                </w14:textFill>
              </w:rPr>
              <w:t>，并采取</w:t>
            </w:r>
            <w:r>
              <w:rPr>
                <w:rFonts w:hint="default" w:ascii="Times New Roman" w:hAnsi="Times New Roman" w:cs="Times New Roman"/>
                <w:color w:val="000000" w:themeColor="text1"/>
                <w:sz w:val="21"/>
                <w:szCs w:val="21"/>
                <w:lang w:eastAsia="zh-CN"/>
                <w14:textFill>
                  <w14:solidFill>
                    <w14:schemeClr w14:val="tx1"/>
                  </w14:solidFill>
                </w14:textFill>
              </w:rPr>
              <w:t>防渗</w:t>
            </w:r>
            <w:r>
              <w:rPr>
                <w:rFonts w:hint="default" w:ascii="Times New Roman" w:hAnsi="Times New Roman" w:cs="Times New Roman"/>
                <w:color w:val="000000" w:themeColor="text1"/>
                <w:sz w:val="21"/>
                <w:szCs w:val="21"/>
                <w14:textFill>
                  <w14:solidFill>
                    <w14:schemeClr w14:val="tx1"/>
                  </w14:solidFill>
                </w14:textFill>
              </w:rPr>
              <w:t>措施。</w:t>
            </w:r>
          </w:p>
          <w:p>
            <w:pPr>
              <w:pStyle w:val="2"/>
              <w:numPr>
                <w:ilvl w:val="0"/>
                <w:numId w:val="10"/>
              </w:numPr>
              <w:overflowPunct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在氨浓度可能超过标准的场所，工人必须配备有氨滤毒罐的防毒面具、戴化学安全防护眼镜、橡胶手套、穿防静电工作服方可进行工作，保护工人的呼吸道、眼和皮肤，并在附近提供安全淋浴和洗眼设备；</w:t>
            </w:r>
          </w:p>
          <w:p>
            <w:pPr>
              <w:pStyle w:val="2"/>
              <w:overflowPunct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default" w:ascii="Times New Roman" w:hAnsi="Times New Roman" w:cs="Times New Roman"/>
                <w:color w:val="000000" w:themeColor="text1"/>
                <w:sz w:val="21"/>
                <w:szCs w:val="21"/>
                <w:lang w:eastAsia="zh-CN"/>
                <w14:textFill>
                  <w14:solidFill>
                    <w14:schemeClr w14:val="tx1"/>
                  </w14:solidFill>
                </w14:textFill>
              </w:rPr>
              <w:t>液氨输送管道应有良好的接地装置，防止静电电荷聚集引发事故；液氨压缩机房内的设各备均需做静电接地处理，防止静电积累；在液氨贮罐区、管线周围必须设置消防栓、排水沟渠和事故池，液氨外泄时，可立即喷洒水幕以稀释空气中的氨浓度，阻止有毒气体扩散，氨水则通过排水沟直接进入事故池，减少事故下氨水外泚对外环境的影响范围</w:t>
            </w:r>
            <w:r>
              <w:rPr>
                <w:rFonts w:hint="default" w:ascii="Times New Roman" w:hAnsi="Times New Roman"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5"/>
            <w:noWrap w:val="0"/>
            <w:vAlign w:val="center"/>
          </w:tcPr>
          <w:p>
            <w:pPr>
              <w:pStyle w:val="2"/>
              <w:overflowPunct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填表说明（列出项目相关信息及评价说明）：</w:t>
            </w:r>
          </w:p>
        </w:tc>
      </w:tr>
    </w:tbl>
    <w:p>
      <w:pPr>
        <w:pStyle w:val="2"/>
        <w:overflowPunct w:val="0"/>
        <w:spacing w:line="360" w:lineRule="auto"/>
        <w:jc w:val="both"/>
        <w:rPr>
          <w:rFonts w:hint="default" w:ascii="Times New Roman" w:hAnsi="Times New Roman" w:cs="Times New Roman"/>
          <w:color w:val="000000" w:themeColor="text1"/>
          <w:szCs w:val="20"/>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31"/>
        <w:keepNext w:val="0"/>
        <w:keepLines w:val="0"/>
        <w:pageBreakBefore w:val="0"/>
        <w:widowControl w:val="0"/>
        <w:shd w:val="clear" w:color="auto" w:fill="auto"/>
        <w:kinsoku/>
        <w:wordWrap/>
        <w:overflowPunct/>
        <w:topLinePunct w:val="0"/>
        <w:autoSpaceDE/>
        <w:autoSpaceDN/>
        <w:bidi w:val="0"/>
        <w:adjustRightInd/>
        <w:snapToGrid w:val="0"/>
        <w:spacing w:before="157" w:beforeLines="50" w:line="240" w:lineRule="auto"/>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lang w:eastAsia="zh-CN"/>
          <w14:textFill>
            <w14:solidFill>
              <w14:schemeClr w14:val="tx1"/>
            </w14:solidFill>
          </w14:textFill>
        </w:rPr>
        <w:t>表</w:t>
      </w:r>
      <w:r>
        <w:rPr>
          <w:rFonts w:hint="eastAsia" w:ascii="Times New Roman" w:hAnsi="Times New Roman" w:eastAsia="黑体" w:cs="Times New Roman"/>
          <w:b w:val="0"/>
          <w:bCs w:val="0"/>
          <w:color w:val="000000" w:themeColor="text1"/>
          <w:sz w:val="21"/>
          <w:szCs w:val="21"/>
          <w:lang w:val="en-US" w:eastAsia="zh-CN"/>
          <w14:textFill>
            <w14:solidFill>
              <w14:schemeClr w14:val="tx1"/>
            </w14:solidFill>
          </w14:textFill>
        </w:rPr>
        <w:t>5.8</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黑体"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21"/>
          <w:szCs w:val="21"/>
          <w14:textFill>
            <w14:solidFill>
              <w14:schemeClr w14:val="tx1"/>
            </w14:solidFill>
          </w14:textFill>
        </w:rPr>
        <w:t>环境风险评价自查表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151"/>
        <w:gridCol w:w="1021"/>
        <w:gridCol w:w="300"/>
        <w:gridCol w:w="1184"/>
        <w:gridCol w:w="590"/>
        <w:gridCol w:w="646"/>
        <w:gridCol w:w="690"/>
        <w:gridCol w:w="640"/>
        <w:gridCol w:w="591"/>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69"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工作内容</w:t>
            </w:r>
          </w:p>
        </w:tc>
        <w:tc>
          <w:tcPr>
            <w:tcW w:w="6753" w:type="dxa"/>
            <w:gridSpan w:val="9"/>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18" w:type="dxa"/>
            <w:vMerge w:val="restart"/>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风险调查</w:t>
            </w:r>
          </w:p>
        </w:tc>
        <w:tc>
          <w:tcPr>
            <w:tcW w:w="1151" w:type="dxa"/>
            <w:vMerge w:val="restart"/>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危险物质</w:t>
            </w:r>
          </w:p>
        </w:tc>
        <w:tc>
          <w:tcPr>
            <w:tcW w:w="102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名称</w:t>
            </w:r>
          </w:p>
        </w:tc>
        <w:tc>
          <w:tcPr>
            <w:tcW w:w="1484"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氨气</w:t>
            </w:r>
          </w:p>
        </w:tc>
        <w:tc>
          <w:tcPr>
            <w:tcW w:w="1236"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330"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59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09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18"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151"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02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存在总量/t</w:t>
            </w:r>
          </w:p>
        </w:tc>
        <w:tc>
          <w:tcPr>
            <w:tcW w:w="1484" w:type="dxa"/>
            <w:gridSpan w:val="2"/>
            <w:noWrap w:val="0"/>
            <w:vAlign w:val="center"/>
          </w:tcPr>
          <w:p>
            <w:pPr>
              <w:spacing w:line="240" w:lineRule="exact"/>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9.872</w:t>
            </w:r>
          </w:p>
        </w:tc>
        <w:tc>
          <w:tcPr>
            <w:tcW w:w="1236"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330"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59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09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18"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151" w:type="dxa"/>
            <w:vMerge w:val="restart"/>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环境敏感性</w:t>
            </w:r>
          </w:p>
        </w:tc>
        <w:tc>
          <w:tcPr>
            <w:tcW w:w="1021" w:type="dxa"/>
            <w:vMerge w:val="restart"/>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大气</w:t>
            </w:r>
          </w:p>
        </w:tc>
        <w:tc>
          <w:tcPr>
            <w:tcW w:w="2720" w:type="dxa"/>
            <w:gridSpan w:val="4"/>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500m范围内人口数</w:t>
            </w:r>
            <w:r>
              <w:rPr>
                <w:rFonts w:hint="default" w:ascii="Times New Roman" w:hAnsi="Times New Roman" w:cs="Times New Roman"/>
                <w:color w:val="000000" w:themeColor="text1"/>
                <w:sz w:val="18"/>
                <w:szCs w:val="18"/>
                <w:u w:val="single"/>
                <w14:textFill>
                  <w14:solidFill>
                    <w14:schemeClr w14:val="tx1"/>
                  </w14:solidFill>
                </w14:textFill>
              </w:rPr>
              <w:t xml:space="preserve">    50 </w:t>
            </w:r>
            <w:r>
              <w:rPr>
                <w:rFonts w:hint="default" w:ascii="Times New Roman" w:hAnsi="Times New Roman" w:cs="Times New Roman"/>
                <w:color w:val="000000" w:themeColor="text1"/>
                <w:sz w:val="18"/>
                <w:szCs w:val="18"/>
                <w14:textFill>
                  <w14:solidFill>
                    <w14:schemeClr w14:val="tx1"/>
                  </w14:solidFill>
                </w14:textFill>
              </w:rPr>
              <w:t>人</w:t>
            </w:r>
          </w:p>
        </w:tc>
        <w:tc>
          <w:tcPr>
            <w:tcW w:w="3012" w:type="dxa"/>
            <w:gridSpan w:val="4"/>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5km范围内人口数</w:t>
            </w:r>
            <w:r>
              <w:rPr>
                <w:rFonts w:hint="default" w:ascii="Times New Roman" w:hAnsi="Times New Roman" w:cs="Times New Roman"/>
                <w:color w:val="000000" w:themeColor="text1"/>
                <w:sz w:val="18"/>
                <w:szCs w:val="18"/>
                <w:u w:val="single"/>
                <w14:textFill>
                  <w14:solidFill>
                    <w14:schemeClr w14:val="tx1"/>
                  </w14:solidFill>
                </w14:textFill>
              </w:rPr>
              <w:t xml:space="preserve">  500  </w:t>
            </w:r>
            <w:r>
              <w:rPr>
                <w:rFonts w:hint="default" w:ascii="Times New Roman" w:hAnsi="Times New Roman" w:cs="Times New Roman"/>
                <w:color w:val="000000" w:themeColor="text1"/>
                <w:sz w:val="18"/>
                <w:szCs w:val="18"/>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18"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151"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021"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4050" w:type="dxa"/>
            <w:gridSpan w:val="6"/>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每公里管段周边200m范围内人口数（最大）</w:t>
            </w:r>
          </w:p>
        </w:tc>
        <w:tc>
          <w:tcPr>
            <w:tcW w:w="1682"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u w:val="single"/>
                <w14:textFill>
                  <w14:solidFill>
                    <w14:schemeClr w14:val="tx1"/>
                  </w14:solidFill>
                </w14:textFill>
              </w:rPr>
              <w:t xml:space="preserve">   /   </w:t>
            </w:r>
            <w:r>
              <w:rPr>
                <w:rFonts w:hint="default" w:ascii="Times New Roman" w:hAnsi="Times New Roman" w:cs="Times New Roman"/>
                <w:color w:val="000000" w:themeColor="text1"/>
                <w:sz w:val="18"/>
                <w:szCs w:val="18"/>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18"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151"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021" w:type="dxa"/>
            <w:vMerge w:val="restart"/>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地表水</w:t>
            </w:r>
          </w:p>
        </w:tc>
        <w:tc>
          <w:tcPr>
            <w:tcW w:w="1484"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地表水功能敏感性</w:t>
            </w:r>
          </w:p>
        </w:tc>
        <w:tc>
          <w:tcPr>
            <w:tcW w:w="1236"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F1 □</w:t>
            </w:r>
          </w:p>
        </w:tc>
        <w:tc>
          <w:tcPr>
            <w:tcW w:w="1330"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F2 □</w:t>
            </w:r>
          </w:p>
        </w:tc>
        <w:tc>
          <w:tcPr>
            <w:tcW w:w="1682"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F3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18"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151"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021"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484"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环境敏感目标分级</w:t>
            </w:r>
          </w:p>
        </w:tc>
        <w:tc>
          <w:tcPr>
            <w:tcW w:w="1236"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S1 □</w:t>
            </w:r>
          </w:p>
        </w:tc>
        <w:tc>
          <w:tcPr>
            <w:tcW w:w="1330"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S2 □</w:t>
            </w:r>
          </w:p>
        </w:tc>
        <w:tc>
          <w:tcPr>
            <w:tcW w:w="1682"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18"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151"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021" w:type="dxa"/>
            <w:vMerge w:val="restart"/>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地下水</w:t>
            </w:r>
          </w:p>
        </w:tc>
        <w:tc>
          <w:tcPr>
            <w:tcW w:w="1484"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地下水功能敏感性</w:t>
            </w:r>
          </w:p>
        </w:tc>
        <w:tc>
          <w:tcPr>
            <w:tcW w:w="1236"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G1 □</w:t>
            </w:r>
          </w:p>
        </w:tc>
        <w:tc>
          <w:tcPr>
            <w:tcW w:w="1330"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G2 </w:t>
            </w:r>
            <w:r>
              <w:rPr>
                <w:rFonts w:hint="default" w:ascii="Times New Roman" w:hAnsi="Times New Roman" w:cs="Times New Roman"/>
                <w:color w:val="000000" w:themeColor="text1"/>
                <w:sz w:val="18"/>
                <w:szCs w:val="18"/>
                <w14:textFill>
                  <w14:solidFill>
                    <w14:schemeClr w14:val="tx1"/>
                  </w14:solidFill>
                </w14:textFill>
              </w:rPr>
              <w:sym w:font="Wingdings 2" w:char="00A3"/>
            </w:r>
          </w:p>
        </w:tc>
        <w:tc>
          <w:tcPr>
            <w:tcW w:w="1682"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G3 </w:t>
            </w:r>
            <w:r>
              <w:rPr>
                <w:rFonts w:hint="default" w:ascii="Times New Roman" w:hAnsi="Times New Roman" w:cs="Times New Roman"/>
                <w:color w:val="000000" w:themeColor="text1"/>
                <w:sz w:val="18"/>
                <w:szCs w:val="18"/>
                <w14:textFill>
                  <w14:solidFill>
                    <w14:schemeClr w14:val="tx1"/>
                  </w14:solidFill>
                </w14:textFill>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18"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151"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021"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484"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包气带防污性能</w:t>
            </w:r>
          </w:p>
        </w:tc>
        <w:tc>
          <w:tcPr>
            <w:tcW w:w="1236"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D1 □</w:t>
            </w:r>
          </w:p>
        </w:tc>
        <w:tc>
          <w:tcPr>
            <w:tcW w:w="1330"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D2 </w:t>
            </w:r>
            <w:r>
              <w:rPr>
                <w:rFonts w:hint="default" w:ascii="Times New Roman" w:hAnsi="Times New Roman" w:cs="Times New Roman"/>
                <w:color w:val="000000" w:themeColor="text1"/>
                <w:sz w:val="18"/>
                <w:szCs w:val="18"/>
                <w14:textFill>
                  <w14:solidFill>
                    <w14:schemeClr w14:val="tx1"/>
                  </w14:solidFill>
                </w14:textFill>
              </w:rPr>
              <w:sym w:font="Wingdings 2" w:char="00A3"/>
            </w:r>
          </w:p>
        </w:tc>
        <w:tc>
          <w:tcPr>
            <w:tcW w:w="1682"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69" w:type="dxa"/>
            <w:gridSpan w:val="2"/>
            <w:vMerge w:val="restart"/>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物质及工艺系统危险性</w:t>
            </w:r>
          </w:p>
        </w:tc>
        <w:tc>
          <w:tcPr>
            <w:tcW w:w="102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Q值</w:t>
            </w:r>
          </w:p>
        </w:tc>
        <w:tc>
          <w:tcPr>
            <w:tcW w:w="1484"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Q＜1 </w:t>
            </w:r>
            <w:r>
              <w:rPr>
                <w:rFonts w:hint="default" w:ascii="Times New Roman" w:hAnsi="Times New Roman" w:cs="Times New Roman"/>
                <w:color w:val="000000" w:themeColor="text1"/>
                <w:sz w:val="18"/>
                <w:szCs w:val="18"/>
                <w14:textFill>
                  <w14:solidFill>
                    <w14:schemeClr w14:val="tx1"/>
                  </w14:solidFill>
                </w14:textFill>
              </w:rPr>
              <w:sym w:font="Wingdings 2" w:char="0052"/>
            </w:r>
          </w:p>
        </w:tc>
        <w:tc>
          <w:tcPr>
            <w:tcW w:w="1236"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1≤Q＜10 □</w:t>
            </w:r>
          </w:p>
        </w:tc>
        <w:tc>
          <w:tcPr>
            <w:tcW w:w="1330"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10≤Q＜100 □</w:t>
            </w:r>
          </w:p>
        </w:tc>
        <w:tc>
          <w:tcPr>
            <w:tcW w:w="1682"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Q＞100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69" w:type="dxa"/>
            <w:gridSpan w:val="2"/>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02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M值</w:t>
            </w:r>
          </w:p>
        </w:tc>
        <w:tc>
          <w:tcPr>
            <w:tcW w:w="1484"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M1 □</w:t>
            </w:r>
          </w:p>
        </w:tc>
        <w:tc>
          <w:tcPr>
            <w:tcW w:w="1236"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M2 □</w:t>
            </w:r>
          </w:p>
        </w:tc>
        <w:tc>
          <w:tcPr>
            <w:tcW w:w="1330"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M3 □</w:t>
            </w:r>
          </w:p>
        </w:tc>
        <w:tc>
          <w:tcPr>
            <w:tcW w:w="1682"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M4 </w:t>
            </w:r>
            <w:r>
              <w:rPr>
                <w:rFonts w:hint="default" w:ascii="Times New Roman" w:hAnsi="Times New Roman" w:cs="Times New Roman"/>
                <w:color w:val="000000" w:themeColor="text1"/>
                <w:sz w:val="18"/>
                <w:szCs w:val="18"/>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69" w:type="dxa"/>
            <w:gridSpan w:val="2"/>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02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P值</w:t>
            </w:r>
          </w:p>
        </w:tc>
        <w:tc>
          <w:tcPr>
            <w:tcW w:w="1484"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P1 □</w:t>
            </w:r>
          </w:p>
        </w:tc>
        <w:tc>
          <w:tcPr>
            <w:tcW w:w="1236"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P2 □</w:t>
            </w:r>
          </w:p>
        </w:tc>
        <w:tc>
          <w:tcPr>
            <w:tcW w:w="1330"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P3 □</w:t>
            </w:r>
          </w:p>
        </w:tc>
        <w:tc>
          <w:tcPr>
            <w:tcW w:w="1682"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 w:hRule="atLeast"/>
        </w:trPr>
        <w:tc>
          <w:tcPr>
            <w:tcW w:w="1769" w:type="dxa"/>
            <w:gridSpan w:val="2"/>
            <w:vMerge w:val="restart"/>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环境敏感程度</w:t>
            </w:r>
          </w:p>
        </w:tc>
        <w:tc>
          <w:tcPr>
            <w:tcW w:w="102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大气</w:t>
            </w:r>
          </w:p>
        </w:tc>
        <w:tc>
          <w:tcPr>
            <w:tcW w:w="1484"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E1 □</w:t>
            </w:r>
          </w:p>
        </w:tc>
        <w:tc>
          <w:tcPr>
            <w:tcW w:w="1926" w:type="dxa"/>
            <w:gridSpan w:val="3"/>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E2 □</w:t>
            </w:r>
          </w:p>
        </w:tc>
        <w:tc>
          <w:tcPr>
            <w:tcW w:w="2322" w:type="dxa"/>
            <w:gridSpan w:val="3"/>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E3 </w:t>
            </w:r>
            <w:r>
              <w:rPr>
                <w:rFonts w:hint="default" w:ascii="Times New Roman" w:hAnsi="Times New Roman" w:cs="Times New Roman"/>
                <w:color w:val="000000" w:themeColor="text1"/>
                <w:sz w:val="18"/>
                <w:szCs w:val="18"/>
                <w14:textFill>
                  <w14:solidFill>
                    <w14:schemeClr w14:val="tx1"/>
                  </w14:solidFill>
                </w14:textFill>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69" w:type="dxa"/>
            <w:gridSpan w:val="2"/>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02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地表水</w:t>
            </w:r>
          </w:p>
        </w:tc>
        <w:tc>
          <w:tcPr>
            <w:tcW w:w="1484"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E1 □</w:t>
            </w:r>
          </w:p>
        </w:tc>
        <w:tc>
          <w:tcPr>
            <w:tcW w:w="1926" w:type="dxa"/>
            <w:gridSpan w:val="3"/>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E2 □</w:t>
            </w:r>
          </w:p>
        </w:tc>
        <w:tc>
          <w:tcPr>
            <w:tcW w:w="2322" w:type="dxa"/>
            <w:gridSpan w:val="3"/>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69" w:type="dxa"/>
            <w:gridSpan w:val="2"/>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02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地下水</w:t>
            </w:r>
          </w:p>
        </w:tc>
        <w:tc>
          <w:tcPr>
            <w:tcW w:w="1484"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E1 □</w:t>
            </w:r>
          </w:p>
        </w:tc>
        <w:tc>
          <w:tcPr>
            <w:tcW w:w="1926" w:type="dxa"/>
            <w:gridSpan w:val="3"/>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E2 □</w:t>
            </w:r>
          </w:p>
        </w:tc>
        <w:tc>
          <w:tcPr>
            <w:tcW w:w="2322" w:type="dxa"/>
            <w:gridSpan w:val="3"/>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E3 </w:t>
            </w:r>
            <w:r>
              <w:rPr>
                <w:rFonts w:hint="default" w:ascii="Times New Roman" w:hAnsi="Times New Roman" w:cs="Times New Roman"/>
                <w:color w:val="000000" w:themeColor="text1"/>
                <w:sz w:val="18"/>
                <w:szCs w:val="18"/>
                <w14:textFill>
                  <w14:solidFill>
                    <w14:schemeClr w14:val="tx1"/>
                  </w14:solidFill>
                </w14:textFill>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69"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环境风险浅势</w:t>
            </w:r>
          </w:p>
        </w:tc>
        <w:tc>
          <w:tcPr>
            <w:tcW w:w="102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Ⅳ</w:t>
            </w:r>
            <w:r>
              <w:rPr>
                <w:rFonts w:hint="default" w:ascii="Times New Roman" w:hAnsi="Times New Roman" w:cs="Times New Roman"/>
                <w:color w:val="000000" w:themeColor="text1"/>
                <w:sz w:val="18"/>
                <w:szCs w:val="18"/>
                <w:vertAlign w:val="superscript"/>
                <w14:textFill>
                  <w14:solidFill>
                    <w14:schemeClr w14:val="tx1"/>
                  </w14:solidFill>
                </w14:textFill>
              </w:rPr>
              <w:t>+</w:t>
            </w:r>
            <w:r>
              <w:rPr>
                <w:rFonts w:hint="default" w:ascii="Times New Roman" w:hAnsi="Times New Roman" w:cs="Times New Roman"/>
                <w:color w:val="000000" w:themeColor="text1"/>
                <w:sz w:val="18"/>
                <w:szCs w:val="18"/>
                <w14:textFill>
                  <w14:solidFill>
                    <w14:schemeClr w14:val="tx1"/>
                  </w14:solidFill>
                </w14:textFill>
              </w:rPr>
              <w:t xml:space="preserve"> □</w:t>
            </w:r>
          </w:p>
        </w:tc>
        <w:tc>
          <w:tcPr>
            <w:tcW w:w="1484"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Ⅳ □</w:t>
            </w:r>
          </w:p>
        </w:tc>
        <w:tc>
          <w:tcPr>
            <w:tcW w:w="1236"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Ⅲ □</w:t>
            </w:r>
          </w:p>
        </w:tc>
        <w:tc>
          <w:tcPr>
            <w:tcW w:w="1330"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Ⅱ □</w:t>
            </w:r>
          </w:p>
        </w:tc>
        <w:tc>
          <w:tcPr>
            <w:tcW w:w="1682"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Ⅰ </w:t>
            </w:r>
            <w:r>
              <w:rPr>
                <w:rFonts w:hint="default" w:ascii="Times New Roman" w:hAnsi="Times New Roman" w:cs="Times New Roman"/>
                <w:color w:val="000000" w:themeColor="text1"/>
                <w:sz w:val="18"/>
                <w:szCs w:val="18"/>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69"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评价等级</w:t>
            </w:r>
          </w:p>
        </w:tc>
        <w:tc>
          <w:tcPr>
            <w:tcW w:w="2505" w:type="dxa"/>
            <w:gridSpan w:val="3"/>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一级 □</w:t>
            </w:r>
          </w:p>
        </w:tc>
        <w:tc>
          <w:tcPr>
            <w:tcW w:w="1236"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二级  □</w:t>
            </w:r>
          </w:p>
        </w:tc>
        <w:tc>
          <w:tcPr>
            <w:tcW w:w="1330"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三级  □</w:t>
            </w:r>
          </w:p>
        </w:tc>
        <w:tc>
          <w:tcPr>
            <w:tcW w:w="1682"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简单分析  </w:t>
            </w:r>
            <w:r>
              <w:rPr>
                <w:rFonts w:hint="default" w:ascii="Times New Roman" w:hAnsi="Times New Roman" w:cs="Times New Roman"/>
                <w:color w:val="000000" w:themeColor="text1"/>
                <w:sz w:val="18"/>
                <w:szCs w:val="18"/>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18" w:type="dxa"/>
            <w:vMerge w:val="restart"/>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风险识别</w:t>
            </w:r>
          </w:p>
        </w:tc>
        <w:tc>
          <w:tcPr>
            <w:tcW w:w="115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物质危险性</w:t>
            </w:r>
          </w:p>
        </w:tc>
        <w:tc>
          <w:tcPr>
            <w:tcW w:w="3095" w:type="dxa"/>
            <w:gridSpan w:val="4"/>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有毒有害  </w:t>
            </w:r>
            <w:r>
              <w:rPr>
                <w:rFonts w:hint="default" w:ascii="Times New Roman" w:hAnsi="Times New Roman" w:cs="Times New Roman"/>
                <w:color w:val="000000" w:themeColor="text1"/>
                <w:sz w:val="18"/>
                <w:szCs w:val="18"/>
                <w14:textFill>
                  <w14:solidFill>
                    <w14:schemeClr w14:val="tx1"/>
                  </w14:solidFill>
                </w14:textFill>
              </w:rPr>
              <w:sym w:font="Wingdings 2" w:char="0052"/>
            </w:r>
          </w:p>
        </w:tc>
        <w:tc>
          <w:tcPr>
            <w:tcW w:w="3658" w:type="dxa"/>
            <w:gridSpan w:val="5"/>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易燃易爆  </w:t>
            </w:r>
            <w:r>
              <w:rPr>
                <w:rFonts w:hint="default" w:ascii="Times New Roman" w:hAnsi="Times New Roman" w:cs="Times New Roman"/>
                <w:color w:val="000000" w:themeColor="text1"/>
                <w:sz w:val="18"/>
                <w:szCs w:val="18"/>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18"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15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环境风险类型</w:t>
            </w:r>
          </w:p>
        </w:tc>
        <w:tc>
          <w:tcPr>
            <w:tcW w:w="2505" w:type="dxa"/>
            <w:gridSpan w:val="3"/>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泄漏  </w:t>
            </w:r>
            <w:r>
              <w:rPr>
                <w:rFonts w:hint="default" w:ascii="Times New Roman" w:hAnsi="Times New Roman" w:cs="Times New Roman"/>
                <w:color w:val="000000" w:themeColor="text1"/>
                <w:sz w:val="18"/>
                <w:szCs w:val="18"/>
                <w14:textFill>
                  <w14:solidFill>
                    <w14:schemeClr w14:val="tx1"/>
                  </w14:solidFill>
                </w14:textFill>
              </w:rPr>
              <w:sym w:font="Wingdings 2" w:char="0052"/>
            </w:r>
          </w:p>
        </w:tc>
        <w:tc>
          <w:tcPr>
            <w:tcW w:w="4248" w:type="dxa"/>
            <w:gridSpan w:val="6"/>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火灾、爆炸引发伴生/次生污染物排放  </w:t>
            </w:r>
            <w:r>
              <w:rPr>
                <w:rFonts w:hint="default" w:ascii="Times New Roman" w:hAnsi="Times New Roman" w:cs="Times New Roman"/>
                <w:color w:val="000000" w:themeColor="text1"/>
                <w:sz w:val="18"/>
                <w:szCs w:val="18"/>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18"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15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影响途径</w:t>
            </w:r>
          </w:p>
        </w:tc>
        <w:tc>
          <w:tcPr>
            <w:tcW w:w="2505" w:type="dxa"/>
            <w:gridSpan w:val="3"/>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大气  </w:t>
            </w:r>
            <w:r>
              <w:rPr>
                <w:rFonts w:hint="default" w:ascii="Times New Roman" w:hAnsi="Times New Roman" w:cs="Times New Roman"/>
                <w:color w:val="000000" w:themeColor="text1"/>
                <w:sz w:val="18"/>
                <w:szCs w:val="18"/>
                <w14:textFill>
                  <w14:solidFill>
                    <w14:schemeClr w14:val="tx1"/>
                  </w14:solidFill>
                </w14:textFill>
              </w:rPr>
              <w:sym w:font="Wingdings 2" w:char="0052"/>
            </w:r>
          </w:p>
        </w:tc>
        <w:tc>
          <w:tcPr>
            <w:tcW w:w="1926" w:type="dxa"/>
            <w:gridSpan w:val="3"/>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地表水  □</w:t>
            </w:r>
          </w:p>
        </w:tc>
        <w:tc>
          <w:tcPr>
            <w:tcW w:w="2322" w:type="dxa"/>
            <w:gridSpan w:val="3"/>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地下水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69"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事故情形分析</w:t>
            </w:r>
          </w:p>
        </w:tc>
        <w:tc>
          <w:tcPr>
            <w:tcW w:w="1321"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源强设定方法</w:t>
            </w:r>
          </w:p>
        </w:tc>
        <w:tc>
          <w:tcPr>
            <w:tcW w:w="1184"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计算法  □</w:t>
            </w:r>
          </w:p>
        </w:tc>
        <w:tc>
          <w:tcPr>
            <w:tcW w:w="1926" w:type="dxa"/>
            <w:gridSpan w:val="3"/>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经验估算法  □</w:t>
            </w:r>
          </w:p>
        </w:tc>
        <w:tc>
          <w:tcPr>
            <w:tcW w:w="2322" w:type="dxa"/>
            <w:gridSpan w:val="3"/>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其他估算法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18" w:type="dxa"/>
            <w:vMerge w:val="restart"/>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风险预测与评价</w:t>
            </w:r>
          </w:p>
        </w:tc>
        <w:tc>
          <w:tcPr>
            <w:tcW w:w="1151" w:type="dxa"/>
            <w:vMerge w:val="restart"/>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大气</w:t>
            </w:r>
          </w:p>
        </w:tc>
        <w:tc>
          <w:tcPr>
            <w:tcW w:w="102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预测模型</w:t>
            </w:r>
          </w:p>
        </w:tc>
        <w:tc>
          <w:tcPr>
            <w:tcW w:w="1484"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SLAB  □</w:t>
            </w:r>
          </w:p>
        </w:tc>
        <w:tc>
          <w:tcPr>
            <w:tcW w:w="1926" w:type="dxa"/>
            <w:gridSpan w:val="3"/>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AFTOX  □</w:t>
            </w:r>
          </w:p>
        </w:tc>
        <w:tc>
          <w:tcPr>
            <w:tcW w:w="2322" w:type="dxa"/>
            <w:gridSpan w:val="3"/>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18"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151"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021" w:type="dxa"/>
            <w:vMerge w:val="restart"/>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预测结果</w:t>
            </w:r>
          </w:p>
        </w:tc>
        <w:tc>
          <w:tcPr>
            <w:tcW w:w="5732" w:type="dxa"/>
            <w:gridSpan w:val="8"/>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大气毒性终点浓度-1  最大影响范围</w:t>
            </w:r>
            <w:r>
              <w:rPr>
                <w:rFonts w:hint="default" w:ascii="Times New Roman" w:hAnsi="Times New Roman" w:cs="Times New Roman"/>
                <w:color w:val="000000" w:themeColor="text1"/>
                <w:sz w:val="18"/>
                <w:szCs w:val="18"/>
                <w:u w:val="single"/>
                <w14:textFill>
                  <w14:solidFill>
                    <w14:schemeClr w14:val="tx1"/>
                  </w14:solidFill>
                </w14:textFill>
              </w:rPr>
              <w:t xml:space="preserve">    </w:t>
            </w:r>
            <w:r>
              <w:rPr>
                <w:rFonts w:hint="default" w:ascii="Times New Roman" w:hAnsi="Times New Roman" w:cs="Times New Roman"/>
                <w:color w:val="000000" w:themeColor="text1"/>
                <w:sz w:val="18"/>
                <w:szCs w:val="18"/>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18"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151"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021"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5732" w:type="dxa"/>
            <w:gridSpan w:val="8"/>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大气毒性终点浓度-2  最大影响范围</w:t>
            </w:r>
            <w:r>
              <w:rPr>
                <w:rFonts w:hint="default" w:ascii="Times New Roman" w:hAnsi="Times New Roman" w:cs="Times New Roman"/>
                <w:color w:val="000000" w:themeColor="text1"/>
                <w:sz w:val="18"/>
                <w:szCs w:val="18"/>
                <w:u w:val="single"/>
                <w14:textFill>
                  <w14:solidFill>
                    <w14:schemeClr w14:val="tx1"/>
                  </w14:solidFill>
                </w14:textFill>
              </w:rPr>
              <w:t xml:space="preserve">    </w:t>
            </w:r>
            <w:r>
              <w:rPr>
                <w:rFonts w:hint="default" w:ascii="Times New Roman" w:hAnsi="Times New Roman" w:cs="Times New Roman"/>
                <w:color w:val="000000" w:themeColor="text1"/>
                <w:sz w:val="18"/>
                <w:szCs w:val="18"/>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18"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151" w:type="dxa"/>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地表水</w:t>
            </w:r>
          </w:p>
        </w:tc>
        <w:tc>
          <w:tcPr>
            <w:tcW w:w="6753" w:type="dxa"/>
            <w:gridSpan w:val="9"/>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最近环境敏感目标</w:t>
            </w:r>
            <w:r>
              <w:rPr>
                <w:rFonts w:hint="default" w:ascii="Times New Roman" w:hAnsi="Times New Roman" w:cs="Times New Roman"/>
                <w:color w:val="000000" w:themeColor="text1"/>
                <w:sz w:val="18"/>
                <w:szCs w:val="18"/>
                <w:u w:val="single"/>
                <w14:textFill>
                  <w14:solidFill>
                    <w14:schemeClr w14:val="tx1"/>
                  </w14:solidFill>
                </w14:textFill>
              </w:rPr>
              <w:t xml:space="preserve">    </w:t>
            </w:r>
            <w:r>
              <w:rPr>
                <w:rFonts w:hint="default" w:ascii="Times New Roman" w:hAnsi="Times New Roman" w:cs="Times New Roman"/>
                <w:color w:val="000000" w:themeColor="text1"/>
                <w:sz w:val="18"/>
                <w:szCs w:val="18"/>
                <w14:textFill>
                  <w14:solidFill>
                    <w14:schemeClr w14:val="tx1"/>
                  </w14:solidFill>
                </w14:textFill>
              </w:rPr>
              <w:t>，到达时间</w:t>
            </w:r>
            <w:r>
              <w:rPr>
                <w:rFonts w:hint="default" w:ascii="Times New Roman" w:hAnsi="Times New Roman" w:cs="Times New Roman"/>
                <w:color w:val="000000" w:themeColor="text1"/>
                <w:sz w:val="18"/>
                <w:szCs w:val="18"/>
                <w:u w:val="single"/>
                <w14:textFill>
                  <w14:solidFill>
                    <w14:schemeClr w14:val="tx1"/>
                  </w14:solidFill>
                </w14:textFill>
              </w:rPr>
              <w:t xml:space="preserve">    </w:t>
            </w:r>
            <w:r>
              <w:rPr>
                <w:rFonts w:hint="default" w:ascii="Times New Roman" w:hAnsi="Times New Roman" w:cs="Times New Roman"/>
                <w:color w:val="000000" w:themeColor="text1"/>
                <w:sz w:val="18"/>
                <w:szCs w:val="18"/>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18"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151" w:type="dxa"/>
            <w:vMerge w:val="restart"/>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地下水</w:t>
            </w:r>
          </w:p>
        </w:tc>
        <w:tc>
          <w:tcPr>
            <w:tcW w:w="6753" w:type="dxa"/>
            <w:gridSpan w:val="9"/>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下游厂区边界到达时间</w:t>
            </w:r>
            <w:r>
              <w:rPr>
                <w:rFonts w:hint="default" w:ascii="Times New Roman" w:hAnsi="Times New Roman" w:cs="Times New Roman"/>
                <w:color w:val="000000" w:themeColor="text1"/>
                <w:sz w:val="18"/>
                <w:szCs w:val="18"/>
                <w:u w:val="single"/>
                <w14:textFill>
                  <w14:solidFill>
                    <w14:schemeClr w14:val="tx1"/>
                  </w14:solidFill>
                </w14:textFill>
              </w:rPr>
              <w:t xml:space="preserve">    </w:t>
            </w:r>
            <w:r>
              <w:rPr>
                <w:rFonts w:hint="default" w:ascii="Times New Roman" w:hAnsi="Times New Roman" w:cs="Times New Roman"/>
                <w:color w:val="000000" w:themeColor="text1"/>
                <w:sz w:val="18"/>
                <w:szCs w:val="18"/>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18"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1151" w:type="dxa"/>
            <w:vMerge w:val="continue"/>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6753" w:type="dxa"/>
            <w:gridSpan w:val="9"/>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最近环境敏感目标</w:t>
            </w:r>
            <w:r>
              <w:rPr>
                <w:rFonts w:hint="default" w:ascii="Times New Roman" w:hAnsi="Times New Roman" w:cs="Times New Roman"/>
                <w:color w:val="000000" w:themeColor="text1"/>
                <w:sz w:val="18"/>
                <w:szCs w:val="18"/>
                <w:u w:val="single"/>
                <w14:textFill>
                  <w14:solidFill>
                    <w14:schemeClr w14:val="tx1"/>
                  </w14:solidFill>
                </w14:textFill>
              </w:rPr>
              <w:t xml:space="preserve">    </w:t>
            </w:r>
            <w:r>
              <w:rPr>
                <w:rFonts w:hint="default" w:ascii="Times New Roman" w:hAnsi="Times New Roman" w:cs="Times New Roman"/>
                <w:color w:val="000000" w:themeColor="text1"/>
                <w:sz w:val="18"/>
                <w:szCs w:val="18"/>
                <w14:textFill>
                  <w14:solidFill>
                    <w14:schemeClr w14:val="tx1"/>
                  </w14:solidFill>
                </w14:textFill>
              </w:rPr>
              <w:t>，到达时间</w:t>
            </w:r>
            <w:r>
              <w:rPr>
                <w:rFonts w:hint="default" w:ascii="Times New Roman" w:hAnsi="Times New Roman" w:cs="Times New Roman"/>
                <w:color w:val="000000" w:themeColor="text1"/>
                <w:sz w:val="18"/>
                <w:szCs w:val="18"/>
                <w:u w:val="single"/>
                <w14:textFill>
                  <w14:solidFill>
                    <w14:schemeClr w14:val="tx1"/>
                  </w14:solidFill>
                </w14:textFill>
              </w:rPr>
              <w:t xml:space="preserve">    </w:t>
            </w:r>
            <w:r>
              <w:rPr>
                <w:rFonts w:hint="default" w:ascii="Times New Roman" w:hAnsi="Times New Roman" w:cs="Times New Roman"/>
                <w:color w:val="000000" w:themeColor="text1"/>
                <w:sz w:val="18"/>
                <w:szCs w:val="18"/>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69"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重点风险防范措施</w:t>
            </w:r>
          </w:p>
        </w:tc>
        <w:tc>
          <w:tcPr>
            <w:tcW w:w="6753" w:type="dxa"/>
            <w:gridSpan w:val="9"/>
            <w:noWrap w:val="0"/>
            <w:vAlign w:val="center"/>
          </w:tcPr>
          <w:p>
            <w:pPr>
              <w:spacing w:line="240" w:lineRule="exact"/>
              <w:jc w:val="lef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 泄漏事故排放应急措施</w:t>
            </w:r>
          </w:p>
          <w:p>
            <w:pPr>
              <w:spacing w:line="240" w:lineRule="exact"/>
              <w:jc w:val="lef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当发生泄漏事故时：现场负责人员隔离泄漏污染区，禁止无关人员进入污染区，限制出入，切断火源。同时向主管负责人员报告。</w:t>
            </w:r>
          </w:p>
          <w:p>
            <w:pPr>
              <w:spacing w:line="240" w:lineRule="exact"/>
              <w:jc w:val="lef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 火灾事故应急措施</w:t>
            </w:r>
          </w:p>
          <w:p>
            <w:pPr>
              <w:spacing w:line="240" w:lineRule="exact"/>
              <w:jc w:val="lef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当发生火灾后，消防人员按照灭火方案进入阵地，必须首先熄灭周围明火，降温减轻热辐射，封锁交通，所有装置紧急停工，以防事态进一步扩在消防人员的监视下迅速堵漏。</w:t>
            </w:r>
          </w:p>
          <w:p>
            <w:pPr>
              <w:spacing w:line="240" w:lineRule="exact"/>
              <w:jc w:val="lef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在灭火时，前方水枪手要占据上风方向防止辐射热灼伤或烫伤，尽可能将容器从火场移至空旷处。可采用的灭火剂有二氧化碳、干粉、砂土，禁止用水。</w:t>
            </w:r>
          </w:p>
          <w:p>
            <w:pPr>
              <w:spacing w:line="240" w:lineRule="exact"/>
              <w:jc w:val="lef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(3) 事故的后处理</w:t>
            </w:r>
          </w:p>
          <w:p>
            <w:pPr>
              <w:spacing w:line="240" w:lineRule="exact"/>
              <w:jc w:val="lef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事故的后处理是对发生事故设施维修和事故后现场的清理。一旦发生事故，影响到外环境时，要及时掌握对环境破坏程度，为处理污染事故决策提供信息。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69" w:type="dxa"/>
            <w:gridSpan w:val="2"/>
            <w:noWrap w:val="0"/>
            <w:vAlign w:val="center"/>
          </w:tcPr>
          <w:p>
            <w:pPr>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评价结论与建议</w:t>
            </w:r>
          </w:p>
        </w:tc>
        <w:tc>
          <w:tcPr>
            <w:tcW w:w="6753" w:type="dxa"/>
            <w:gridSpan w:val="9"/>
            <w:noWrap w:val="0"/>
            <w:vAlign w:val="center"/>
          </w:tcPr>
          <w:p>
            <w:pPr>
              <w:spacing w:line="240" w:lineRule="exact"/>
              <w:jc w:val="lef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本项目无重大危险源，本项目制定切实可行的事故防范措施和应急预案后，事故的发生概率和产生的影响能降到可接受范围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522" w:type="dxa"/>
            <w:gridSpan w:val="11"/>
            <w:noWrap w:val="0"/>
            <w:vAlign w:val="center"/>
          </w:tcPr>
          <w:p>
            <w:pPr>
              <w:spacing w:line="240" w:lineRule="exact"/>
              <w:jc w:val="lef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注：“□”为勾选项，“</w:t>
            </w:r>
            <w:r>
              <w:rPr>
                <w:rFonts w:hint="default" w:ascii="Times New Roman" w:hAnsi="Times New Roman" w:cs="Times New Roman"/>
                <w:color w:val="000000" w:themeColor="text1"/>
                <w:sz w:val="18"/>
                <w:szCs w:val="18"/>
                <w:u w:val="single"/>
                <w14:textFill>
                  <w14:solidFill>
                    <w14:schemeClr w14:val="tx1"/>
                  </w14:solidFill>
                </w14:textFill>
              </w:rPr>
              <w:t xml:space="preserve">    </w:t>
            </w:r>
            <w:r>
              <w:rPr>
                <w:rFonts w:hint="default" w:ascii="Times New Roman" w:hAnsi="Times New Roman" w:cs="Times New Roman"/>
                <w:color w:val="000000" w:themeColor="text1"/>
                <w:sz w:val="18"/>
                <w:szCs w:val="18"/>
                <w14:textFill>
                  <w14:solidFill>
                    <w14:schemeClr w14:val="tx1"/>
                  </w14:solidFill>
                </w14:textFill>
              </w:rPr>
              <w:t>”为填写项。</w:t>
            </w:r>
          </w:p>
        </w:tc>
      </w:tr>
    </w:tbl>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napToGrid w:val="0"/>
          <w:color w:val="000000" w:themeColor="text1"/>
          <w:kern w:val="0"/>
          <w:sz w:val="24"/>
          <w:szCs w:val="24"/>
          <w:lang w:eastAsia="zh-CN"/>
          <w14:textFill>
            <w14:solidFill>
              <w14:schemeClr w14:val="tx1"/>
            </w14:solidFill>
          </w14:textFill>
        </w:rPr>
      </w:pPr>
    </w:p>
    <w:p>
      <w:pP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u w:val="none"/>
          <w:lang w:val="zh-CN" w:eastAsia="zh-CN" w:bidi="zh-CN"/>
          <w14:textFill>
            <w14:solidFill>
              <w14:schemeClr w14:val="tx1"/>
            </w14:solidFill>
          </w14:textFill>
        </w:rPr>
        <w:br w:type="page"/>
      </w:r>
    </w:p>
    <w:p>
      <w:pPr>
        <w:shd w:val="clear" w:color="auto" w:fill="auto"/>
        <w:spacing w:line="360" w:lineRule="auto"/>
        <w:outlineLvl w:val="0"/>
        <w:rPr>
          <w:rStyle w:val="75"/>
          <w:rFonts w:hint="eastAsia"/>
          <w:color w:val="000000" w:themeColor="text1"/>
          <w:sz w:val="44"/>
          <w:szCs w:val="44"/>
          <w:lang w:val="en-US" w:eastAsia="zh-CN"/>
          <w14:textFill>
            <w14:solidFill>
              <w14:schemeClr w14:val="tx1"/>
            </w14:solidFill>
          </w14:textFill>
        </w:rPr>
      </w:pPr>
      <w:bookmarkStart w:id="451" w:name="bookmark46"/>
      <w:bookmarkStart w:id="452" w:name="_Toc7779"/>
      <w:r>
        <w:rPr>
          <w:rStyle w:val="75"/>
          <w:rFonts w:hint="eastAsia"/>
          <w:color w:val="000000" w:themeColor="text1"/>
          <w:sz w:val="44"/>
          <w:szCs w:val="44"/>
          <w:lang w:val="en-US" w:eastAsia="zh-CN"/>
          <w14:textFill>
            <w14:solidFill>
              <w14:schemeClr w14:val="tx1"/>
            </w14:solidFill>
          </w14:textFill>
        </w:rPr>
        <w:t>6</w:t>
      </w:r>
      <w:r>
        <w:rPr>
          <w:rStyle w:val="75"/>
          <w:rFonts w:hint="eastAsia"/>
          <w:color w:val="000000" w:themeColor="text1"/>
          <w:sz w:val="44"/>
          <w:szCs w:val="44"/>
          <w:lang w:val="zh-CN" w:eastAsia="zh-CN"/>
          <w14:textFill>
            <w14:solidFill>
              <w14:schemeClr w14:val="tx1"/>
            </w14:solidFill>
          </w14:textFill>
        </w:rPr>
        <w:t>环境保护措施及其可行性论证</w:t>
      </w:r>
      <w:bookmarkEnd w:id="451"/>
      <w:bookmarkEnd w:id="452"/>
    </w:p>
    <w:p>
      <w:pPr>
        <w:pStyle w:val="3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pPr>
      <w:bookmarkStart w:id="453" w:name="_Toc17074"/>
      <w:bookmarkStart w:id="454" w:name="bookmark47"/>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6.1</w:t>
      </w:r>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运行期污染防治对策</w:t>
      </w:r>
      <w:bookmarkEnd w:id="453"/>
      <w:bookmarkEnd w:id="454"/>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6.1.1环境空气污染防治对策</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根据本工程大气污染预测结果，采取大气污染防治措施后，大气污染物排放满足《火电厂大气污染物排放标准》</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GB</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13223-2011)</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 xml:space="preserve">中火力发电锅炉大气污染物特别排放浓度限值的规定。同时，为保证达到发改能源《关于印发〈煤电节能减排升级与改造行动计划 </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(2014-2020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年)〉的通知》([2014]2093号)以及《关于印发〈全面实施燃煤电厂超低排放和节能改造工作方案〉的通知》(环发</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 xml:space="preserve">[2015] </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164号)中的大气污染物排放限值及《国务院办公厅关于印发能源发展战略行动计划</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(2014</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-2020年)的通知》(国办发</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 xml:space="preserve">(2014) </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31号)文中“鼓励西部地区新建机组接近或达到燃气轮机组排放限值”要求，并考虑到环境标准的逐步严格和对总量控制的要求，在技术可行、经济合理的条件下，本次评价提出并应在设计和实施过程中落实如下污染防治措施。</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6.1.1.1排烟方式</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本工程三台锅炉共用一座高度</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80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出口直径为</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4.5</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m的双套筒烟囱，经预测，本工程建成投运后，污染物排放最大落地浓度均较低，大气环境质量能够满足《环境空气质量标准》</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GB</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3095-2012)</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中二级标准要求，说明本工程烟囱高度设置合理可行。</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6.1.1.2使用燃料的情况分析</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本工程主煤源为新疆和布克赛尔县屯南煤业有限责任公司所属矿井供应，由新疆正恒清洁能源有限公司水煤浆制浆厂提供浆体燃料。根据水煤浆分析报告，工程设计硫分含量为</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18%。工程运行后应根据当地煤炭资源储量及加工水煤浆含硫量的变化情况，须通过采样计量及含硫量检测分析严格控制燃料含硫量小于</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18%。</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6.1.1.3烟气防治对策分析</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S</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O</w:t>
      </w:r>
      <w:r>
        <w:rPr>
          <w:rFonts w:hint="default" w:ascii="Times New Roman" w:hAnsi="Times New Roman" w:eastAsia="宋体" w:cs="Times New Roman"/>
          <w:snapToGrid w:val="0"/>
          <w:color w:val="000000" w:themeColor="text1"/>
          <w:spacing w:val="0"/>
          <w:w w:val="100"/>
          <w:kern w:val="0"/>
          <w:position w:val="0"/>
          <w:sz w:val="24"/>
          <w:szCs w:val="24"/>
          <w:u w:val="none"/>
          <w:vertAlign w:val="subscript"/>
          <w:lang w:val="en-US" w:eastAsia="en-US" w:bidi="zh-CN"/>
          <w14:textFill>
            <w14:solidFill>
              <w14:schemeClr w14:val="tx1"/>
            </w14:solidFill>
          </w14:textFill>
        </w:rPr>
        <w:t>2</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防治对策分析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循环流化床是一种重要的洁净煤利用技术。循环流化床锅炉通过向炉内喷入石灰石实现炉内脱硫，喷入炉膛的CaCO</w:t>
      </w:r>
      <w:r>
        <w:rPr>
          <w:rFonts w:hint="default" w:ascii="Times New Roman" w:hAnsi="Times New Roman" w:cs="Times New Roman"/>
          <w:sz w:val="24"/>
          <w:vertAlign w:val="subscript"/>
        </w:rPr>
        <w:t>3</w:t>
      </w:r>
      <w:r>
        <w:rPr>
          <w:rFonts w:hint="default" w:ascii="Times New Roman" w:hAnsi="Times New Roman" w:cs="Times New Roman"/>
          <w:sz w:val="24"/>
        </w:rPr>
        <w:t>在800～900℃高温煅烧分解成CaO，与燃烧生成的烟气中的SO</w:t>
      </w:r>
      <w:r>
        <w:rPr>
          <w:rFonts w:hint="default" w:ascii="Times New Roman" w:hAnsi="Times New Roman" w:cs="Times New Roman"/>
          <w:sz w:val="24"/>
          <w:vertAlign w:val="subscript"/>
        </w:rPr>
        <w:t>2</w:t>
      </w:r>
      <w:r>
        <w:rPr>
          <w:rFonts w:hint="default" w:ascii="Times New Roman" w:hAnsi="Times New Roman" w:cs="Times New Roman"/>
          <w:sz w:val="24"/>
        </w:rPr>
        <w:t>发生反应，反应生成CaSO</w:t>
      </w:r>
      <w:r>
        <w:rPr>
          <w:rFonts w:hint="default" w:ascii="Times New Roman" w:hAnsi="Times New Roman" w:cs="Times New Roman"/>
          <w:sz w:val="24"/>
          <w:vertAlign w:val="subscript"/>
        </w:rPr>
        <w:t>4</w:t>
      </w:r>
      <w:r>
        <w:rPr>
          <w:rFonts w:hint="default" w:ascii="Times New Roman" w:hAnsi="Times New Roman" w:cs="Times New Roman"/>
          <w:sz w:val="24"/>
        </w:rPr>
        <w:t>，从而达到脱硫的目的。循环流化床锅炉掺烧石灰石的脱硫效果明显。从国内部分循环流化床电站的脱硫效率及烟气SO</w:t>
      </w:r>
      <w:r>
        <w:rPr>
          <w:rFonts w:hint="default" w:ascii="Times New Roman" w:hAnsi="Times New Roman" w:cs="Times New Roman"/>
          <w:sz w:val="24"/>
          <w:vertAlign w:val="subscript"/>
        </w:rPr>
        <w:t>2</w:t>
      </w:r>
      <w:r>
        <w:rPr>
          <w:rFonts w:hint="default" w:ascii="Times New Roman" w:hAnsi="Times New Roman" w:cs="Times New Roman"/>
          <w:sz w:val="24"/>
        </w:rPr>
        <w:t>排放量来看，依靠炉内脱硫，可将SO</w:t>
      </w:r>
      <w:r>
        <w:rPr>
          <w:rFonts w:hint="default" w:ascii="Times New Roman" w:hAnsi="Times New Roman" w:cs="Times New Roman"/>
          <w:sz w:val="24"/>
          <w:vertAlign w:val="subscript"/>
        </w:rPr>
        <w:t>2</w:t>
      </w:r>
      <w:r>
        <w:rPr>
          <w:rFonts w:hint="default" w:ascii="Times New Roman" w:hAnsi="Times New Roman" w:cs="Times New Roman"/>
          <w:sz w:val="24"/>
        </w:rPr>
        <w:t>排放控制在300～400mg/Nm</w:t>
      </w:r>
      <w:r>
        <w:rPr>
          <w:rFonts w:hint="default" w:ascii="Times New Roman" w:hAnsi="Times New Roman" w:cs="Times New Roman"/>
          <w:sz w:val="24"/>
          <w:vertAlign w:val="superscript"/>
        </w:rPr>
        <w:t>3</w:t>
      </w:r>
      <w:r>
        <w:rPr>
          <w:rFonts w:hint="default" w:ascii="Times New Roman" w:hAnsi="Times New Roman" w:cs="Times New Roman"/>
          <w:sz w:val="24"/>
        </w:rPr>
        <w:t>以内。</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随着我国污染物排放标准的提高，常规的炉内脱硫已无法达到35mg/Nm</w:t>
      </w:r>
      <w:r>
        <w:rPr>
          <w:rFonts w:hint="default" w:ascii="Times New Roman" w:hAnsi="Times New Roman" w:cs="Times New Roman"/>
          <w:sz w:val="24"/>
          <w:vertAlign w:val="superscript"/>
        </w:rPr>
        <w:t>3</w:t>
      </w:r>
      <w:r>
        <w:rPr>
          <w:rFonts w:hint="default" w:ascii="Times New Roman" w:hAnsi="Times New Roman" w:cs="Times New Roman"/>
          <w:sz w:val="24"/>
        </w:rPr>
        <w:t>的排放标准，故需增加炉外烟气脱硫装置进行深度脱硫。为了更好地满足超低排放要求，本项目采用炉内脱硫+炉外脱硫相结合的方式，脱硫后烟气中SO</w:t>
      </w:r>
      <w:r>
        <w:rPr>
          <w:rFonts w:hint="default" w:ascii="Times New Roman" w:hAnsi="Times New Roman" w:cs="Times New Roman"/>
          <w:sz w:val="24"/>
          <w:vertAlign w:val="subscript"/>
        </w:rPr>
        <w:t>2</w:t>
      </w:r>
      <w:r>
        <w:rPr>
          <w:rFonts w:hint="default" w:ascii="Times New Roman" w:hAnsi="Times New Roman" w:cs="Times New Roman"/>
          <w:sz w:val="24"/>
        </w:rPr>
        <w:t>浓度≤35mg/Nm³。</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（1）炉内脱硫</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炉内脱硫，采用炉内喷钙的方式进行，石灰石粉通过气力输送方式送入炉膛。炉内脱硫效率不低于90%，出口SO</w:t>
      </w:r>
      <w:r>
        <w:rPr>
          <w:rFonts w:hint="default" w:ascii="Times New Roman" w:hAnsi="Times New Roman" w:cs="Times New Roman"/>
          <w:sz w:val="24"/>
          <w:vertAlign w:val="subscript"/>
        </w:rPr>
        <w:t>2</w:t>
      </w:r>
      <w:r>
        <w:rPr>
          <w:rFonts w:hint="default" w:ascii="Times New Roman" w:hAnsi="Times New Roman" w:cs="Times New Roman"/>
          <w:sz w:val="24"/>
        </w:rPr>
        <w:t>排放浓度300mg/Nm</w:t>
      </w:r>
      <w:r>
        <w:rPr>
          <w:rFonts w:hint="default" w:ascii="Times New Roman" w:hAnsi="Times New Roman" w:cs="Times New Roman"/>
          <w:sz w:val="24"/>
          <w:vertAlign w:val="superscript"/>
        </w:rPr>
        <w:t>3</w:t>
      </w:r>
      <w:r>
        <w:rPr>
          <w:rFonts w:hint="default" w:ascii="Times New Roman" w:hAnsi="Times New Roman" w:cs="Times New Roman"/>
          <w:sz w:val="24"/>
        </w:rPr>
        <w:t>。</w:t>
      </w:r>
    </w:p>
    <w:p>
      <w:pPr>
        <w:spacing w:line="360" w:lineRule="auto"/>
        <w:ind w:firstLine="480" w:firstLineChars="200"/>
        <w:rPr>
          <w:rFonts w:hint="default" w:ascii="Times New Roman" w:hAnsi="Times New Roman" w:eastAsia="仿宋" w:cs="Times New Roman"/>
        </w:rPr>
      </w:pPr>
      <w:r>
        <w:rPr>
          <w:rFonts w:hint="default" w:ascii="Times New Roman" w:hAnsi="Times New Roman" w:cs="Times New Roman"/>
          <w:sz w:val="24"/>
        </w:rPr>
        <w:t>炉内喷钙所需吸收剂采用外购商品石灰石粉，粒度为0～0.5mm，采用汽车运输。</w:t>
      </w:r>
      <w:r>
        <w:rPr>
          <w:rFonts w:hint="default" w:ascii="Times New Roman" w:hAnsi="Times New Roman" w:eastAsia="仿宋" w:cs="Times New Roman"/>
        </w:rPr>
        <w:t xml:space="preserve"> </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（2）炉外烟气脱硫工艺选择</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烟气脱硫工艺路线的选择应根据锅炉容量和调峰要求、燃料硫分、二氧化硫控制和环评要求的脱硫效率、脱硫工艺成熟程度、脱硫剂的供应条件、水源情况、脱硫副产物和飞灰的综合利用条件、脱硫废水排放条件等因素综合考虑确定。目前，较为可行的炉外脱硫工艺是石灰石-石膏湿法烟气脱硫工艺和循环流化床半干法烟气脱硫工艺。</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①石灰石—石膏湿法脱硫工艺</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采用石灰石作为脱硫吸收剂，石灰石经破碎磨细成粉状与水混合搅拌制成吸收剂浆，也可以将石灰石直接湿磨成石灰石浆液制成吸收剂浆液。在吸收塔内，吸收浆剂与烟气接触混合，烟气中的SO</w:t>
      </w:r>
      <w:r>
        <w:rPr>
          <w:rFonts w:hint="default" w:ascii="Times New Roman" w:hAnsi="Times New Roman" w:cs="Times New Roman"/>
          <w:sz w:val="24"/>
          <w:vertAlign w:val="subscript"/>
        </w:rPr>
        <w:t>2</w:t>
      </w:r>
      <w:r>
        <w:rPr>
          <w:rFonts w:hint="default" w:ascii="Times New Roman" w:hAnsi="Times New Roman" w:cs="Times New Roman"/>
          <w:sz w:val="24"/>
        </w:rPr>
        <w:t>与浆剂中的碳酸钙以及鼓入的氧化空气进行化学反应，最终反应产物为石膏。脱硫后的烟气经除雾器除去带出的细小液滴，经加热器加热升温后排入烟囱。</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采用湿法脱硫工艺主要存在问题包括：1）投资及运行成本高；2）湿法脱硫工艺复杂，占地面积较大，一次性建设投资相对较大，后期处理也比较复杂；3）需要配置废水处理系统（且需单独处理，增加投资成本），运行操作复杂；4）烟囱必须防腐处理；5）湿法装置出口温度仅50℃左右，排放的湿烟气在低温状态下容易产生白烟。6）整个系统物料处于浆状，制浆、喷淋系统、除雾器易结垢、堵塞，工艺复杂，系统管理、维护费用较高。</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②循环流化床干法脱硫工艺</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烟气循环流化床脱硫除尘一体化工艺利用脱硫吸收塔下部的文丘里管加速作用，使进入的烟气和物料在塔内形成循环流化床床体。物料在循环流化床里，气固两相由于气流的作用，产生激烈的湍动与混合，具有很好的传质和传热效果。同时，借助在文丘里出口扩管段的雾化喷水降温作用，使得吸收剂表面形成液膜，可与烟气中SO</w:t>
      </w:r>
      <w:r>
        <w:rPr>
          <w:rFonts w:hint="default" w:ascii="Times New Roman" w:hAnsi="Times New Roman" w:cs="Times New Roman"/>
          <w:sz w:val="24"/>
          <w:vertAlign w:val="subscript"/>
        </w:rPr>
        <w:t>2</w:t>
      </w:r>
      <w:r>
        <w:rPr>
          <w:rFonts w:hint="default" w:ascii="Times New Roman" w:hAnsi="Times New Roman" w:cs="Times New Roman"/>
          <w:sz w:val="24"/>
        </w:rPr>
        <w:t>完成离子型的脱除反应。</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净化后的含尘烟气从脱硫吸收塔顶部侧向排出，然后转向进入脱硫后除尘器进行气固分离。该系统最大特点即是可以高效完成脱硫除尘一体化，实现节能增效的目的。在吸收塔中，吸收剂（Ca(OH)</w:t>
      </w:r>
      <w:r>
        <w:rPr>
          <w:rFonts w:hint="default" w:ascii="Times New Roman" w:hAnsi="Times New Roman" w:cs="Times New Roman"/>
          <w:sz w:val="24"/>
          <w:vertAlign w:val="subscript"/>
        </w:rPr>
        <w:t>2</w:t>
      </w:r>
      <w:r>
        <w:rPr>
          <w:rFonts w:hint="default" w:ascii="Times New Roman" w:hAnsi="Times New Roman" w:cs="Times New Roman"/>
          <w:sz w:val="24"/>
        </w:rPr>
        <w:t>）可脱除烟气中几乎全部的SO</w:t>
      </w:r>
      <w:r>
        <w:rPr>
          <w:rFonts w:hint="default" w:ascii="Times New Roman" w:hAnsi="Times New Roman" w:cs="Times New Roman"/>
          <w:sz w:val="24"/>
          <w:vertAlign w:val="subscript"/>
        </w:rPr>
        <w:t>3</w:t>
      </w:r>
      <w:r>
        <w:rPr>
          <w:rFonts w:hint="default" w:ascii="Times New Roman" w:hAnsi="Times New Roman" w:cs="Times New Roman"/>
          <w:sz w:val="24"/>
        </w:rPr>
        <w:t>、HCl、HF酸性物质。</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烟气循环流化床干法脱硫除尘一体化工艺具有以下的主要特点：</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烟气循环流化床干法脱硫除尘一体化工艺能够很好的利用循环流化床锅炉飞灰。由于CFB锅炉内添加了一定量的石灰石粉（炉内脱硫效率90%，Ca/S为2.0），石灰石粉在炉内进行初步的脱硫化学反应，锅炉飞灰中含有大量未反应完的CaO，可直接用作尾部CFB干法脱硫装置脱硫剂，这样大大减少今后脱硫装置的运行费用，为热源站带来巨大的经济效益。</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CFB干法脱硫工艺系统利用高湍动物料床层，加上喷水降温创造良好的反应条件，脱硫效率高，已有运行的项目均可达90%以上，部分项目可达98%以上。技术成熟，在国内外已有近百台套成功运行业绩，运行稳定，效果良好。</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3）CFB干法工艺是脱硫除尘一体化工艺，在脱硫同时可实现高效除尘。脱硫后配套专用布袋除尘器可使烟气的粉尘排放浓度低于5mg/Nm</w:t>
      </w:r>
      <w:r>
        <w:rPr>
          <w:rFonts w:hint="default" w:ascii="Times New Roman" w:hAnsi="Times New Roman" w:cs="Times New Roman"/>
          <w:sz w:val="24"/>
          <w:vertAlign w:val="superscript"/>
        </w:rPr>
        <w:t>3</w:t>
      </w:r>
      <w:r>
        <w:rPr>
          <w:rFonts w:hint="default" w:ascii="Times New Roman" w:hAnsi="Times New Roman" w:cs="Times New Roman"/>
          <w:sz w:val="24"/>
        </w:rPr>
        <w:t>的排放标准。</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4）不受烟气负荷及含硫量限制，对燃料适应性强，尤其适用于低硫燃料。对SO</w:t>
      </w:r>
      <w:r>
        <w:rPr>
          <w:rFonts w:hint="default" w:ascii="Times New Roman" w:hAnsi="Times New Roman" w:cs="Times New Roman"/>
          <w:sz w:val="24"/>
          <w:vertAlign w:val="subscript"/>
        </w:rPr>
        <w:t>2</w:t>
      </w:r>
      <w:r>
        <w:rPr>
          <w:rFonts w:hint="default" w:ascii="Times New Roman" w:hAnsi="Times New Roman" w:cs="Times New Roman"/>
          <w:sz w:val="24"/>
        </w:rPr>
        <w:t>浓度的增加，只需适当增加吸收剂的加入量（设备无须改造），就可以使脱硫效率得到提高，以满足越来越严格的环保要求。</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5）具有脱除多组份烟气污染物的能力。在脱除SO</w:t>
      </w:r>
      <w:r>
        <w:rPr>
          <w:rFonts w:hint="default" w:ascii="Times New Roman" w:hAnsi="Times New Roman" w:cs="Times New Roman"/>
          <w:sz w:val="24"/>
          <w:vertAlign w:val="subscript"/>
        </w:rPr>
        <w:t>2</w:t>
      </w:r>
      <w:r>
        <w:rPr>
          <w:rFonts w:hint="default" w:ascii="Times New Roman" w:hAnsi="Times New Roman" w:cs="Times New Roman"/>
          <w:sz w:val="24"/>
        </w:rPr>
        <w:t>的同时，可同步高效脱除SO</w:t>
      </w:r>
      <w:r>
        <w:rPr>
          <w:rFonts w:hint="default" w:ascii="Times New Roman" w:hAnsi="Times New Roman" w:cs="Times New Roman"/>
          <w:sz w:val="24"/>
          <w:vertAlign w:val="subscript"/>
        </w:rPr>
        <w:t>3</w:t>
      </w:r>
      <w:r>
        <w:rPr>
          <w:rFonts w:hint="default" w:ascii="Times New Roman" w:hAnsi="Times New Roman" w:cs="Times New Roman"/>
          <w:sz w:val="24"/>
        </w:rPr>
        <w:t>、HCl、HF、重金属等。</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6）工艺过程为干态，系统运行温度高于露点温度15℃以上，无需烟气再热排放，烟囱出口烟气流速较高，不会产生白烟，不影响烟囱的自拔力，烟气的扩散效果好，出口粉尘、NOx的落地浓度较低，满足排放要求，对周围环境影响小。同时，脱硫装置及烟囱无需防腐，避免防腐施工及维护过程极易产生的安全事故。</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7）系统水耗低，整个脱硫除尘过程只需在脱硫吸收塔中喷入用于降温的水，耗水量约占湿法脱硫的40%～60%。</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8）能耗低，整个系统能耗较湿法节约35%。</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9）副产物可综合利用，干法脱硫副产物为干态、无毒混合物。主要成分为石膏、粉煤灰、亚硫酸钙还有少量氢氧化钙。在国外，干法脱硫灰综合利用技术已较成熟，已经广泛应用于土地回填、矿区植被修复、水泥、建材制砖等行业。热动力中心产生的干态脱硫副产物，可直接用于热动力中心所在地区煤炭矿井的回填，同时也可用作为水泥添加剂及建材制砖等。</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10）投资及运行成本低。干法工艺系统简洁，由脱硫吸收塔、脱硫后布袋除尘器以及吸收剂和工艺水等附属系统组成，初始投资费用低。系统能耗少。</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11）整套工艺流程简易，系统简洁可靠，操作简单系统流程简单，不像湿法那样流程、设备繁杂。</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③炉外脱硫工艺方案的确定</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以上对比结果，综合考虑，本项目不适合采用石灰石-石膏湿法脱硫工艺。本项目为CFB锅炉，对于CFB锅炉炉后配套脱硫除尘系统，CFB-FGD有着得天独厚的优势，锅炉飞灰中的CaO将作为炉后脱硫的吸收剂，大大减少运行成本，对于缺水地区和燃料含硫量低的小型火电机组，烟气循环流化床干法脱硫除尘一体化工艺特别适合。不仅如此，CFB干法工艺在占地面积少、投资费用少、运行费用少、无需防腐、无二次污染、启停方便、多组分污染物脱除、适应取消旁路等方面占有很大优势。</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因此，本项目烟气脱硫采用烟气循环流化床干法脱硫除尘一体化工艺。</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（3）CFB-FGD脱硫</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本工程对3台锅炉100%烟气进行脱硫，每台炉设置1套烟气脱硫装置，在炉内脱硫效率不低于90%、SO</w:t>
      </w:r>
      <w:r>
        <w:rPr>
          <w:rFonts w:hint="default" w:ascii="Times New Roman" w:hAnsi="Times New Roman" w:cs="Times New Roman"/>
          <w:sz w:val="24"/>
          <w:vertAlign w:val="subscript"/>
        </w:rPr>
        <w:t>2</w:t>
      </w:r>
      <w:r>
        <w:rPr>
          <w:rFonts w:hint="default" w:ascii="Times New Roman" w:hAnsi="Times New Roman" w:cs="Times New Roman"/>
          <w:sz w:val="24"/>
        </w:rPr>
        <w:t>浓度≤300mg/Nm</w:t>
      </w:r>
      <w:r>
        <w:rPr>
          <w:rFonts w:hint="default" w:ascii="Times New Roman" w:hAnsi="Times New Roman" w:cs="Times New Roman"/>
          <w:sz w:val="24"/>
          <w:vertAlign w:val="superscript"/>
        </w:rPr>
        <w:t>3</w:t>
      </w:r>
      <w:r>
        <w:rPr>
          <w:rFonts w:hint="default" w:ascii="Times New Roman" w:hAnsi="Times New Roman" w:cs="Times New Roman"/>
          <w:sz w:val="24"/>
        </w:rPr>
        <w:t>（干基，6%O</w:t>
      </w:r>
      <w:r>
        <w:rPr>
          <w:rFonts w:hint="default" w:ascii="Times New Roman" w:hAnsi="Times New Roman" w:cs="Times New Roman"/>
          <w:sz w:val="24"/>
          <w:vertAlign w:val="subscript"/>
        </w:rPr>
        <w:t>2</w:t>
      </w:r>
      <w:r>
        <w:rPr>
          <w:rFonts w:hint="default" w:ascii="Times New Roman" w:hAnsi="Times New Roman" w:cs="Times New Roman"/>
          <w:sz w:val="24"/>
        </w:rPr>
        <w:t>）的前提下，二级脱硫效率不低于90%，满足≤35mg/Nm</w:t>
      </w:r>
      <w:r>
        <w:rPr>
          <w:rFonts w:hint="default" w:ascii="Times New Roman" w:hAnsi="Times New Roman" w:cs="Times New Roman"/>
          <w:sz w:val="24"/>
          <w:vertAlign w:val="superscript"/>
        </w:rPr>
        <w:t>3</w:t>
      </w:r>
      <w:r>
        <w:rPr>
          <w:rFonts w:hint="default" w:ascii="Times New Roman" w:hAnsi="Times New Roman" w:cs="Times New Roman"/>
          <w:sz w:val="24"/>
        </w:rPr>
        <w:t>要求。烟气经半干法脱硫后，温度在75℃左右，采用常规烟道直接排入大气，烟囱的防腐设计按弱腐蚀性烟气考虑。</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①脱硫工艺系统</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脱硫除尘岛主要由脱硫吸收塔系统、布袋除尘器、脱硫灰循环系统、吸收剂制备及供应系统、烟气系统、工艺水系统、流化风系统、仪控系统等组成。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锅炉排出的烟气，从底部进入脱硫塔，烟气经脱硫塔底文丘里结构加速后与加入的吸收剂、循环灰及水发生反应，除去烟气中的SO</w:t>
      </w:r>
      <w:r>
        <w:rPr>
          <w:rFonts w:hint="default" w:ascii="Times New Roman" w:hAnsi="Times New Roman" w:cs="Times New Roman"/>
          <w:sz w:val="24"/>
          <w:vertAlign w:val="subscript"/>
        </w:rPr>
        <w:t>x</w:t>
      </w:r>
      <w:r>
        <w:rPr>
          <w:rFonts w:hint="default" w:ascii="Times New Roman" w:hAnsi="Times New Roman" w:cs="Times New Roman"/>
          <w:sz w:val="24"/>
        </w:rPr>
        <w:t>等气体。烟气中夹带的吸收剂和脱硫灰，在通过脱硫塔下部的文丘里管时，受到气流的加速而悬浮起来，形成激烈的湍动状态，使颗粒与烟气之间具有很大的相对滑落速度，颗粒反应界面不断摩擦、碰撞更新，从而极大地强化了气固间的传热、传质。同时为了达到最佳的反应温度，通过向脱硫塔内喷水，使烟气温度冷却到75℃。</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携带大量吸收剂和反应产物的烟气从脱硫塔顶部侧向下行进入脱硫除尘器，进行气固分离，经气固分离后的烟气含尘量不超过5mg/Nm</w:t>
      </w:r>
      <w:r>
        <w:rPr>
          <w:rFonts w:hint="default" w:ascii="Times New Roman" w:hAnsi="Times New Roman" w:cs="Times New Roman"/>
          <w:sz w:val="24"/>
          <w:vertAlign w:val="superscript"/>
        </w:rPr>
        <w:t>3</w:t>
      </w:r>
      <w:r>
        <w:rPr>
          <w:rFonts w:hint="default" w:ascii="Times New Roman" w:hAnsi="Times New Roman" w:cs="Times New Roman"/>
          <w:sz w:val="24"/>
        </w:rPr>
        <w:t>。为了降低吸收剂的耗量，大部分收集到的细灰及反应混合物返回脱硫塔进一步反应，只有一小部分被认为不再具有吸收能力的较粗颗粒被作为脱硫副产物排到热动力中心灰仓。</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最后经除尘器净化后的烟气经引风机排入烟囱。</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②FGD装置布置</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本工程脱硫场地布置在CFB锅炉出口与引风机之间，采用一炉一塔的布置方式，与CFB锅炉及引风机串联布置。锅炉排出的烟气，从底部进入脱硫塔，脱硫后的烟气经过脱硫除尘器后由引风机排往烟囱。</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（4）脱硫可行性分析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从美国上世纪八十年代CFB装置的运行情况看，10万千瓦以下机组的CFB装置的脱硫效率均在90%以上。目前，我国先后有哈尔滨锅炉有限公司、东方锅炉(集团)股份有限公司、上海锅炉厂有限公司等采取国际使用和技术引进等不同方式生产大容量的CFB锅炉，锅炉燃烧效率可达90%，设计脱硫效率均可达90%。</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江苏中煤昔阳能源有限公司安平发电厂2台150MW锅炉进行超低排放改造，均采用CFB-FGD脱硫+布袋除尘+SNCR脱硝系统，2018年12月28日-12月30日机组性能检测，检测结果：机组在50%、75%、100%负荷运行工况条件下，其中脱硫效率分别为99.53%、99.25%、99.65%，出口SO</w:t>
      </w:r>
      <w:r>
        <w:rPr>
          <w:rFonts w:hint="default" w:ascii="Times New Roman" w:hAnsi="Times New Roman" w:cs="Times New Roman"/>
          <w:sz w:val="24"/>
          <w:vertAlign w:val="subscript"/>
        </w:rPr>
        <w:t>2</w:t>
      </w:r>
      <w:r>
        <w:rPr>
          <w:rFonts w:hint="default" w:ascii="Times New Roman" w:hAnsi="Times New Roman" w:cs="Times New Roman"/>
          <w:sz w:val="24"/>
        </w:rPr>
        <w:t>排放浓度满足超低排放要求。</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本项目采用含硫分低的水煤浆以降低SO</w:t>
      </w:r>
      <w:r>
        <w:rPr>
          <w:rFonts w:hint="default" w:ascii="Times New Roman" w:hAnsi="Times New Roman" w:cs="Times New Roman"/>
          <w:sz w:val="24"/>
          <w:vertAlign w:val="subscript"/>
        </w:rPr>
        <w:t>2</w:t>
      </w:r>
      <w:r>
        <w:rPr>
          <w:rFonts w:hint="default" w:ascii="Times New Roman" w:hAnsi="Times New Roman" w:cs="Times New Roman"/>
          <w:sz w:val="24"/>
        </w:rPr>
        <w:t>的产生，脱硫采用CFB-FGD脱硫，炉内喷钙+炉外烟气循环流化床干法脱硫除尘一体化工艺，设计脱硫效率不低于96.5%。由此可见，96.5%以上的脱硫效率是完全能够达到的。本环评要求加强对脱硫装置的日常维护，进行定期检修，保证脱硫效率长期保持设计水平。</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NOx防治对策分析</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脱硝工艺选择分析</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2014年9月12日，国家发改委、环保部、能源局联合发布了《关于印发煤电节能减排升级与改造行动计划</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（2014-2020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年）的通知》（发改能源【2014】 2093号），提出了超净排放的要求。根据本工程水煤浆资料和所处地理位置，参照《火电厂大气污染物排放标准》</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GB</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13223-2011），</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本工程大气污染物排放浓度按超低排放执行，即氮氧化物排放浓度小于</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50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mg</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本工程脱硝效率不低于60%，推荐采用选择性催化还原法</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SNCR</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技术。</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NOx是燃煤与空气在高温燃烧时产生的，主要包括NO和NO</w:t>
      </w:r>
      <w:r>
        <w:rPr>
          <w:rFonts w:hint="eastAsia" w:ascii="Times New Roman" w:hAnsi="Times New Roman" w:eastAsia="宋体" w:cs="Times New Roman"/>
          <w:snapToGrid w:val="0"/>
          <w:color w:val="000000" w:themeColor="text1"/>
          <w:spacing w:val="0"/>
          <w:w w:val="100"/>
          <w:kern w:val="0"/>
          <w:position w:val="0"/>
          <w:sz w:val="24"/>
          <w:szCs w:val="24"/>
          <w:u w:val="none"/>
          <w:vertAlign w:val="subscript"/>
          <w:lang w:val="en-US" w:eastAsia="zh-CN" w:bidi="zh-CN"/>
          <w14:textFill>
            <w14:solidFill>
              <w14:schemeClr w14:val="tx1"/>
            </w14:solidFill>
          </w14:textFill>
        </w:rPr>
        <w:t>2</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其中NO占90%以上，NO</w:t>
      </w:r>
      <w:r>
        <w:rPr>
          <w:rFonts w:hint="eastAsia" w:ascii="Times New Roman" w:hAnsi="Times New Roman" w:eastAsia="宋体" w:cs="Times New Roman"/>
          <w:snapToGrid w:val="0"/>
          <w:color w:val="000000" w:themeColor="text1"/>
          <w:spacing w:val="0"/>
          <w:w w:val="100"/>
          <w:kern w:val="0"/>
          <w:position w:val="0"/>
          <w:sz w:val="24"/>
          <w:szCs w:val="24"/>
          <w:u w:val="none"/>
          <w:vertAlign w:val="subscript"/>
          <w:lang w:val="en-US" w:eastAsia="zh-CN" w:bidi="zh-CN"/>
          <w14:textFill>
            <w14:solidFill>
              <w14:schemeClr w14:val="tx1"/>
            </w14:solidFill>
          </w14:textFill>
        </w:rPr>
        <w:t>2</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占5%~10%。氮氧化物的生成量与燃烧方式，特别是燃烧温度和过量空气系数等燃烧条件有关，其主要生成途径有：热力型NOx</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快速型NOx和燃料型NOx</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在炉内采用低氮燃烧器后，锅炉排烟的NOx浓度可降低到</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300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mg</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以下，进一步的脱硝只能采取烟气脱硝技术。</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选择性非催化还原法</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SNCR</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选择性非催化还原法</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SNCR</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是指在不使用催化剂的情况下，在炉膛烟气温度适宜处</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(850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1150℃)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喷入含氨基的还原剂(一般为氨或尿素等)，利用炉内高温促使氨和NOx反应，将烟气中的NOx还原为N</w:t>
      </w:r>
      <w:r>
        <w:rPr>
          <w:rFonts w:hint="eastAsia" w:ascii="Times New Roman" w:hAnsi="Times New Roman" w:eastAsia="宋体" w:cs="Times New Roman"/>
          <w:snapToGrid w:val="0"/>
          <w:color w:val="000000" w:themeColor="text1"/>
          <w:spacing w:val="0"/>
          <w:w w:val="100"/>
          <w:kern w:val="0"/>
          <w:position w:val="0"/>
          <w:sz w:val="24"/>
          <w:szCs w:val="24"/>
          <w:u w:val="none"/>
          <w:vertAlign w:val="subscript"/>
          <w:lang w:val="en-US" w:eastAsia="en-US" w:bidi="zh-CN"/>
          <w14:textFill>
            <w14:solidFill>
              <w14:schemeClr w14:val="tx1"/>
            </w14:solidFill>
          </w14:textFill>
        </w:rPr>
        <w:t>2</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和H</w:t>
      </w:r>
      <w:r>
        <w:rPr>
          <w:rFonts w:hint="eastAsia" w:ascii="Times New Roman" w:hAnsi="Times New Roman" w:eastAsia="宋体" w:cs="Times New Roman"/>
          <w:snapToGrid w:val="0"/>
          <w:color w:val="000000" w:themeColor="text1"/>
          <w:spacing w:val="0"/>
          <w:w w:val="100"/>
          <w:kern w:val="0"/>
          <w:position w:val="0"/>
          <w:sz w:val="24"/>
          <w:szCs w:val="24"/>
          <w:u w:val="none"/>
          <w:vertAlign w:val="subscript"/>
          <w:lang w:val="en-US" w:eastAsia="en-US" w:bidi="zh-CN"/>
          <w14:textFill>
            <w14:solidFill>
              <w14:schemeClr w14:val="tx1"/>
            </w14:solidFill>
          </w14:textFill>
        </w:rPr>
        <w:t>2</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O。</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典型的SNCR系统由还原剂储存系统、还原剂喷入装置及相应的控制系统组成。该技术在各种容量的循环流化床锅炉和中小型煤粉炉应用较多，300MW及以上煤粉锅炉应用很少。SNCR工艺投资及运行成本均远低于SCR工艺，应用于中小型煤粉炉脱硝效率较低，一般为30~50%，但特别适用于循环流化床锅炉，脱硝效率可达60~80%。</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200" w:right="0" w:rightChars="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（3）烟尘</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PM</w:t>
      </w:r>
      <w:r>
        <w:rPr>
          <w:rFonts w:hint="eastAsia" w:ascii="Times New Roman" w:hAnsi="Times New Roman" w:eastAsia="宋体" w:cs="Times New Roman"/>
          <w:snapToGrid w:val="0"/>
          <w:color w:val="000000" w:themeColor="text1"/>
          <w:spacing w:val="0"/>
          <w:w w:val="100"/>
          <w:kern w:val="0"/>
          <w:position w:val="0"/>
          <w:sz w:val="24"/>
          <w:szCs w:val="24"/>
          <w:u w:val="none"/>
          <w:vertAlign w:val="subscript"/>
          <w:lang w:val="en-US" w:eastAsia="en-US" w:bidi="zh-CN"/>
          <w14:textFill>
            <w14:solidFill>
              <w14:schemeClr w14:val="tx1"/>
            </w14:solidFill>
          </w14:textFill>
        </w:rPr>
        <w:t>10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防治对策</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本工程设计水煤浆收到基低位发热量分别为</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13525</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kJ</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kg</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灰分为</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8.</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 xml:space="preserve">2%，烟尘排放量不大，为使正常工况下烟尘排放满足《关于印发〈煤电节能减排升级与改造行动计划 </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(2014-2020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年)〉的通知》(发改能源[2014]2093号)、《关于印发〈全面实施燃煤电厂超低排放和节能改造工作方案〉的通知》(环发</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i</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5]164</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号)中的大气污染物排放限值及《国务院办公厅关于印发能源发展战略行动计划</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(2014</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-2020年)的通知》(国办发</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 xml:space="preserve">(2014) </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31号)文中“鼓励西部地区新建机组接近或达到燃气轮机组排放限值”要求，本工程设计锅炉烟尘执行以气体燃料的燃气轮机组排放标准值，即烟尘不高于</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5</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mg</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Nm</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的要求，本工程除尘采用布袋除尘器。袋式除尘技术是利用纤维织物的拦截、惯性、扩散、重力、静电等协同作用对含尘气体进行过滤的技术。袋式除尘是一个过滤与清灰交替进行的非稳态过程。当含尘气体进入袋式除尘器后，颗粒大、比重大的粉尘，由于重力的作用沉降下来，落入灰斗，含有较细小粉尘的气体在通过滤料时粉尘被阻留，使气体得到净化，随着过滤的进行，阻力不断上升，需进行清灰再生。按清灰方式分为：脉冲喷吹类袋式除尘器、反吹风类袋式除尘器及机械振打类袋式除尘器，电厂主要应用脉冲清灰类袋式除尘器，又可细分为固定行喷吹和旋转喷吹脉冲袋式除尘器。袋式除尘器适用煤种及工况条件范围广，具有较为稳定的低排放、占地面积小、控制系统简单等特点。袋式除尘技术适应性较强，除尘效率基本不受燃烧煤种、烟尘比电阻和烟气工况变化等的影响，较为稳定保持低排放。袋式除尘器的除尘效率为</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99.</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5%~</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99.</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99%，出口烟尘浓度可控制在</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30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mg</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或</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mg</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以下；当采用高精过滤滤料时，可以实现</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mg</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以下。</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本工程采用低压旋转脉冲布袋除尘器，采用上进风方式，降低入口浓度，提高滤袋的使用寿命，采用经特殊表面处理的进口PPS改性滤料，除尘效率可达</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 xml:space="preserve">99. </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98%，满足烟尘排放浓度不高于</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5</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mg</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Nm</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的要求。</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（4）汞及其化合物达标排放分析</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燃煤电厂汞污染防治技术可分为三类：燃烧前控制、燃烧中控制和燃烧后控制。燃烧前汞污染控制主要包括洗煤技术和煤低温热解技术。燃烧中控制是通过改变优化燃烧和在炉膛中喷入添加剂氧化吸附等方式，结合后续设施加以控制。通过改进燃烧方式，在降低NOx的同时，抑制一部分汞的排放，流化床燃烧方式在降低NOx排放的同时可以降低烟气中汞及其他微量重金属的排放。主要包括：循环流化床技术、低氮燃烧技术、炉膛喷吸附剂技术、添加氧化剂技术。燃烧后控制主要包括：协同控制技术、单项脱汞技术、多污染物控制技术。</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本工程循环流化床锅炉在燃烧过程中就可以降低烟气中汞及其他微量重金属的排放，再通过烟气循环流化床半干法脱硫、布袋除尘等烟气治理设施对汞及其化合物的进一步脱除，可以认为，本工程运营时汞的联合脱除率为90%，但从环评保守预测角度考虑，以下按照汞的联合脱除率nHg</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=70%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进行预测计算，烟囱出口汞及其化合物排放浓度分别为</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0.006</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mg</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Nm</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，低于《火电厂大气污染物排放标准》</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GB</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13223-2011)</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中</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0.03</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mg</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Nm</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的限值。</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（5）烟气监控计划</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根据《火电厂大气污染物排放标准》</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GB</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13223-2011)，</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装设烟气连续监测装置，炉后配套干法脱硫设施3套(采用一炉一塔)，符合《固定污染物烟气排放连续监测技术规范》</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HJ</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75-2007)</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的要求。烟气连续监测装置与环保部门联网。</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6.1.1.4无组织排放源的防治对策</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本工程石灰石粉存放于粉仓中，由气力输送系统输送到脱硫系统，粉仓顶部装有布袋除尘器，不会产生扬尘。</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6.1.1.5灰渣厂外运输粉尘污染防治对策</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1）干灰要使用罐式密闭汽车，湿式搅拌后干灰采用专用运灰车运输.</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2）控制车速，严禁超速行驶。</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6.1.2节水措施</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在本工程的设计过程中，根据各工艺过程对水量和水质的要求，合理安排全厂用水、排水，建立合理的水量平衡系统，做到一水多用，提高水的重复利用率。</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采取的主要节水措施包括：</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（1）采用干除灰方案，可大大降低了除灰渣系统水耗。</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（2）辅机冷却水采用带机力通风冷却塔的再循环系统。锅炉排污水、热力设备和管道正常和事故工况的疏放水，经冷却后作为辅机冷却水系统的补充水。</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（3）主厂房设备冷却水采用压力回收减少了溢流损失。</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（4）加强汽水系统阀门管理及维护，减少汽水损失。</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（5）在电厂进水干管上安装水量计量装置，严格控制用水指标。</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（6）将水务管理作为电厂运行管理中对各车间考核管理的重要内容，用水指标应作为一项重要的考核指标，加强运行中的管理与监视。</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（7）采用背压机组，无主机冷却水系统，降低了电厂耗水量。</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（8）</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全厂各类废水处理后综合利用：生活污水处理后用于厂区绿化；含盐量与原水变化不大的工业废水处理后回用作辅机冷却水系统的补水；辅机冷却水系统的排污水属于含盐量较高的中高浓度工业废水，用于脱硫系统。</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6.1.3水污染防治对策</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6.1.3.1排水的污染防治</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本工程在设计中做到“一水多用”及优化用水和排水方案。对电厂的各类工业及生活废污水采用分别治理，采用技术上可行，经济上合理的治理措施，使其达到满足排放标准的要求。本工程将最大限度地提高水的复用率，使电厂本工程投运后实现废污水排放量的最小化，具体措施如下：</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循环排污水：工程采用机械干式除灰，干灰用于生产水泥或其它建材。工程总排水种经废水处理设施处理及清水池回用水回收后用于厂区灰场湿式搅拌用水；冬季处理达标后回用至清水池。</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酸碱废水：化学处理系统排出的酸碱废水，经中和池中和处理达标后</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pH</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~9），排入工业废水处理系统处理复用。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锅炉酸洗水：新锅炉投产前和锅炉大修后需进行酸洗，大修周期为每炉5年左右一次，每次排水量约</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2000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为非经常性排水。用无机酸洗炉时，排水经临时酸碱处理达标后可重复利用。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4）</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反渗透排水：锅炉补给用水排出的反渗透排水，经酸碱废水处理设施处理达标后</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pH</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=6~9），</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排入集水池排到市政处理官网回用。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5）</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超滤反冲洗水：排入工业废水处理系统处理后复用。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脱硝废水：工程采用SNCR脱硝工艺，脱硝废水经工业废水处理系统处理后排入回清水池回用。</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7）</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生活污水：本工程的生活污水经下水道汇集后进入生活污水处理站，生活污水采用二级生物接触氧化工艺处理后回用于厂房及道路冲洗及绿化等。</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综上所述，本工程在正常工况下无废污水的外排，非正常工况下的废污水经厂区污水处理装置后可重复利用，废水不外排。</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6.1.3.2地下水污染防治对策</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本工程设计采用先进工艺以及废水回收利用设施，整个生产过程实现零排放，在正常工况下，对地下水环境影响有限。但是在非正常工况情景下，本工程对地下水环境存在一定程度的影响。按照《中华人民共和国水污染防治法》以及《环境影响评价技术导则一地下水环境》</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HJ</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610-2016)</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的要求，本工程按照“源头控制、分区防控、污染监控、应急响应”相结合的原则，从污染物的产生、入渗、扩散、应急响应进行控制。在建设和正常运行期间，应尽量防止管道、设备以及各工艺车间的废水存储及处理区等产生渗漏和跑冒滴漏情况发生。</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（1）源头控制措施</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本工程对产生的废水进行合理的治理和综合利用，以先进工艺、管道、设备、污水储存装置，尽可能从源头上减少废水产生；严格按照国家相关规范要求，对工艺、管道、设备、污水储存及处理构筑物采取相应的措施，以防止和降低废水的跑、冒、滴、漏，将废水泄漏的环境风险事故降低到最低程度；优化排水系统设计，废水在厂区内收集后 通过管线送全厂各污水处理系统处理；厂房内管线敷设尽量采用“可视化”原则，即管道尽可能地上敷设，做到污染物“早发现、早处理”，以减少由于埋地管道泄漏而可能 造成的地下水污染。进行三标体系认证，实现“质量、安全、环境”三位一体的全面管理目标。设立地下水动态监测小组，负责对地下水环境监测和管理，或者委托专业的 机构完成。建立有关规章制度和岗位责任制。制定风险预警方案。设立应急设施减少环境污染影响。</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（2）分区防控措施</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 xml:space="preserve">对工程区可能泄漏废水的污染区地面进行防渗处理，并及时地将泄漏/渗漏的废水收集起来进行处理，可有效防止洒落地面的废水渗入地下。污染防渗区各构筑物在满足其工程设计的前提下，厂区污染防渗措施根据《环境影响评价技术导则地下水环境》 </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HJ</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610-2016)</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表7要求执行，灰场区污染防渗措施执行《一般工业固体废物贮存、处置场污染控制标准》</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GB</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18599-2001)</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的防渗要求。结合目前施工过程中的可操作性和技术水平，针对不同的防渗区域采用局部防渗措施，在具体设计中可根据实际情况在满 足防渗要求的前提下作必要的调整。</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厂区污染防渗区划分</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根据厂区各生产、生活功能单元可能产生废水的地区，划分为重点防渗区、一般防渗区、简单防渗区。</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①</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end"/>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重点防渗区</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参照《环境影响评价技术导则地下水环境》</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HJ</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610-2016)</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表7要求，结合本工程具体情况，将厂区内位于地下或半地下的生产功能单元，污染物质泄漏后，不容易被及时发现和处理的区域，以及虽可被及时发现并处理，但污染物泄漏后污染状况较严重的生产功能单元确定为重点防渗区，主要包括：机力通风冷却塔、废水处理系统、生活污水处理系统、锅炉补给水处理系统、汽机及变压器事故油池、油罐区、各废水（污水）处理调节池等。</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begin"/>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instrText xml:space="preserve"> = 2 \* GB3 \* MERGEFORMAT </w:instrTex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separate"/>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②</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end"/>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一般防渗区</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参照《环境影响评价技术导则地下水环境》</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HJ</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610-2016）</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表7要求，结合本工程具体情况，将厂区内裸露于地面的生产功能单元，污染物质泄漏后，容易被及时发现和 处理的区域，以及其它需采取必要防渗措施的水工构筑物等确定为一般防渗区；主要包括汽机房、锅炉房、灰库、综合水泵房（水池）、脱硫吸收塔、检修间、材料库、综合办公楼、输运含油废水和生活污水的管线区域等。</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begin"/>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instrText xml:space="preserve"> = 3 \* GB3 \* MERGEFORMAT </w:instrTex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separate"/>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③</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end"/>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简单防渗区</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除重点防渗区、一般防渗区之外的污染区域确定为简单防渗区，如空压机房、引风机室、车库、传达室等，可根据具体情况采取一般地面硬化措施。</w:t>
      </w:r>
    </w:p>
    <w:p>
      <w:pPr>
        <w:pStyle w:val="33"/>
        <w:keepNext w:val="0"/>
        <w:keepLines w:val="0"/>
        <w:pageBreakBefore w:val="0"/>
        <w:widowControl w:val="0"/>
        <w:numPr>
          <w:ilvl w:val="0"/>
          <w:numId w:val="11"/>
        </w:numPr>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 xml:space="preserve">厂区污染防渗区防渗措施 </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200" w:right="0" w:rightChars="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a重点防渗区</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根据《环境影响评价技术导则地下水环境》</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HJ</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610-2016）</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表7要求，重点防渗区防渗层的防渗性能不低于</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6.0</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m厚、渗透系数不大于</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1.0</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10</w:t>
      </w:r>
      <w:r>
        <w:rPr>
          <w:rFonts w:hint="default"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-7</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cm</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s的黏土层的防渗性能；具体防渗设计从上至下依次为：</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抗渗混凝土：抗渗等级P</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8</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级，渗透系数约为</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0.261</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10</w:t>
      </w:r>
      <w:r>
        <w:rPr>
          <w:rFonts w:hint="default"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-8</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cm</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s</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厚度</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&gt;50</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cm原地层（黄土层及粉土层）：渗透系数约为</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5.48</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10</w:t>
      </w:r>
      <w:r>
        <w:rPr>
          <w:rFonts w:hint="default"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-4</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cm/s</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 xml:space="preserve"> </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（厂址区域渗水试验最大值），厚度≥</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20</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通过计算，上述防渗设计的防渗性能可满足且大于</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6. 0</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m厚渗透系数为</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1.0</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10</w:t>
      </w:r>
      <w:r>
        <w:rPr>
          <w:rFonts w:hint="default"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-7</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cm/s的黏土层的防渗性能。与防渗设计有关的技术要求如下：</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①</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混凝土强度等级不应低于C</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30，</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所用水泥为普通硅酸盐水泥，采用抗渗钢筋混凝土 （或抗渗钢纤维混凝土），防渗层耐久性应符合《混凝土结构设计规范》</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GB</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50010-2012）</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要求；</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②</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混凝土池体内表面刷涂渗透系数为</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1.0</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10</w:t>
      </w:r>
      <w:r>
        <w:rPr>
          <w:rFonts w:hint="default"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10</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cm</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s的水泥基渗透结晶型防渗涂料，厚度≥</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1.0</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mm</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应满足《水泥基渗透结晶型防水材料》</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GB</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18445-2012）</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要求，在涂刷防水涂料前，应进行蓄水试验；</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③</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水池所有缝设置氯丁橡胶止水带放（施工缝采用镀锌钢板止水带）。</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b一般防渗区</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根据《环境影响评价技术导则地下水环境》</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HJ</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610-2016）</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表7要求，一般防渗区防渗层的防渗性能不低于</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1.5</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m厚、渗透系数不大于</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1.0</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10</w:t>
      </w:r>
      <w:r>
        <w:rPr>
          <w:rFonts w:hint="default"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-7</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cm</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s的黏土层的防渗性能，主要采用一般混凝土（抗渗等级低于P</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4</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级）对地面进行硬化的措施；具体防渗设计从上至下依次为：</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普通混凝土：抗渗等级P</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4</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级，渗透系数约为</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0.663</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10</w:t>
      </w:r>
      <w:r>
        <w:rPr>
          <w:rFonts w:hint="default"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-8</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cm</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s</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厚度</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25</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cm原地层（黄土及粉土层）：渗透系数约为</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5.48</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10</w:t>
      </w:r>
      <w:r>
        <w:rPr>
          <w:rFonts w:hint="default"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4</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cm</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s（厂址区域渗水试验最大值），厚度多</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通过计算，上述防渗设计的防渗性能可满足且大于</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1.5</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m厚渗透系数为</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1.0</w:t>
      </w:r>
      <w:r>
        <w:rPr>
          <w:rFonts w:hint="default" w:ascii="Arial" w:hAnsi="Arial" w:eastAsia="宋体" w:cs="Arial"/>
          <w:snapToGrid w:val="0"/>
          <w:color w:val="000000" w:themeColor="text1"/>
          <w:spacing w:val="0"/>
          <w:w w:val="100"/>
          <w:kern w:val="0"/>
          <w:position w:val="0"/>
          <w:sz w:val="24"/>
          <w:szCs w:val="24"/>
          <w:u w:val="none"/>
          <w:lang w:val="en-US" w:eastAsia="zh-CN"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 xml:space="preserve"> </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10</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-7</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cm/s的黏土层的防渗性能。与防渗设计有关的技术要求除以上标明的混凝土抗渗等级和厚度与重点防渗区不同外，其它技术要求相同。</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c简单防渗区</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根据《环境影响评价技术导则地下水环境》</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HJ</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610-2016）</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表7要求及工作需要，进行一般地面硬化即可。</w:t>
      </w:r>
    </w:p>
    <w:p>
      <w:pPr>
        <w:pStyle w:val="33"/>
        <w:keepNext w:val="0"/>
        <w:keepLines w:val="0"/>
        <w:pageBreakBefore w:val="0"/>
        <w:widowControl w:val="0"/>
        <w:numPr>
          <w:ilvl w:val="0"/>
          <w:numId w:val="5"/>
        </w:numPr>
        <w:shd w:val="clear" w:color="auto" w:fill="auto"/>
        <w:kinsoku/>
        <w:wordWrap/>
        <w:overflowPunct/>
        <w:topLinePunct w:val="0"/>
        <w:autoSpaceDE/>
        <w:autoSpaceDN/>
        <w:bidi w:val="0"/>
        <w:adjustRightInd/>
        <w:snapToGrid/>
        <w:spacing w:before="0" w:after="0" w:line="360" w:lineRule="auto"/>
        <w:ind w:left="0" w:leftChars="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 xml:space="preserve">应急响应措施 </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200" w:right="0" w:rightChars="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风险应急预案</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制定风险事故应急预案的目的是为了在发生风险事故时，能以最快的速度发挥最大的效能，有序地实施救援，尽快控制事态的发展，降低事故对潜水含水层的污染。针对应急工作需要，参照相关技术导则，结合地下水污染治理的技术特点，制定地下水污染应急响应程序。</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应急响应措施</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应采取如下应急响应措施：</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一旦发生地下水污染事故，应立即启动应急预案。</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查明并切断污染源。</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探明地下水污染深度、范围和污染程度。</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依据探明的地下水污染情况，合理布置截渗井，并进行试抽工作。</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依据抽水设计方案进行施工，抽取被污染的地下水体，并依据各井孔出水情况进行调整。</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将抽取的地下水进行集中收集处理，并送实验室进行化验分析。</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当地下水中的特征污染物浓度满足地下水功能区划的标准后，逐步停止抽水，并 进行土壤修复治理工作。</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相关建议</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地下水污染具有不易发现和一旦污染很难治理的特点，因此，防止地下水污染应遵循源头控制、防止渗漏、污染监测及事故应急处理的主动及被动防渗相结合的原则。</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color w:val="000000" w:themeColor="text1"/>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地下水污染情况勘察是一项专业性很强的工作，一旦发生污染事故，应委托具有水文地质勘察资质的单位查明地下水污染情况。</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6.1.4噪声污染防治对策</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6.1.4.1规划防治对策</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厂区总体布置中统筹规划，合理布局，注意防噪间距。在厂房建筑设计中，尽量使工作和休息场所远离强噪声源。对集控室单独进行声学设计，通过封闭隔声、减振和内部吸声降低混响等措施，减小室内噪声级。如：采用双层隔音墙，双层隔音观察窗，隔音吊顶，装贴吸音板，出入口设缓冲小室，集控室的空调安装消声器。</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6.1.4.2技术防治对策</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声源控制降噪措施</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本工程要选用符合国家规定噪声标准的设备，优先考虑采用低噪声设备。在设 备订货时向厂家提出设备噪声限值，并作为设备考核的一项重要因素。</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在锅炉排汽口安装高效排汽消声器，在风机吸风口装设导流装置，在汽水管道设计中，注意防振、防冲击，加防振垫，以减轻振动噪声；在汽水流速较高的管道接口，搞好密封、加垫能起到隔声作用。同时，要做好高噪设备的日常维护保养工作，使其处于良好的运转状态，避免不良状态下的声级增大而加剧对周围环境的影响。具体防噪声措施，见表</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1-3。</w:t>
      </w:r>
    </w:p>
    <w:p>
      <w:pPr>
        <w:pStyle w:val="87"/>
        <w:keepNext w:val="0"/>
        <w:keepLines w:val="0"/>
        <w:pageBreakBefore w:val="0"/>
        <w:widowControl w:val="0"/>
        <w:shd w:val="clear" w:color="auto" w:fill="auto"/>
        <w:tabs>
          <w:tab w:val="left" w:pos="3159"/>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b w:val="0"/>
          <w:bCs w:val="0"/>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b w:val="0"/>
          <w:bCs w:val="0"/>
          <w:snapToGrid w:val="0"/>
          <w:color w:val="000000" w:themeColor="text1"/>
          <w:spacing w:val="0"/>
          <w:w w:val="100"/>
          <w:kern w:val="0"/>
          <w:position w:val="0"/>
          <w:sz w:val="21"/>
          <w:szCs w:val="21"/>
          <w:u w:val="none"/>
          <w:lang w:val="zh-CN" w:eastAsia="zh-CN" w:bidi="zh-CN"/>
          <w14:textFill>
            <w14:solidFill>
              <w14:schemeClr w14:val="tx1"/>
            </w14:solidFill>
          </w14:textFill>
        </w:rPr>
        <w:t>表6.1-3</w:t>
      </w:r>
      <w:r>
        <w:rPr>
          <w:rFonts w:hint="eastAsia" w:ascii="Times New Roman" w:hAnsi="Times New Roman" w:eastAsia="黑体" w:cs="Times New Roman"/>
          <w:b w:val="0"/>
          <w:bCs w:val="0"/>
          <w:snapToGrid w:val="0"/>
          <w:color w:val="000000" w:themeColor="text1"/>
          <w:spacing w:val="0"/>
          <w:w w:val="100"/>
          <w:kern w:val="0"/>
          <w:position w:val="0"/>
          <w:sz w:val="21"/>
          <w:szCs w:val="21"/>
          <w:u w:val="none"/>
          <w:lang w:val="en-US" w:eastAsia="en-US" w:bidi="zh-CN"/>
          <w14:textFill>
            <w14:solidFill>
              <w14:schemeClr w14:val="tx1"/>
            </w14:solidFill>
          </w14:textFill>
        </w:rPr>
        <w:tab/>
      </w:r>
      <w:r>
        <w:rPr>
          <w:rFonts w:hint="eastAsia" w:ascii="Times New Roman" w:hAnsi="Times New Roman" w:eastAsia="黑体" w:cs="Times New Roman"/>
          <w:b w:val="0"/>
          <w:bCs w:val="0"/>
          <w:snapToGrid w:val="0"/>
          <w:color w:val="000000" w:themeColor="text1"/>
          <w:spacing w:val="0"/>
          <w:w w:val="100"/>
          <w:kern w:val="0"/>
          <w:position w:val="0"/>
          <w:sz w:val="21"/>
          <w:szCs w:val="21"/>
          <w:u w:val="none"/>
          <w:lang w:val="zh-CN" w:eastAsia="zh-CN" w:bidi="zh-CN"/>
          <w14:textFill>
            <w14:solidFill>
              <w14:schemeClr w14:val="tx1"/>
            </w14:solidFill>
          </w14:textFill>
        </w:rPr>
        <w:t>主要噪声源、噪声限值及防噪措施</w:t>
      </w:r>
    </w:p>
    <w:tbl>
      <w:tblPr>
        <w:tblStyle w:val="21"/>
        <w:tblW w:w="8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546"/>
        <w:gridCol w:w="1037"/>
        <w:gridCol w:w="847"/>
        <w:gridCol w:w="902"/>
        <w:gridCol w:w="1"/>
        <w:gridCol w:w="3011"/>
        <w:gridCol w:w="981"/>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gridAfter w:val="1"/>
          <w:wAfter w:w="1" w:type="dxa"/>
          <w:trHeight w:val="370" w:hRule="exact"/>
        </w:trPr>
        <w:tc>
          <w:tcPr>
            <w:tcW w:w="1546" w:type="dxa"/>
            <w:vMerge w:val="restart"/>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设备</w:t>
            </w:r>
          </w:p>
        </w:tc>
        <w:tc>
          <w:tcPr>
            <w:tcW w:w="1037" w:type="dxa"/>
            <w:vMerge w:val="restart"/>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降噪位置</w:t>
            </w:r>
          </w:p>
        </w:tc>
        <w:tc>
          <w:tcPr>
            <w:tcW w:w="1749" w:type="dxa"/>
            <w:gridSpan w:val="2"/>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噪声级</w:t>
            </w:r>
            <w:r>
              <w:rPr>
                <w:rStyle w:val="102"/>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dB</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 xml:space="preserve"> （</w:t>
            </w:r>
            <w:r>
              <w:rPr>
                <w:rStyle w:val="102"/>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A</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3993" w:type="dxa"/>
            <w:gridSpan w:val="3"/>
            <w:vMerge w:val="restart"/>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79" w:hRule="exact"/>
        </w:trPr>
        <w:tc>
          <w:tcPr>
            <w:tcW w:w="1546" w:type="dxa"/>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37" w:type="dxa"/>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4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降噪前</w:t>
            </w:r>
          </w:p>
        </w:tc>
        <w:tc>
          <w:tcPr>
            <w:tcW w:w="903" w:type="dxa"/>
            <w:gridSpan w:val="2"/>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降噪后</w:t>
            </w:r>
          </w:p>
        </w:tc>
        <w:tc>
          <w:tcPr>
            <w:tcW w:w="3993" w:type="dxa"/>
            <w:gridSpan w:val="3"/>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53" w:hRule="exact"/>
        </w:trPr>
        <w:tc>
          <w:tcPr>
            <w:tcW w:w="1546"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汽轮发电机</w:t>
            </w:r>
          </w:p>
        </w:tc>
        <w:tc>
          <w:tcPr>
            <w:tcW w:w="103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距离声源</w:t>
            </w:r>
            <w:r>
              <w:rPr>
                <w:rStyle w:val="102"/>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lm</w:t>
            </w: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处</w:t>
            </w:r>
          </w:p>
        </w:tc>
        <w:tc>
          <w:tcPr>
            <w:tcW w:w="84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90</w:t>
            </w:r>
          </w:p>
        </w:tc>
        <w:tc>
          <w:tcPr>
            <w:tcW w:w="903" w:type="dxa"/>
            <w:gridSpan w:val="2"/>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70</w:t>
            </w:r>
          </w:p>
        </w:tc>
        <w:tc>
          <w:tcPr>
            <w:tcW w:w="3011"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隔声罩、厂房隔声、基础减震</w:t>
            </w:r>
          </w:p>
        </w:tc>
        <w:tc>
          <w:tcPr>
            <w:tcW w:w="982" w:type="dxa"/>
            <w:gridSpan w:val="2"/>
            <w:vMerge w:val="restart"/>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市内生源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42" w:hRule="exact"/>
        </w:trPr>
        <w:tc>
          <w:tcPr>
            <w:tcW w:w="1546"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循环水泵</w:t>
            </w:r>
          </w:p>
        </w:tc>
        <w:tc>
          <w:tcPr>
            <w:tcW w:w="103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距离声源</w:t>
            </w:r>
            <w:r>
              <w:rPr>
                <w:rStyle w:val="102"/>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lm</w:t>
            </w: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处</w:t>
            </w:r>
          </w:p>
        </w:tc>
        <w:tc>
          <w:tcPr>
            <w:tcW w:w="84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85</w:t>
            </w:r>
          </w:p>
        </w:tc>
        <w:tc>
          <w:tcPr>
            <w:tcW w:w="903" w:type="dxa"/>
            <w:gridSpan w:val="2"/>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65</w:t>
            </w:r>
          </w:p>
        </w:tc>
        <w:tc>
          <w:tcPr>
            <w:tcW w:w="3011"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隔声罩、厂房隔声、基础减震</w:t>
            </w:r>
          </w:p>
        </w:tc>
        <w:tc>
          <w:tcPr>
            <w:tcW w:w="982" w:type="dxa"/>
            <w:gridSpan w:val="2"/>
            <w:vMerge w:val="continue"/>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25" w:hRule="exact"/>
        </w:trPr>
        <w:tc>
          <w:tcPr>
            <w:tcW w:w="1546"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输料机</w:t>
            </w:r>
          </w:p>
        </w:tc>
        <w:tc>
          <w:tcPr>
            <w:tcW w:w="103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距离声源</w:t>
            </w:r>
            <w:r>
              <w:rPr>
                <w:rStyle w:val="102"/>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lm</w:t>
            </w: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处</w:t>
            </w:r>
          </w:p>
        </w:tc>
        <w:tc>
          <w:tcPr>
            <w:tcW w:w="84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90</w:t>
            </w:r>
          </w:p>
        </w:tc>
        <w:tc>
          <w:tcPr>
            <w:tcW w:w="903" w:type="dxa"/>
            <w:gridSpan w:val="2"/>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70</w:t>
            </w:r>
          </w:p>
        </w:tc>
        <w:tc>
          <w:tcPr>
            <w:tcW w:w="3011"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隔声罩、厂房隔声、基础减震</w:t>
            </w:r>
          </w:p>
        </w:tc>
        <w:tc>
          <w:tcPr>
            <w:tcW w:w="982" w:type="dxa"/>
            <w:gridSpan w:val="2"/>
            <w:vMerge w:val="continue"/>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25" w:hRule="exact"/>
        </w:trPr>
        <w:tc>
          <w:tcPr>
            <w:tcW w:w="1546"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锅炉本体</w:t>
            </w:r>
          </w:p>
        </w:tc>
        <w:tc>
          <w:tcPr>
            <w:tcW w:w="103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距离声源</w:t>
            </w:r>
            <w:r>
              <w:rPr>
                <w:rStyle w:val="102"/>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lm</w:t>
            </w: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处</w:t>
            </w:r>
          </w:p>
        </w:tc>
        <w:tc>
          <w:tcPr>
            <w:tcW w:w="84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88</w:t>
            </w:r>
          </w:p>
        </w:tc>
        <w:tc>
          <w:tcPr>
            <w:tcW w:w="903" w:type="dxa"/>
            <w:gridSpan w:val="2"/>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68</w:t>
            </w:r>
          </w:p>
        </w:tc>
        <w:tc>
          <w:tcPr>
            <w:tcW w:w="3011"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厂房隔声、基础减震</w:t>
            </w:r>
          </w:p>
        </w:tc>
        <w:tc>
          <w:tcPr>
            <w:tcW w:w="982" w:type="dxa"/>
            <w:gridSpan w:val="2"/>
            <w:vMerge w:val="continue"/>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834" w:hRule="exact"/>
        </w:trPr>
        <w:tc>
          <w:tcPr>
            <w:tcW w:w="1546"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高压流化风机（含一次、 二次）</w:t>
            </w:r>
          </w:p>
        </w:tc>
        <w:tc>
          <w:tcPr>
            <w:tcW w:w="103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距离声源</w:t>
            </w:r>
            <w:r>
              <w:rPr>
                <w:rStyle w:val="102"/>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lm</w:t>
            </w: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处</w:t>
            </w:r>
          </w:p>
        </w:tc>
        <w:tc>
          <w:tcPr>
            <w:tcW w:w="84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92</w:t>
            </w:r>
          </w:p>
        </w:tc>
        <w:tc>
          <w:tcPr>
            <w:tcW w:w="903" w:type="dxa"/>
            <w:gridSpan w:val="2"/>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70</w:t>
            </w:r>
          </w:p>
        </w:tc>
        <w:tc>
          <w:tcPr>
            <w:tcW w:w="3011"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厂房隔声、消声器</w:t>
            </w:r>
          </w:p>
        </w:tc>
        <w:tc>
          <w:tcPr>
            <w:tcW w:w="982" w:type="dxa"/>
            <w:gridSpan w:val="2"/>
            <w:vMerge w:val="continue"/>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9" w:hRule="exact"/>
        </w:trPr>
        <w:tc>
          <w:tcPr>
            <w:tcW w:w="1546"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引风机</w:t>
            </w:r>
          </w:p>
        </w:tc>
        <w:tc>
          <w:tcPr>
            <w:tcW w:w="103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 xml:space="preserve">距出风口 </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r>
              <w:rPr>
                <w:rStyle w:val="102"/>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m</w:t>
            </w: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处</w:t>
            </w:r>
          </w:p>
        </w:tc>
        <w:tc>
          <w:tcPr>
            <w:tcW w:w="84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92</w:t>
            </w:r>
          </w:p>
        </w:tc>
        <w:tc>
          <w:tcPr>
            <w:tcW w:w="903" w:type="dxa"/>
            <w:gridSpan w:val="2"/>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70</w:t>
            </w:r>
          </w:p>
        </w:tc>
        <w:tc>
          <w:tcPr>
            <w:tcW w:w="3011"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厂房隔声、消声器</w:t>
            </w:r>
          </w:p>
        </w:tc>
        <w:tc>
          <w:tcPr>
            <w:tcW w:w="982" w:type="dxa"/>
            <w:gridSpan w:val="2"/>
            <w:vMerge w:val="continue"/>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87" w:hRule="exact"/>
        </w:trPr>
        <w:tc>
          <w:tcPr>
            <w:tcW w:w="1546"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空压机</w:t>
            </w:r>
          </w:p>
        </w:tc>
        <w:tc>
          <w:tcPr>
            <w:tcW w:w="103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距离声源</w:t>
            </w:r>
            <w:r>
              <w:rPr>
                <w:rStyle w:val="102"/>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lm</w:t>
            </w: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处</w:t>
            </w:r>
          </w:p>
        </w:tc>
        <w:tc>
          <w:tcPr>
            <w:tcW w:w="84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91</w:t>
            </w:r>
          </w:p>
        </w:tc>
        <w:tc>
          <w:tcPr>
            <w:tcW w:w="903" w:type="dxa"/>
            <w:gridSpan w:val="2"/>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70</w:t>
            </w:r>
          </w:p>
        </w:tc>
        <w:tc>
          <w:tcPr>
            <w:tcW w:w="3011"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厂房隔声、消声器</w:t>
            </w:r>
          </w:p>
        </w:tc>
        <w:tc>
          <w:tcPr>
            <w:tcW w:w="982" w:type="dxa"/>
            <w:gridSpan w:val="2"/>
            <w:vMerge w:val="continue"/>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65" w:hRule="exact"/>
        </w:trPr>
        <w:tc>
          <w:tcPr>
            <w:tcW w:w="1546"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6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综合水泵、辅机冷却、</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6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循环水泵</w:t>
            </w:r>
          </w:p>
        </w:tc>
        <w:tc>
          <w:tcPr>
            <w:tcW w:w="103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距离声源</w:t>
            </w:r>
            <w:r>
              <w:rPr>
                <w:rStyle w:val="102"/>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lm</w:t>
            </w: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处</w:t>
            </w:r>
          </w:p>
        </w:tc>
        <w:tc>
          <w:tcPr>
            <w:tcW w:w="84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85</w:t>
            </w:r>
          </w:p>
        </w:tc>
        <w:tc>
          <w:tcPr>
            <w:tcW w:w="903" w:type="dxa"/>
            <w:gridSpan w:val="2"/>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65</w:t>
            </w:r>
          </w:p>
        </w:tc>
        <w:tc>
          <w:tcPr>
            <w:tcW w:w="3011"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隔声罩、厂房隔声、基础减震</w:t>
            </w:r>
          </w:p>
        </w:tc>
        <w:tc>
          <w:tcPr>
            <w:tcW w:w="982" w:type="dxa"/>
            <w:gridSpan w:val="2"/>
            <w:vMerge w:val="continue"/>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432" w:hRule="exact"/>
        </w:trPr>
        <w:tc>
          <w:tcPr>
            <w:tcW w:w="1546"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主变</w:t>
            </w:r>
          </w:p>
        </w:tc>
        <w:tc>
          <w:tcPr>
            <w:tcW w:w="103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4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75</w:t>
            </w:r>
          </w:p>
        </w:tc>
        <w:tc>
          <w:tcPr>
            <w:tcW w:w="903" w:type="dxa"/>
            <w:gridSpan w:val="2"/>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75</w:t>
            </w:r>
          </w:p>
        </w:tc>
        <w:tc>
          <w:tcPr>
            <w:tcW w:w="3011"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982" w:type="dxa"/>
            <w:gridSpan w:val="2"/>
            <w:vMerge w:val="restart"/>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室外声源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09" w:hRule="exact"/>
        </w:trPr>
        <w:tc>
          <w:tcPr>
            <w:tcW w:w="1546"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机力塔</w:t>
            </w:r>
          </w:p>
        </w:tc>
        <w:tc>
          <w:tcPr>
            <w:tcW w:w="103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4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82</w:t>
            </w:r>
          </w:p>
        </w:tc>
        <w:tc>
          <w:tcPr>
            <w:tcW w:w="903" w:type="dxa"/>
            <w:gridSpan w:val="2"/>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82</w:t>
            </w:r>
          </w:p>
        </w:tc>
        <w:tc>
          <w:tcPr>
            <w:tcW w:w="3011"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982" w:type="dxa"/>
            <w:gridSpan w:val="2"/>
            <w:vMerge w:val="continue"/>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411" w:hRule="exact"/>
        </w:trPr>
        <w:tc>
          <w:tcPr>
            <w:tcW w:w="1546"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锅炉排气口</w:t>
            </w:r>
          </w:p>
        </w:tc>
        <w:tc>
          <w:tcPr>
            <w:tcW w:w="103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室外</w:t>
            </w:r>
          </w:p>
        </w:tc>
        <w:tc>
          <w:tcPr>
            <w:tcW w:w="847"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140</w:t>
            </w:r>
          </w:p>
        </w:tc>
        <w:tc>
          <w:tcPr>
            <w:tcW w:w="903" w:type="dxa"/>
            <w:gridSpan w:val="2"/>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110</w:t>
            </w:r>
          </w:p>
        </w:tc>
        <w:tc>
          <w:tcPr>
            <w:tcW w:w="3011"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不锈钢消音器</w:t>
            </w:r>
          </w:p>
        </w:tc>
        <w:tc>
          <w:tcPr>
            <w:tcW w:w="982" w:type="dxa"/>
            <w:gridSpan w:val="2"/>
            <w:vMerge w:val="continue"/>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p>
        </w:tc>
      </w:tr>
    </w:tbl>
    <w:p>
      <w:pPr>
        <w:pStyle w:val="33"/>
        <w:keepNext w:val="0"/>
        <w:keepLines w:val="0"/>
        <w:pageBreakBefore w:val="0"/>
        <w:widowControl w:val="0"/>
        <w:shd w:val="clear" w:color="auto" w:fill="auto"/>
        <w:kinsoku/>
        <w:wordWrap/>
        <w:overflowPunct/>
        <w:topLinePunct w:val="0"/>
        <w:autoSpaceDE/>
        <w:autoSpaceDN/>
        <w:bidi w:val="0"/>
        <w:adjustRightInd/>
        <w:snapToGrid/>
        <w:spacing w:before="313" w:beforeLines="10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企业应做好高噪设备的日常维护保养工作，使其处于良好的运转状态，避免不良状态下的声级增大而加剧对周围环境的影响。此外，注意各类栗的运行工况，使其在性能曲线最佳点运行，减少汽蚀和水流对泵壳的冲击噪声。</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（2）噪声传播途径上降低措施</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根据厂区功能分区，利用绿化隔离带降噪。</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6.1.4.3管理防治措施</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1）在本工程试运行期间的吹管噪声须严格控制，排汽口应安装小孔喷注、节流降压型消声器；运行调试时应预先向社会公示调试时间。</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结合电厂运行实际经验，为减少锅炉排汽偶发性噪声出现的几率，本电厂在机组投运时，应制定锅炉排汽的相关管理制度并将要求工作人员精心调整锅炉燃烧，保证压力在正常范围内波动，从而降低锅炉排汽发生几率，并纳入考核指标。事故情况下的排汽应分析排汽原因，按规定进行考核。</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3"/>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4"/>
          <w:szCs w:val="24"/>
          <w:u w:val="none"/>
          <w:lang w:val="en-US" w:eastAsia="en-US" w:bidi="zh-CN"/>
          <w14:textFill>
            <w14:solidFill>
              <w14:schemeClr w14:val="tx1"/>
            </w14:solidFill>
          </w14:textFill>
        </w:rPr>
        <w:t>6.1.4.4运输道路噪声</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合理安排运输计划，控制车速，禁止鸣笛，减少运输噪声的影响。</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6.1.5固体废物防治对策</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工程运行产生的固体废弃物（除尘灰及脱硫灰）既是污染源又是资源，具有潜在的利用价值，业主已与相关企业签订了除尘灰、脱硫灰综合利用协议。因此，正常工况下本工程固体废物均变废为宝，不会对周围环境产生不良影响。</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本项目在运营中产生的固体废物还有少量的生活垃圾，产生量约为90kg/d、27t/a。在站内办公生活区设垃圾箱，集中收集后，生活垃圾交由环卫部门统一清运。</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通过落实各项固废处置方法，固废对周围环境基本没有影响。</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6.1.6运行期环保措施汇总</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本工程运行期环境空气、水环境、固体废物、噪声、生态环境等要素的保护措施汇总见表6.1-4。</w:t>
      </w:r>
    </w:p>
    <w:p>
      <w:pPr>
        <w:pStyle w:val="40"/>
        <w:keepNext w:val="0"/>
        <w:keepLines w:val="0"/>
        <w:pageBreakBefore w:val="0"/>
        <w:widowControl w:val="0"/>
        <w:shd w:val="clear" w:color="auto" w:fill="auto"/>
        <w:tabs>
          <w:tab w:val="left" w:pos="2011"/>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 xml:space="preserve">6. </w:t>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 xml:space="preserve">1 </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-4</w:t>
      </w:r>
      <w:r>
        <w:rPr>
          <w:rFonts w:hint="eastAsia" w:ascii="Times New Roman" w:hAnsi="Times New Roman" w:eastAsia="黑体" w:cs="Times New Roman"/>
          <w:snapToGrid w:val="0"/>
          <w:color w:val="000000" w:themeColor="text1"/>
          <w:spacing w:val="0"/>
          <w:w w:val="100"/>
          <w:kern w:val="0"/>
          <w:position w:val="0"/>
          <w:sz w:val="21"/>
          <w:szCs w:val="21"/>
          <w:u w:val="none"/>
          <w:lang w:val="en-US" w:eastAsia="en-US" w:bidi="zh-CN"/>
          <w14:textFill>
            <w14:solidFill>
              <w14:schemeClr w14:val="tx1"/>
            </w14:solidFill>
          </w14:textFill>
        </w:rPr>
        <w:tab/>
      </w:r>
      <w:r>
        <w:rPr>
          <w:rFonts w:hint="eastAsia" w:ascii="Times New Roman" w:hAnsi="Times New Roman" w:eastAsia="黑体" w:cs="Times New Roman"/>
          <w:snapToGrid w:val="0"/>
          <w:color w:val="000000" w:themeColor="text1"/>
          <w:spacing w:val="0"/>
          <w:w w:val="100"/>
          <w:kern w:val="0"/>
          <w:position w:val="0"/>
          <w:sz w:val="21"/>
          <w:szCs w:val="21"/>
          <w:u w:val="none"/>
          <w:lang w:val="zh-CN" w:eastAsia="zh-CN" w:bidi="zh-CN"/>
          <w14:textFill>
            <w14:solidFill>
              <w14:schemeClr w14:val="tx1"/>
            </w14:solidFill>
          </w14:textFill>
        </w:rPr>
        <w:t>本工程运行期污染控制措施及效果一览表</w:t>
      </w:r>
    </w:p>
    <w:tbl>
      <w:tblPr>
        <w:tblStyle w:val="21"/>
        <w:tblW w:w="8326" w:type="dxa"/>
        <w:jc w:val="center"/>
        <w:tblInd w:w="0" w:type="dxa"/>
        <w:tblLayout w:type="fixed"/>
        <w:tblCellMar>
          <w:top w:w="0" w:type="dxa"/>
          <w:left w:w="10" w:type="dxa"/>
          <w:bottom w:w="0" w:type="dxa"/>
          <w:right w:w="10" w:type="dxa"/>
        </w:tblCellMar>
      </w:tblPr>
      <w:tblGrid>
        <w:gridCol w:w="513"/>
        <w:gridCol w:w="865"/>
        <w:gridCol w:w="1442"/>
        <w:gridCol w:w="3016"/>
        <w:gridCol w:w="2490"/>
      </w:tblGrid>
      <w:tr>
        <w:tblPrEx>
          <w:tblLayout w:type="fixed"/>
          <w:tblCellMar>
            <w:top w:w="0" w:type="dxa"/>
            <w:left w:w="10" w:type="dxa"/>
            <w:bottom w:w="0" w:type="dxa"/>
            <w:right w:w="10" w:type="dxa"/>
          </w:tblCellMar>
        </w:tblPrEx>
        <w:trPr>
          <w:trHeight w:val="326" w:hRule="exact"/>
          <w:jc w:val="center"/>
        </w:trPr>
        <w:tc>
          <w:tcPr>
            <w:tcW w:w="1378" w:type="dxa"/>
            <w:gridSpan w:val="2"/>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类型</w:t>
            </w:r>
          </w:p>
        </w:tc>
        <w:tc>
          <w:tcPr>
            <w:tcW w:w="1442"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措施名称</w:t>
            </w:r>
          </w:p>
        </w:tc>
        <w:tc>
          <w:tcPr>
            <w:tcW w:w="3016"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措施内容</w:t>
            </w:r>
          </w:p>
        </w:tc>
        <w:tc>
          <w:tcPr>
            <w:tcW w:w="2490" w:type="dxa"/>
            <w:tcBorders>
              <w:top w:val="single" w:color="auto" w:sz="4" w:space="0"/>
              <w:left w:val="single" w:color="auto" w:sz="4" w:space="0"/>
              <w:righ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措施效果</w:t>
            </w:r>
          </w:p>
        </w:tc>
      </w:tr>
      <w:tr>
        <w:tblPrEx>
          <w:tblLayout w:type="fixed"/>
          <w:tblCellMar>
            <w:top w:w="0" w:type="dxa"/>
            <w:left w:w="10" w:type="dxa"/>
            <w:bottom w:w="0" w:type="dxa"/>
            <w:right w:w="10" w:type="dxa"/>
          </w:tblCellMar>
        </w:tblPrEx>
        <w:trPr>
          <w:trHeight w:val="619" w:hRule="exact"/>
          <w:jc w:val="center"/>
        </w:trPr>
        <w:tc>
          <w:tcPr>
            <w:tcW w:w="513"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环</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境</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空</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气</w:t>
            </w:r>
          </w:p>
        </w:tc>
        <w:tc>
          <w:tcPr>
            <w:tcW w:w="865"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烟气防治</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措施</w:t>
            </w:r>
          </w:p>
        </w:tc>
        <w:tc>
          <w:tcPr>
            <w:tcW w:w="144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烟囱及烟道</w:t>
            </w:r>
          </w:p>
        </w:tc>
        <w:tc>
          <w:tcPr>
            <w:tcW w:w="3016"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一座</w:t>
            </w: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en-US"/>
                <w14:textFill>
                  <w14:solidFill>
                    <w14:schemeClr w14:val="tx1"/>
                  </w14:solidFill>
                </w14:textFill>
              </w:rPr>
              <w:t>80</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14:textFill>
                  <w14:solidFill>
                    <w14:schemeClr w14:val="tx1"/>
                  </w14:solidFill>
                </w14:textFill>
              </w:rPr>
              <w:t>m，</w:t>
            </w: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出口直径为</w:t>
            </w: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en-US"/>
                <w14:textFill>
                  <w14:solidFill>
                    <w14:schemeClr w14:val="tx1"/>
                  </w14:solidFill>
                </w14:textFill>
              </w:rPr>
              <w:t>4.5</w:t>
            </w:r>
            <w:r>
              <w:rPr>
                <w:rStyle w:val="41"/>
                <w:rFonts w:hint="default" w:ascii="Times New Roman" w:hAnsi="Times New Roman" w:eastAsia="宋体" w:cs="Times New Roman"/>
                <w:b w:val="0"/>
                <w:bCs w:val="0"/>
                <w:i w:val="0"/>
                <w:iCs w:val="0"/>
                <w:smallCaps w:val="0"/>
                <w:strike w:val="0"/>
                <w:color w:val="000000" w:themeColor="text1"/>
                <w:sz w:val="21"/>
                <w:szCs w:val="21"/>
                <w:lang w:val="en-US" w:eastAsia="en-US"/>
                <w14:textFill>
                  <w14:solidFill>
                    <w14:schemeClr w14:val="tx1"/>
                  </w14:solidFill>
                </w14:textFill>
              </w:rPr>
              <w:t>m</w:t>
            </w: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双套筒烟</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囱</w:t>
            </w:r>
          </w:p>
        </w:tc>
        <w:tc>
          <w:tcPr>
            <w:tcW w:w="249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易于污染物扩散</w:t>
            </w:r>
          </w:p>
        </w:tc>
      </w:tr>
      <w:tr>
        <w:tblPrEx>
          <w:tblLayout w:type="fixed"/>
          <w:tblCellMar>
            <w:top w:w="0" w:type="dxa"/>
            <w:left w:w="10" w:type="dxa"/>
            <w:bottom w:w="0" w:type="dxa"/>
            <w:right w:w="10" w:type="dxa"/>
          </w:tblCellMar>
        </w:tblPrEx>
        <w:trPr>
          <w:trHeight w:val="610" w:hRule="exact"/>
          <w:jc w:val="center"/>
        </w:trPr>
        <w:tc>
          <w:tcPr>
            <w:tcW w:w="513"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865"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144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除尘防治</w:t>
            </w:r>
          </w:p>
        </w:tc>
        <w:tc>
          <w:tcPr>
            <w:tcW w:w="301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布袋除尘器</w:t>
            </w:r>
          </w:p>
        </w:tc>
        <w:tc>
          <w:tcPr>
            <w:tcW w:w="2490" w:type="dxa"/>
            <w:tcBorders>
              <w:top w:val="single" w:color="auto" w:sz="4" w:space="0"/>
              <w:left w:val="single" w:color="auto" w:sz="4" w:space="0"/>
              <w:righ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 xml:space="preserve">烟囱出口烟尘浓度 </w:t>
            </w:r>
            <w:r>
              <w:rPr>
                <w:rStyle w:val="41"/>
                <w:rFonts w:hint="default" w:ascii="Times New Roman" w:hAnsi="Times New Roman" w:eastAsia="宋体" w:cs="Times New Roman"/>
                <w:b w:val="0"/>
                <w:bCs w:val="0"/>
                <w:i w:val="0"/>
                <w:iCs w:val="0"/>
                <w:smallCaps w:val="0"/>
                <w:strike w:val="0"/>
                <w:color w:val="000000" w:themeColor="text1"/>
                <w:sz w:val="21"/>
                <w:szCs w:val="21"/>
                <w:u w:val="none"/>
                <w:lang w:val="en-US" w:eastAsia="en-US"/>
                <w14:textFill>
                  <w14:solidFill>
                    <w14:schemeClr w14:val="tx1"/>
                  </w14:solidFill>
                </w14:textFill>
              </w:rPr>
              <w:t>＜5mg/Nm</w:t>
            </w:r>
            <w:r>
              <w:rPr>
                <w:rStyle w:val="41"/>
                <w:rFonts w:hint="default" w:ascii="Times New Roman" w:hAnsi="Times New Roman" w:eastAsia="宋体" w:cs="Times New Roman"/>
                <w:b w:val="0"/>
                <w:bCs w:val="0"/>
                <w:i w:val="0"/>
                <w:iCs w:val="0"/>
                <w:smallCaps w:val="0"/>
                <w:strike w:val="0"/>
                <w:color w:val="000000" w:themeColor="text1"/>
                <w:sz w:val="21"/>
                <w:szCs w:val="21"/>
                <w:u w:val="none"/>
                <w:vertAlign w:val="superscript"/>
                <w:lang w:val="en-US" w:eastAsia="en-US"/>
                <w14:textFill>
                  <w14:solidFill>
                    <w14:schemeClr w14:val="tx1"/>
                  </w14:solidFill>
                </w14:textFill>
              </w:rPr>
              <w:t>3</w:t>
            </w:r>
          </w:p>
        </w:tc>
      </w:tr>
      <w:tr>
        <w:tblPrEx>
          <w:tblLayout w:type="fixed"/>
          <w:tblCellMar>
            <w:top w:w="0" w:type="dxa"/>
            <w:left w:w="10" w:type="dxa"/>
            <w:bottom w:w="0" w:type="dxa"/>
            <w:right w:w="10" w:type="dxa"/>
          </w:tblCellMar>
        </w:tblPrEx>
        <w:trPr>
          <w:trHeight w:val="610" w:hRule="exact"/>
          <w:jc w:val="center"/>
        </w:trPr>
        <w:tc>
          <w:tcPr>
            <w:tcW w:w="513"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865"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144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脱硫设施</w:t>
            </w:r>
          </w:p>
        </w:tc>
        <w:tc>
          <w:tcPr>
            <w:tcW w:w="3016"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循环流化床锅炉内脱硫方案，炉后采用循 环流化床半干法</w:t>
            </w:r>
            <w:r>
              <w:rPr>
                <w:rStyle w:val="41"/>
                <w:rFonts w:hint="default" w:ascii="Times New Roman" w:hAnsi="Times New Roman" w:eastAsia="宋体" w:cs="Times New Roman"/>
                <w:b w:val="0"/>
                <w:bCs w:val="0"/>
                <w:i w:val="0"/>
                <w:iCs w:val="0"/>
                <w:smallCaps w:val="0"/>
                <w:strike w:val="0"/>
                <w:color w:val="000000" w:themeColor="text1"/>
                <w:sz w:val="21"/>
                <w:szCs w:val="21"/>
                <w:u w:val="none"/>
                <w:lang w:val="en-US" w:eastAsia="en-US"/>
                <w14:textFill>
                  <w14:solidFill>
                    <w14:schemeClr w14:val="tx1"/>
                  </w14:solidFill>
                </w14:textFill>
              </w:rPr>
              <w:t>（CFB）</w:t>
            </w: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脱硫工艺</w:t>
            </w:r>
          </w:p>
        </w:tc>
        <w:tc>
          <w:tcPr>
            <w:tcW w:w="249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烟囱出口</w:t>
            </w:r>
            <w:r>
              <w:rPr>
                <w:rStyle w:val="41"/>
                <w:rFonts w:hint="default" w:ascii="Times New Roman" w:hAnsi="Times New Roman" w:eastAsia="宋体" w:cs="Times New Roman"/>
                <w:b w:val="0"/>
                <w:bCs w:val="0"/>
                <w:i w:val="0"/>
                <w:iCs w:val="0"/>
                <w:smallCaps w:val="0"/>
                <w:strike w:val="0"/>
                <w:color w:val="000000" w:themeColor="text1"/>
                <w:sz w:val="21"/>
                <w:szCs w:val="21"/>
                <w:u w:val="none"/>
                <w:lang w:val="en-US" w:eastAsia="en-US"/>
                <w14:textFill>
                  <w14:solidFill>
                    <w14:schemeClr w14:val="tx1"/>
                  </w14:solidFill>
                </w14:textFill>
              </w:rPr>
              <w:t>S</w:t>
            </w:r>
            <w:r>
              <w:rPr>
                <w:rStyle w:val="41"/>
                <w:rFonts w:hint="eastAsia" w:ascii="Times New Roman" w:hAnsi="Times New Roman" w:eastAsia="宋体" w:cs="Times New Roman"/>
                <w:b w:val="0"/>
                <w:bCs w:val="0"/>
                <w:i w:val="0"/>
                <w:iCs w:val="0"/>
                <w:smallCaps w:val="0"/>
                <w:strike w:val="0"/>
                <w:color w:val="000000" w:themeColor="text1"/>
                <w:sz w:val="21"/>
                <w:szCs w:val="21"/>
                <w:u w:val="none"/>
                <w:lang w:val="en-US" w:eastAsia="en-US"/>
                <w14:textFill>
                  <w14:solidFill>
                    <w14:schemeClr w14:val="tx1"/>
                  </w14:solidFill>
                </w14:textFill>
              </w:rPr>
              <w:t>O</w:t>
            </w:r>
            <w:r>
              <w:rPr>
                <w:rStyle w:val="41"/>
                <w:rFonts w:hint="default" w:ascii="Times New Roman" w:hAnsi="Times New Roman" w:eastAsia="宋体" w:cs="Times New Roman"/>
                <w:b w:val="0"/>
                <w:bCs w:val="0"/>
                <w:i w:val="0"/>
                <w:iCs w:val="0"/>
                <w:smallCaps w:val="0"/>
                <w:strike w:val="0"/>
                <w:color w:val="000000" w:themeColor="text1"/>
                <w:sz w:val="21"/>
                <w:szCs w:val="21"/>
                <w:u w:val="none"/>
                <w:vertAlign w:val="subscript"/>
                <w:lang w:val="en-US" w:eastAsia="en-US"/>
                <w14:textFill>
                  <w14:solidFill>
                    <w14:schemeClr w14:val="tx1"/>
                  </w14:solidFill>
                </w14:textFill>
              </w:rPr>
              <w:t>2</w:t>
            </w: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浓度</w:t>
            </w:r>
            <w:r>
              <w:rPr>
                <w:rStyle w:val="41"/>
                <w:rFonts w:hint="default" w:ascii="Times New Roman" w:hAnsi="Times New Roman" w:eastAsia="宋体" w:cs="Times New Roman"/>
                <w:b w:val="0"/>
                <w:bCs w:val="0"/>
                <w:i w:val="0"/>
                <w:iCs w:val="0"/>
                <w:smallCaps w:val="0"/>
                <w:strike w:val="0"/>
                <w:color w:val="000000" w:themeColor="text1"/>
                <w:sz w:val="21"/>
                <w:szCs w:val="21"/>
                <w:u w:val="none"/>
                <w:lang w:val="en-US" w:eastAsia="en-US"/>
                <w14:textFill>
                  <w14:solidFill>
                    <w14:schemeClr w14:val="tx1"/>
                  </w14:solidFill>
                </w14:textFill>
              </w:rPr>
              <w:t>＜35mg/Nm</w:t>
            </w:r>
            <w:r>
              <w:rPr>
                <w:rStyle w:val="41"/>
                <w:rFonts w:hint="default" w:ascii="Times New Roman" w:hAnsi="Times New Roman" w:eastAsia="宋体" w:cs="Times New Roman"/>
                <w:b w:val="0"/>
                <w:bCs w:val="0"/>
                <w:i w:val="0"/>
                <w:iCs w:val="0"/>
                <w:smallCaps w:val="0"/>
                <w:strike w:val="0"/>
                <w:color w:val="000000" w:themeColor="text1"/>
                <w:sz w:val="21"/>
                <w:szCs w:val="21"/>
                <w:u w:val="none"/>
                <w:vertAlign w:val="superscript"/>
                <w:lang w:val="en-US" w:eastAsia="en-US"/>
                <w14:textFill>
                  <w14:solidFill>
                    <w14:schemeClr w14:val="tx1"/>
                  </w14:solidFill>
                </w14:textFill>
              </w:rPr>
              <w:t>3</w:t>
            </w:r>
          </w:p>
        </w:tc>
      </w:tr>
      <w:tr>
        <w:tblPrEx>
          <w:tblLayout w:type="fixed"/>
          <w:tblCellMar>
            <w:top w:w="0" w:type="dxa"/>
            <w:left w:w="10" w:type="dxa"/>
            <w:bottom w:w="0" w:type="dxa"/>
            <w:right w:w="10" w:type="dxa"/>
          </w:tblCellMar>
        </w:tblPrEx>
        <w:trPr>
          <w:trHeight w:val="629" w:hRule="exact"/>
          <w:jc w:val="center"/>
        </w:trPr>
        <w:tc>
          <w:tcPr>
            <w:tcW w:w="513"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865"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1442"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lang w:val="en-US" w:eastAsia="en-US"/>
                <w14:textFill>
                  <w14:solidFill>
                    <w14:schemeClr w14:val="tx1"/>
                  </w14:solidFill>
                </w14:textFill>
              </w:rPr>
              <w:t>NOx</w:t>
            </w: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防治对策</w:t>
            </w:r>
          </w:p>
        </w:tc>
        <w:tc>
          <w:tcPr>
            <w:tcW w:w="3016"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采用</w:t>
            </w:r>
            <w:r>
              <w:rPr>
                <w:rStyle w:val="41"/>
                <w:rFonts w:hint="default" w:ascii="Times New Roman" w:hAnsi="Times New Roman" w:eastAsia="宋体" w:cs="Times New Roman"/>
                <w:b w:val="0"/>
                <w:bCs w:val="0"/>
                <w:i w:val="0"/>
                <w:iCs w:val="0"/>
                <w:smallCaps w:val="0"/>
                <w:strike w:val="0"/>
                <w:color w:val="000000" w:themeColor="text1"/>
                <w:sz w:val="21"/>
                <w:szCs w:val="21"/>
                <w:u w:val="none"/>
                <w:lang w:val="en-US" w:eastAsia="en-US"/>
                <w14:textFill>
                  <w14:solidFill>
                    <w14:schemeClr w14:val="tx1"/>
                  </w14:solidFill>
                </w14:textFill>
              </w:rPr>
              <w:t>S</w:t>
            </w:r>
            <w:r>
              <w:rPr>
                <w:rStyle w:val="41"/>
                <w:rFonts w:hint="eastAsia" w:ascii="Times New Roman" w:hAnsi="Times New Roman" w:eastAsia="宋体" w:cs="Times New Roman"/>
                <w:b w:val="0"/>
                <w:bCs w:val="0"/>
                <w:i w:val="0"/>
                <w:iCs w:val="0"/>
                <w:smallCaps w:val="0"/>
                <w:strike w:val="0"/>
                <w:color w:val="000000" w:themeColor="text1"/>
                <w:sz w:val="21"/>
                <w:szCs w:val="21"/>
                <w:u w:val="none"/>
                <w:lang w:val="en-US" w:eastAsia="en-US"/>
                <w14:textFill>
                  <w14:solidFill>
                    <w14:schemeClr w14:val="tx1"/>
                  </w14:solidFill>
                </w14:textFill>
              </w:rPr>
              <w:t>N</w:t>
            </w:r>
            <w:r>
              <w:rPr>
                <w:rStyle w:val="41"/>
                <w:rFonts w:hint="default" w:ascii="Times New Roman" w:hAnsi="Times New Roman" w:eastAsia="宋体" w:cs="Times New Roman"/>
                <w:b w:val="0"/>
                <w:bCs w:val="0"/>
                <w:i w:val="0"/>
                <w:iCs w:val="0"/>
                <w:smallCaps w:val="0"/>
                <w:strike w:val="0"/>
                <w:color w:val="000000" w:themeColor="text1"/>
                <w:sz w:val="21"/>
                <w:szCs w:val="21"/>
                <w:u w:val="none"/>
                <w:lang w:val="en-US" w:eastAsia="en-US"/>
                <w14:textFill>
                  <w14:solidFill>
                    <w14:schemeClr w14:val="tx1"/>
                  </w14:solidFill>
                </w14:textFill>
              </w:rPr>
              <w:t>CR</w:t>
            </w: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脱硝装置脱硝</w:t>
            </w:r>
          </w:p>
        </w:tc>
        <w:tc>
          <w:tcPr>
            <w:tcW w:w="2490" w:type="dxa"/>
            <w:tcBorders>
              <w:top w:val="single" w:color="auto" w:sz="4" w:space="0"/>
              <w:left w:val="single" w:color="auto" w:sz="4" w:space="0"/>
              <w:righ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 xml:space="preserve">烟囱出口 </w:t>
            </w:r>
            <w:r>
              <w:rPr>
                <w:rStyle w:val="41"/>
                <w:rFonts w:hint="default" w:ascii="Times New Roman" w:hAnsi="Times New Roman" w:eastAsia="宋体" w:cs="Times New Roman"/>
                <w:b w:val="0"/>
                <w:bCs w:val="0"/>
                <w:i w:val="0"/>
                <w:iCs w:val="0"/>
                <w:smallCaps w:val="0"/>
                <w:strike w:val="0"/>
                <w:color w:val="000000" w:themeColor="text1"/>
                <w:sz w:val="21"/>
                <w:szCs w:val="21"/>
                <w:u w:val="none"/>
                <w:lang w:val="en-US" w:eastAsia="en-US"/>
                <w14:textFill>
                  <w14:solidFill>
                    <w14:schemeClr w14:val="tx1"/>
                  </w14:solidFill>
                </w14:textFill>
              </w:rPr>
              <w:t>NOx</w:t>
            </w: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浓度</w:t>
            </w:r>
            <w:r>
              <w:rPr>
                <w:rStyle w:val="41"/>
                <w:rFonts w:hint="default" w:ascii="Times New Roman" w:hAnsi="Times New Roman" w:eastAsia="宋体" w:cs="Times New Roman"/>
                <w:b w:val="0"/>
                <w:bCs w:val="0"/>
                <w:i w:val="0"/>
                <w:iCs w:val="0"/>
                <w:smallCaps w:val="0"/>
                <w:strike w:val="0"/>
                <w:color w:val="000000" w:themeColor="text1"/>
                <w:sz w:val="21"/>
                <w:szCs w:val="21"/>
                <w:u w:val="none"/>
                <w:lang w:val="en-US" w:eastAsia="en-US"/>
                <w14:textFill>
                  <w14:solidFill>
                    <w14:schemeClr w14:val="tx1"/>
                  </w14:solidFill>
                </w14:textFill>
              </w:rPr>
              <w:t>＜50mg/Nm</w:t>
            </w:r>
            <w:r>
              <w:rPr>
                <w:rStyle w:val="41"/>
                <w:rFonts w:hint="default" w:ascii="Times New Roman" w:hAnsi="Times New Roman" w:eastAsia="宋体" w:cs="Times New Roman"/>
                <w:b w:val="0"/>
                <w:bCs w:val="0"/>
                <w:i w:val="0"/>
                <w:iCs w:val="0"/>
                <w:smallCaps w:val="0"/>
                <w:strike w:val="0"/>
                <w:color w:val="000000" w:themeColor="text1"/>
                <w:sz w:val="21"/>
                <w:szCs w:val="21"/>
                <w:u w:val="none"/>
                <w:vertAlign w:val="superscript"/>
                <w:lang w:val="en-US" w:eastAsia="en-US"/>
                <w14:textFill>
                  <w14:solidFill>
                    <w14:schemeClr w14:val="tx1"/>
                  </w14:solidFill>
                </w14:textFill>
              </w:rPr>
              <w:t>3</w:t>
            </w:r>
          </w:p>
        </w:tc>
      </w:tr>
      <w:tr>
        <w:tblPrEx>
          <w:tblLayout w:type="fixed"/>
          <w:tblCellMar>
            <w:top w:w="0" w:type="dxa"/>
            <w:left w:w="10" w:type="dxa"/>
            <w:bottom w:w="0" w:type="dxa"/>
            <w:right w:w="10" w:type="dxa"/>
          </w:tblCellMar>
        </w:tblPrEx>
        <w:trPr>
          <w:trHeight w:val="407" w:hRule="exact"/>
          <w:jc w:val="center"/>
        </w:trPr>
        <w:tc>
          <w:tcPr>
            <w:tcW w:w="513"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865"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1442"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烟气监控</w:t>
            </w:r>
          </w:p>
        </w:tc>
        <w:tc>
          <w:tcPr>
            <w:tcW w:w="3016"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安装烟气连续监测装置</w:t>
            </w:r>
          </w:p>
        </w:tc>
        <w:tc>
          <w:tcPr>
            <w:tcW w:w="2490" w:type="dxa"/>
            <w:vMerge w:val="restart"/>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实现实时监测和人工监控</w:t>
            </w:r>
          </w:p>
        </w:tc>
      </w:tr>
      <w:tr>
        <w:tblPrEx>
          <w:tblLayout w:type="fixed"/>
          <w:tblCellMar>
            <w:top w:w="0" w:type="dxa"/>
            <w:left w:w="10" w:type="dxa"/>
            <w:bottom w:w="0" w:type="dxa"/>
            <w:right w:w="10" w:type="dxa"/>
          </w:tblCellMar>
        </w:tblPrEx>
        <w:trPr>
          <w:trHeight w:val="579" w:hRule="exact"/>
          <w:jc w:val="center"/>
        </w:trPr>
        <w:tc>
          <w:tcPr>
            <w:tcW w:w="513"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865"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1442"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3016"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烟囱预留永久性监测口和监测平台</w:t>
            </w:r>
          </w:p>
        </w:tc>
        <w:tc>
          <w:tcPr>
            <w:tcW w:w="2490" w:type="dxa"/>
            <w:vMerge w:val="continue"/>
            <w:tcBorders>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r>
      <w:tr>
        <w:tblPrEx>
          <w:tblLayout w:type="fixed"/>
          <w:tblCellMar>
            <w:top w:w="0" w:type="dxa"/>
            <w:left w:w="10" w:type="dxa"/>
            <w:bottom w:w="0" w:type="dxa"/>
            <w:right w:w="10" w:type="dxa"/>
          </w:tblCellMar>
        </w:tblPrEx>
        <w:trPr>
          <w:trHeight w:val="1488" w:hRule="exact"/>
          <w:jc w:val="center"/>
        </w:trPr>
        <w:tc>
          <w:tcPr>
            <w:tcW w:w="513"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86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无组织排</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放源污染</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防治措施</w:t>
            </w:r>
          </w:p>
        </w:tc>
        <w:tc>
          <w:tcPr>
            <w:tcW w:w="144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灰库、渣仓、生石灰仓和石灰石仓防尘</w:t>
            </w:r>
          </w:p>
        </w:tc>
        <w:tc>
          <w:tcPr>
            <w:tcW w:w="301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气力输送，配置除尘装置</w:t>
            </w:r>
          </w:p>
        </w:tc>
        <w:tc>
          <w:tcPr>
            <w:tcW w:w="249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有效防止渣</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仓、灰库、生石灰粉仓、</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石灰石粉仓的粉尘污染</w:t>
            </w:r>
          </w:p>
        </w:tc>
      </w:tr>
      <w:tr>
        <w:tblPrEx>
          <w:tblLayout w:type="fixed"/>
          <w:tblCellMar>
            <w:top w:w="0" w:type="dxa"/>
            <w:left w:w="10" w:type="dxa"/>
            <w:bottom w:w="0" w:type="dxa"/>
            <w:right w:w="10" w:type="dxa"/>
          </w:tblCellMar>
        </w:tblPrEx>
        <w:trPr>
          <w:trHeight w:val="352" w:hRule="exact"/>
          <w:jc w:val="center"/>
        </w:trPr>
        <w:tc>
          <w:tcPr>
            <w:tcW w:w="513"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水</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环</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境</w:t>
            </w:r>
          </w:p>
        </w:tc>
        <w:tc>
          <w:tcPr>
            <w:tcW w:w="865"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用水</w:t>
            </w:r>
          </w:p>
        </w:tc>
        <w:tc>
          <w:tcPr>
            <w:tcW w:w="1442"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节水措施</w:t>
            </w:r>
          </w:p>
        </w:tc>
        <w:tc>
          <w:tcPr>
            <w:tcW w:w="3016"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工业、生活废水处理后复用</w:t>
            </w:r>
          </w:p>
        </w:tc>
        <w:tc>
          <w:tcPr>
            <w:tcW w:w="2490" w:type="dxa"/>
            <w:vMerge w:val="restart"/>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节约用水</w:t>
            </w:r>
          </w:p>
        </w:tc>
      </w:tr>
      <w:tr>
        <w:tblPrEx>
          <w:tblLayout w:type="fixed"/>
          <w:tblCellMar>
            <w:top w:w="0" w:type="dxa"/>
            <w:left w:w="10" w:type="dxa"/>
            <w:bottom w:w="0" w:type="dxa"/>
            <w:right w:w="10" w:type="dxa"/>
          </w:tblCellMar>
        </w:tblPrEx>
        <w:trPr>
          <w:trHeight w:val="312" w:hRule="exact"/>
          <w:jc w:val="center"/>
        </w:trPr>
        <w:tc>
          <w:tcPr>
            <w:tcW w:w="513"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865"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1442"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3016"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全厂建立水务监测系统</w:t>
            </w:r>
          </w:p>
        </w:tc>
        <w:tc>
          <w:tcPr>
            <w:tcW w:w="2490" w:type="dxa"/>
            <w:vMerge w:val="continue"/>
            <w:tcBorders>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r>
      <w:tr>
        <w:tblPrEx>
          <w:tblLayout w:type="fixed"/>
          <w:tblCellMar>
            <w:top w:w="0" w:type="dxa"/>
            <w:left w:w="10" w:type="dxa"/>
            <w:bottom w:w="0" w:type="dxa"/>
            <w:right w:w="10" w:type="dxa"/>
          </w:tblCellMar>
        </w:tblPrEx>
        <w:trPr>
          <w:trHeight w:val="614" w:hRule="exact"/>
          <w:jc w:val="center"/>
        </w:trPr>
        <w:tc>
          <w:tcPr>
            <w:tcW w:w="513"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865"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废水</w:t>
            </w:r>
          </w:p>
        </w:tc>
        <w:tc>
          <w:tcPr>
            <w:tcW w:w="144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工业废水处理站</w:t>
            </w:r>
          </w:p>
        </w:tc>
        <w:tc>
          <w:tcPr>
            <w:tcW w:w="3016"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98" w:lineRule="exact"/>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汇集后进入废水站清水池回用，酸、碱性 废水中和后至除灰系统</w:t>
            </w:r>
          </w:p>
        </w:tc>
        <w:tc>
          <w:tcPr>
            <w:tcW w:w="249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处理后回用</w:t>
            </w:r>
          </w:p>
        </w:tc>
      </w:tr>
      <w:tr>
        <w:tblPrEx>
          <w:tblLayout w:type="fixed"/>
          <w:tblCellMar>
            <w:top w:w="0" w:type="dxa"/>
            <w:left w:w="10" w:type="dxa"/>
            <w:bottom w:w="0" w:type="dxa"/>
            <w:right w:w="10" w:type="dxa"/>
          </w:tblCellMar>
        </w:tblPrEx>
        <w:trPr>
          <w:trHeight w:val="810" w:hRule="exact"/>
          <w:jc w:val="center"/>
        </w:trPr>
        <w:tc>
          <w:tcPr>
            <w:tcW w:w="513"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865"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144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生活污水处理站</w:t>
            </w:r>
          </w:p>
        </w:tc>
        <w:tc>
          <w:tcPr>
            <w:tcW w:w="301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二级生化接触氧化处理</w:t>
            </w:r>
          </w:p>
        </w:tc>
        <w:tc>
          <w:tcPr>
            <w:tcW w:w="2490" w:type="dxa"/>
            <w:tcBorders>
              <w:top w:val="single" w:color="auto" w:sz="4" w:space="0"/>
              <w:left w:val="single" w:color="auto" w:sz="4" w:space="0"/>
              <w:righ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夏季绿化及道路浇洒，冬季排入 清水池回用</w:t>
            </w:r>
          </w:p>
        </w:tc>
      </w:tr>
      <w:tr>
        <w:tblPrEx>
          <w:tblLayout w:type="fixed"/>
          <w:tblCellMar>
            <w:top w:w="0" w:type="dxa"/>
            <w:left w:w="10" w:type="dxa"/>
            <w:bottom w:w="0" w:type="dxa"/>
            <w:right w:w="10" w:type="dxa"/>
          </w:tblCellMar>
        </w:tblPrEx>
        <w:trPr>
          <w:trHeight w:val="610" w:hRule="exact"/>
          <w:jc w:val="center"/>
        </w:trPr>
        <w:tc>
          <w:tcPr>
            <w:tcW w:w="513" w:type="dxa"/>
            <w:tcBorders>
              <w:top w:val="single" w:color="auto" w:sz="4" w:space="0"/>
              <w:left w:val="single" w:color="auto" w:sz="4" w:space="0"/>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865"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144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厂区防渗</w:t>
            </w:r>
          </w:p>
        </w:tc>
        <w:tc>
          <w:tcPr>
            <w:tcW w:w="3016"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罐区、事故水池等区域采取严格的水泥硬</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化、防渗和防腐措施</w:t>
            </w:r>
          </w:p>
        </w:tc>
        <w:tc>
          <w:tcPr>
            <w:tcW w:w="249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防止污染地下水</w:t>
            </w:r>
          </w:p>
        </w:tc>
      </w:tr>
      <w:tr>
        <w:tblPrEx>
          <w:tblLayout w:type="fixed"/>
          <w:tblCellMar>
            <w:top w:w="0" w:type="dxa"/>
            <w:left w:w="10" w:type="dxa"/>
            <w:bottom w:w="0" w:type="dxa"/>
            <w:right w:w="10" w:type="dxa"/>
          </w:tblCellMar>
        </w:tblPrEx>
        <w:trPr>
          <w:trHeight w:val="619" w:hRule="exact"/>
          <w:jc w:val="center"/>
        </w:trPr>
        <w:tc>
          <w:tcPr>
            <w:tcW w:w="513"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固</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废</w:t>
            </w:r>
          </w:p>
        </w:tc>
        <w:tc>
          <w:tcPr>
            <w:tcW w:w="865"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炉渣、脱</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硫灰</w:t>
            </w:r>
          </w:p>
        </w:tc>
        <w:tc>
          <w:tcPr>
            <w:tcW w:w="144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灰渣综合利用</w:t>
            </w:r>
          </w:p>
        </w:tc>
        <w:tc>
          <w:tcPr>
            <w:tcW w:w="301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干灰库、</w:t>
            </w:r>
            <w:r>
              <w:rPr>
                <w:rStyle w:val="41"/>
                <w:rFonts w:hint="eastAsia" w:ascii="Times New Roman" w:hAnsi="Times New Roman" w:eastAsia="宋体" w:cs="Times New Roman"/>
                <w:b w:val="0"/>
                <w:bCs w:val="0"/>
                <w:i w:val="0"/>
                <w:iCs w:val="0"/>
                <w:smallCaps w:val="0"/>
                <w:strike w:val="0"/>
                <w:color w:val="000000" w:themeColor="text1"/>
                <w:sz w:val="21"/>
                <w:szCs w:val="21"/>
                <w:u w:val="none"/>
                <w:lang w:val="en-US" w:eastAsia="en-US"/>
                <w14:textFill>
                  <w14:solidFill>
                    <w14:schemeClr w14:val="tx1"/>
                  </w14:solidFill>
                </w14:textFill>
              </w:rPr>
              <w:t>贮</w:t>
            </w: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灰场</w:t>
            </w:r>
          </w:p>
        </w:tc>
        <w:tc>
          <w:tcPr>
            <w:tcW w:w="2490" w:type="dxa"/>
            <w:vMerge w:val="restart"/>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正常工况下全部综合利用</w:t>
            </w:r>
          </w:p>
        </w:tc>
      </w:tr>
      <w:tr>
        <w:tblPrEx>
          <w:tblLayout w:type="fixed"/>
          <w:tblCellMar>
            <w:top w:w="0" w:type="dxa"/>
            <w:left w:w="10" w:type="dxa"/>
            <w:bottom w:w="0" w:type="dxa"/>
            <w:right w:w="10" w:type="dxa"/>
          </w:tblCellMar>
        </w:tblPrEx>
        <w:trPr>
          <w:trHeight w:val="619" w:hRule="exact"/>
          <w:jc w:val="center"/>
        </w:trPr>
        <w:tc>
          <w:tcPr>
            <w:tcW w:w="513"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86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粉煤灰</w:t>
            </w:r>
          </w:p>
        </w:tc>
        <w:tc>
          <w:tcPr>
            <w:tcW w:w="1442"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不新设置灰场，综合利用</w:t>
            </w:r>
          </w:p>
        </w:tc>
        <w:tc>
          <w:tcPr>
            <w:tcW w:w="3016"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除尘器捕集送贮灰库至湿式搅拌后由密封罐车拉运综合利用</w:t>
            </w:r>
          </w:p>
        </w:tc>
        <w:tc>
          <w:tcPr>
            <w:tcW w:w="2490" w:type="dxa"/>
            <w:vMerge w:val="continue"/>
            <w:tcBorders>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r>
      <w:tr>
        <w:tblPrEx>
          <w:tblLayout w:type="fixed"/>
          <w:tblCellMar>
            <w:top w:w="0" w:type="dxa"/>
            <w:left w:w="10" w:type="dxa"/>
            <w:bottom w:w="0" w:type="dxa"/>
            <w:right w:w="10" w:type="dxa"/>
          </w:tblCellMar>
        </w:tblPrEx>
        <w:trPr>
          <w:trHeight w:val="610" w:hRule="exact"/>
          <w:jc w:val="center"/>
        </w:trPr>
        <w:tc>
          <w:tcPr>
            <w:tcW w:w="513"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86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生活垃圾</w:t>
            </w:r>
          </w:p>
        </w:tc>
        <w:tc>
          <w:tcPr>
            <w:tcW w:w="1442"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设集中垃圾箱，定期清运</w:t>
            </w:r>
          </w:p>
        </w:tc>
        <w:tc>
          <w:tcPr>
            <w:tcW w:w="301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集中收集后运往克拉玛依市垃圾场</w:t>
            </w:r>
          </w:p>
        </w:tc>
        <w:tc>
          <w:tcPr>
            <w:tcW w:w="249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无散乱堆放，避免二次污染</w:t>
            </w:r>
          </w:p>
        </w:tc>
      </w:tr>
      <w:tr>
        <w:tblPrEx>
          <w:tblLayout w:type="fixed"/>
          <w:tblCellMar>
            <w:top w:w="0" w:type="dxa"/>
            <w:left w:w="10" w:type="dxa"/>
            <w:bottom w:w="0" w:type="dxa"/>
            <w:right w:w="10" w:type="dxa"/>
          </w:tblCellMar>
        </w:tblPrEx>
        <w:trPr>
          <w:trHeight w:val="912" w:hRule="exact"/>
          <w:jc w:val="center"/>
        </w:trPr>
        <w:tc>
          <w:tcPr>
            <w:tcW w:w="513" w:type="dxa"/>
            <w:vMerge w:val="restart"/>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声</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环</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境</w:t>
            </w:r>
          </w:p>
        </w:tc>
        <w:tc>
          <w:tcPr>
            <w:tcW w:w="86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设备噪声</w:t>
            </w:r>
          </w:p>
        </w:tc>
        <w:tc>
          <w:tcPr>
            <w:tcW w:w="144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消声设施</w:t>
            </w:r>
          </w:p>
        </w:tc>
        <w:tc>
          <w:tcPr>
            <w:tcW w:w="301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锅炉排气口安装消声器，送风机吸风口设导流装置，契税管道设计防震，防冲击</w:t>
            </w:r>
          </w:p>
        </w:tc>
        <w:tc>
          <w:tcPr>
            <w:tcW w:w="2490" w:type="dxa"/>
            <w:vMerge w:val="restart"/>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消减噪声源强，减小厂内和厂界</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噪声</w:t>
            </w:r>
          </w:p>
        </w:tc>
      </w:tr>
      <w:tr>
        <w:tblPrEx>
          <w:tblLayout w:type="fixed"/>
          <w:tblCellMar>
            <w:top w:w="0" w:type="dxa"/>
            <w:left w:w="10" w:type="dxa"/>
            <w:bottom w:w="0" w:type="dxa"/>
            <w:right w:w="10" w:type="dxa"/>
          </w:tblCellMar>
        </w:tblPrEx>
        <w:trPr>
          <w:trHeight w:val="317" w:hRule="exact"/>
          <w:jc w:val="center"/>
        </w:trPr>
        <w:tc>
          <w:tcPr>
            <w:tcW w:w="513"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865"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绿化降噪</w:t>
            </w:r>
          </w:p>
        </w:tc>
        <w:tc>
          <w:tcPr>
            <w:tcW w:w="1442"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降噪设施</w:t>
            </w:r>
          </w:p>
        </w:tc>
        <w:tc>
          <w:tcPr>
            <w:tcW w:w="3016"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厂区功能分区建设绿化带进行降噪</w:t>
            </w:r>
          </w:p>
        </w:tc>
        <w:tc>
          <w:tcPr>
            <w:tcW w:w="2490" w:type="dxa"/>
            <w:vMerge w:val="continue"/>
            <w:tcBorders>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r>
      <w:tr>
        <w:tblPrEx>
          <w:tblLayout w:type="fixed"/>
          <w:tblCellMar>
            <w:top w:w="0" w:type="dxa"/>
            <w:left w:w="10" w:type="dxa"/>
            <w:bottom w:w="0" w:type="dxa"/>
            <w:right w:w="10" w:type="dxa"/>
          </w:tblCellMar>
        </w:tblPrEx>
        <w:trPr>
          <w:trHeight w:val="312" w:hRule="exact"/>
          <w:jc w:val="center"/>
        </w:trPr>
        <w:tc>
          <w:tcPr>
            <w:tcW w:w="513"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865"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平面布置</w:t>
            </w:r>
          </w:p>
        </w:tc>
        <w:tc>
          <w:tcPr>
            <w:tcW w:w="1442"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生态环境</w:t>
            </w:r>
          </w:p>
        </w:tc>
        <w:tc>
          <w:tcPr>
            <w:tcW w:w="3016"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厂区绿化</w:t>
            </w:r>
          </w:p>
        </w:tc>
        <w:tc>
          <w:tcPr>
            <w:tcW w:w="2490" w:type="dxa"/>
            <w:vMerge w:val="continue"/>
            <w:tcBorders>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r>
      <w:tr>
        <w:tblPrEx>
          <w:tblLayout w:type="fixed"/>
          <w:tblCellMar>
            <w:top w:w="0" w:type="dxa"/>
            <w:left w:w="10" w:type="dxa"/>
            <w:bottom w:w="0" w:type="dxa"/>
            <w:right w:w="10" w:type="dxa"/>
          </w:tblCellMar>
        </w:tblPrEx>
        <w:trPr>
          <w:trHeight w:val="312" w:hRule="exact"/>
          <w:jc w:val="center"/>
        </w:trPr>
        <w:tc>
          <w:tcPr>
            <w:tcW w:w="513" w:type="dxa"/>
            <w:vMerge w:val="continue"/>
            <w:tcBorders>
              <w:lef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c>
          <w:tcPr>
            <w:tcW w:w="865"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管理措施</w:t>
            </w:r>
          </w:p>
        </w:tc>
        <w:tc>
          <w:tcPr>
            <w:tcW w:w="1442"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管理制度</w:t>
            </w:r>
          </w:p>
        </w:tc>
        <w:tc>
          <w:tcPr>
            <w:tcW w:w="3016"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制定锅炉排气的相关管理制度</w:t>
            </w:r>
          </w:p>
        </w:tc>
        <w:tc>
          <w:tcPr>
            <w:tcW w:w="2490" w:type="dxa"/>
            <w:vMerge w:val="continue"/>
            <w:tcBorders>
              <w:left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p>
        </w:tc>
      </w:tr>
      <w:tr>
        <w:tblPrEx>
          <w:tblLayout w:type="fixed"/>
          <w:tblCellMar>
            <w:top w:w="0" w:type="dxa"/>
            <w:left w:w="10" w:type="dxa"/>
            <w:bottom w:w="0" w:type="dxa"/>
            <w:right w:w="10" w:type="dxa"/>
          </w:tblCellMar>
        </w:tblPrEx>
        <w:trPr>
          <w:trHeight w:val="1214" w:hRule="exact"/>
          <w:jc w:val="center"/>
        </w:trPr>
        <w:tc>
          <w:tcPr>
            <w:tcW w:w="513"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环</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境</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风</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险</w:t>
            </w:r>
          </w:p>
        </w:tc>
        <w:tc>
          <w:tcPr>
            <w:tcW w:w="86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液氨罐区</w:t>
            </w:r>
          </w:p>
        </w:tc>
        <w:tc>
          <w:tcPr>
            <w:tcW w:w="144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报警系统、消防系统、移动灭火装置、应急预案等</w:t>
            </w:r>
          </w:p>
        </w:tc>
        <w:tc>
          <w:tcPr>
            <w:tcW w:w="3016"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设置消防灭火和液氨泄漏稀释吸收的消 防喷淋系统，编制应急预案</w:t>
            </w:r>
          </w:p>
        </w:tc>
        <w:tc>
          <w:tcPr>
            <w:tcW w:w="2490" w:type="dxa"/>
            <w:tcBorders>
              <w:top w:val="single" w:color="auto" w:sz="4" w:space="0"/>
              <w:left w:val="single" w:color="auto" w:sz="4" w:space="0"/>
              <w:righ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满足《国家能源局关于《燃煤发 电厂液氨罐区安全管理规定》的通知》（国能安全[2014]328号）要求</w:t>
            </w:r>
          </w:p>
        </w:tc>
      </w:tr>
      <w:tr>
        <w:tblPrEx>
          <w:tblLayout w:type="fixed"/>
          <w:tblCellMar>
            <w:top w:w="0" w:type="dxa"/>
            <w:left w:w="10" w:type="dxa"/>
            <w:bottom w:w="0" w:type="dxa"/>
            <w:right w:w="10" w:type="dxa"/>
          </w:tblCellMar>
        </w:tblPrEx>
        <w:trPr>
          <w:trHeight w:val="331" w:hRule="exact"/>
          <w:jc w:val="center"/>
        </w:trPr>
        <w:tc>
          <w:tcPr>
            <w:tcW w:w="1378" w:type="dxa"/>
            <w:gridSpan w:val="2"/>
            <w:tcBorders>
              <w:top w:val="single" w:color="auto" w:sz="4" w:space="0"/>
              <w:left w:val="single" w:color="auto" w:sz="4" w:space="0"/>
              <w:bottom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生态环境</w:t>
            </w:r>
          </w:p>
        </w:tc>
        <w:tc>
          <w:tcPr>
            <w:tcW w:w="1442" w:type="dxa"/>
            <w:tcBorders>
              <w:top w:val="single" w:color="auto" w:sz="4" w:space="0"/>
              <w:left w:val="single" w:color="auto" w:sz="4" w:space="0"/>
              <w:bottom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厂区绿化</w:t>
            </w:r>
          </w:p>
        </w:tc>
        <w:tc>
          <w:tcPr>
            <w:tcW w:w="3016" w:type="dxa"/>
            <w:tcBorders>
              <w:top w:val="single" w:color="auto" w:sz="4" w:space="0"/>
              <w:left w:val="single" w:color="auto" w:sz="4" w:space="0"/>
              <w:bottom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绿化率</w:t>
            </w:r>
          </w:p>
        </w:tc>
        <w:tc>
          <w:tcPr>
            <w:tcW w:w="2490" w:type="dxa"/>
            <w:tcBorders>
              <w:top w:val="single" w:color="auto" w:sz="4" w:space="0"/>
              <w:left w:val="single" w:color="auto" w:sz="4" w:space="0"/>
              <w:bottom w:val="single" w:color="auto" w:sz="4" w:space="0"/>
              <w:righ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pPr>
            <w:r>
              <w:rPr>
                <w:rStyle w:val="41"/>
                <w:rFonts w:hint="default" w:ascii="Times New Roman" w:hAnsi="Times New Roman" w:eastAsia="宋体" w:cs="Times New Roman"/>
                <w:b w:val="0"/>
                <w:bCs w:val="0"/>
                <w:i w:val="0"/>
                <w:iCs w:val="0"/>
                <w:smallCaps w:val="0"/>
                <w:strike w:val="0"/>
                <w:color w:val="000000" w:themeColor="text1"/>
                <w:sz w:val="21"/>
                <w:szCs w:val="21"/>
                <w:u w:val="none"/>
                <w14:textFill>
                  <w14:solidFill>
                    <w14:schemeClr w14:val="tx1"/>
                  </w14:solidFill>
                </w14:textFill>
              </w:rPr>
              <w:t>提高植被覆盖率</w:t>
            </w:r>
          </w:p>
        </w:tc>
      </w:tr>
    </w:tbl>
    <w:p>
      <w:pPr>
        <w:pStyle w:val="3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pPr>
      <w:bookmarkStart w:id="455" w:name="bookmark48"/>
      <w:bookmarkStart w:id="456" w:name="_Toc30574"/>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6.2施工期污染防治对策</w:t>
      </w:r>
      <w:bookmarkEnd w:id="455"/>
      <w:bookmarkEnd w:id="456"/>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6.2.1环境空气污染防治对策</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（1）在主厂房及灰场等施工现场设置围栏，缩短影响距离。</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（2）在干燥季节应及时对施工场地洒水，以保持其表面湿润，减少扬尘产生。</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（3）禁止露天堆放建筑材料，细颗粒散料要在施工场地做临时材料库进行封闭保存，搬运时轻拿轻放，防止包装袋破裂。</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（4）混凝土搅拌机应设置在棚内，搅拌时要有喷雾降尘措施。</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5）施工现场道路要压实路面，经常清扫，干旱季节要洒水。限制进出施工现场运输车辆的行驶速度，而且对运输水泥、土方和施工垃圾等易产生扬尘的车辆要严密遮盖，避免沿途撒落。在运送建筑垃圾出施工现场应对车辆进行必要的清洁处理，以免对周围环境造成二次污染。</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（6）合理选择土石方堆场，不宜设置在电厂厂区的上风向；保护施工区的工作环境，做到文明施工。</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（7）严禁大风天气施工。</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color w:val="000000" w:themeColor="text1"/>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（8）供水管线施工过程中临时堆存的土石方应采取苫盖等防尘措施。</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6.2.2水污染防治对策</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（1）对施工的主要污水排放要进行控制和处理；建设单位和施工单位要重视施工污水排放的管理，杜绝不处理和无组织排放；</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（2）建筑施下工地排水经沉淀后回收利用。设备机械清洗排水经隔油、中和处理装置处理后回用于场地降尘。</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（3）施工生活污水排入有防渗措施和爆气功能的蒸发池，经沉淀后的上层较清洁污水可回用于施工场地降尘，蒸发池施工期结束后作填埋处理。</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（4）加强对对施工人员的宣传教育。</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6.2.3噪声防治对策</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（1）合理安排施工机械的使用，减少或限制高噪声设备的使用时间，加强各种施工机械的维修保养。噪声较大的作业安排在白天进行。</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文明施工，应尽量选用低噪声设备，对操作人员进行相应的环保知识教育；在土石方施工阶段，必须严格控制推土机的一次推土量、装载机的装载量，并保证施工机械的正常运转，严禁超负荷运转；在结构施工阶段，对混凝土泵、混凝土罐车可搭简易棚围护降噪，加强对混凝土泵、混凝土罐车操作人员的培训及责任心教育，保证混凝土泵、混凝土罐车平稳运行。</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（3）合理安排运输车辆的路线和行驶速度，尤其在沿途穿过居民比较集中的路段时，应减速行驶，禁止鸣笛。</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施工作业限制时间为：8:00〜24:00时(北京时间)。</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457" w:name="_Toc206107423"/>
      <w:bookmarkStart w:id="458" w:name="_Toc204373141"/>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6.2.4 固体废物防治措施</w:t>
      </w:r>
      <w:bookmarkEnd w:id="457"/>
      <w:bookmarkEnd w:id="458"/>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（1）施工生产废料处理</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首先应考虑废料的回收利用，对钢筋、钢板、木材等下角料可分类回收，交废物收购站处理；对建筑垃圾，如混凝土废料、废砖、含砖、石、砂的杂土应集中堆放，定时清运，以免影响施工和环境卫生。</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（2）施工生活垃圾处置</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生活垃圾：施工人员平均每天每人产生</w:t>
      </w:r>
      <w:r>
        <w:rPr>
          <w:rFonts w:hint="eastAsia" w:eastAsia="宋体"/>
          <w:color w:val="000000" w:themeColor="text1"/>
          <w:sz w:val="24"/>
          <w:szCs w:val="24"/>
          <w:lang w:val="en-US" w:eastAsia="en-US"/>
          <w14:textFill>
            <w14:solidFill>
              <w14:schemeClr w14:val="tx1"/>
            </w14:solidFill>
          </w14:textFill>
        </w:rPr>
        <w:t>0.5</w:t>
      </w:r>
      <w:r>
        <w:rPr>
          <w:rFonts w:hint="eastAsia" w:eastAsia="宋体"/>
          <w:color w:val="000000" w:themeColor="text1"/>
          <w:sz w:val="24"/>
          <w:szCs w:val="24"/>
          <w:lang w:val="en-US" w:eastAsia="zh-CN"/>
          <w14:textFill>
            <w14:solidFill>
              <w14:schemeClr w14:val="tx1"/>
            </w14:solidFill>
          </w14:textFill>
        </w:rPr>
        <w:t>kg左右的生活垃圾；生活垃圾的产生量和施工人数有很大关系。对施工人员产生的生活垃圾要统一收集，定期运往当地环卫部门指定的垃圾场进行卫生填埋处置后，不会对项目周围环境造成明显影响。</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（3）完工清场的固体废物处理处置</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工程完工后临时设施拆除时应防止扬尘、噪声及废弃物污染。搅拌场、储桨池等施工生产用地，应撤离所有设施和部件，四周溢流砂桨的泥土全部挖除。</w:t>
      </w:r>
    </w:p>
    <w:p>
      <w:pPr>
        <w:keepNext w:val="0"/>
        <w:keepLines w:val="0"/>
        <w:pageBreakBefore w:val="0"/>
        <w:widowControl w:val="0"/>
        <w:shd w:val="clear" w:color="auto" w:fill="auto"/>
        <w:kinsoku/>
        <w:wordWrap/>
        <w:overflowPunct w:val="0"/>
        <w:topLinePunct w:val="0"/>
        <w:autoSpaceDE/>
        <w:autoSpaceDN/>
        <w:bidi w:val="0"/>
        <w:adjustRightInd/>
        <w:snapToGrid/>
        <w:spacing w:line="360" w:lineRule="auto"/>
        <w:ind w:firstLine="480" w:firstLineChars="200"/>
        <w:jc w:val="both"/>
        <w:textAlignment w:val="auto"/>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对各种车辆、设备使用的燃油、机油、润滑油等应加强管理，所有废弃油类均要集中处理，不得随意倾倒。</w:t>
      </w:r>
    </w:p>
    <w:p>
      <w:pP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zh-CN" w:eastAsia="zh-CN" w:bidi="zh-CN"/>
          <w14:textFill>
            <w14:solidFill>
              <w14:schemeClr w14:val="tx1"/>
            </w14:solidFill>
          </w14:textFill>
        </w:rPr>
        <w:br w:type="page"/>
      </w:r>
    </w:p>
    <w:p>
      <w:pPr>
        <w:shd w:val="clear" w:color="auto" w:fill="auto"/>
        <w:spacing w:line="360" w:lineRule="auto"/>
        <w:outlineLvl w:val="0"/>
        <w:rPr>
          <w:rStyle w:val="75"/>
          <w:rFonts w:hint="eastAsia"/>
          <w:color w:val="000000" w:themeColor="text1"/>
          <w:sz w:val="44"/>
          <w:szCs w:val="44"/>
          <w:lang w:val="en-US" w:eastAsia="zh-CN"/>
          <w14:textFill>
            <w14:solidFill>
              <w14:schemeClr w14:val="tx1"/>
            </w14:solidFill>
          </w14:textFill>
        </w:rPr>
      </w:pPr>
      <w:bookmarkStart w:id="459" w:name="bookmark50"/>
      <w:bookmarkStart w:id="460" w:name="_Toc23853"/>
      <w:r>
        <w:rPr>
          <w:rStyle w:val="75"/>
          <w:rFonts w:hint="eastAsia"/>
          <w:color w:val="000000" w:themeColor="text1"/>
          <w:sz w:val="44"/>
          <w:szCs w:val="44"/>
          <w:lang w:val="en-US" w:eastAsia="zh-CN"/>
          <w14:textFill>
            <w14:solidFill>
              <w14:schemeClr w14:val="tx1"/>
            </w14:solidFill>
          </w14:textFill>
        </w:rPr>
        <w:t>7</w:t>
      </w:r>
      <w:r>
        <w:rPr>
          <w:rStyle w:val="75"/>
          <w:rFonts w:hint="eastAsia"/>
          <w:color w:val="000000" w:themeColor="text1"/>
          <w:sz w:val="44"/>
          <w:szCs w:val="44"/>
          <w:lang w:val="zh-CN" w:eastAsia="zh-CN"/>
          <w14:textFill>
            <w14:solidFill>
              <w14:schemeClr w14:val="tx1"/>
            </w14:solidFill>
          </w14:textFill>
        </w:rPr>
        <w:t>环境影响经济损益分析</w:t>
      </w:r>
      <w:bookmarkEnd w:id="459"/>
      <w:bookmarkEnd w:id="460"/>
    </w:p>
    <w:p>
      <w:pPr>
        <w:pStyle w:val="3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pPr>
      <w:bookmarkStart w:id="461" w:name="_Toc4059"/>
      <w:bookmarkStart w:id="462" w:name="bookmark51"/>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7.1</w:t>
      </w:r>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环境致损因子分析</w:t>
      </w:r>
      <w:bookmarkEnd w:id="461"/>
      <w:bookmarkEnd w:id="462"/>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（1）根据本工程施工工艺和运行特点，环境致损因子可分为建设期致损因子和运行期致损因子两种，前者具有暂时性的特点。</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1）施工期环境致损因子</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工程施工期环境致损因子及其影响主要体现在如下几个方面，一是临时占地、施工废渣堆积等影响自然景观；二是施工扬尘对局地环境空气质量不利；三是施工期间的生产及生活废(污)水排放，如果管理不善可能产生不良影响。</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2）运行期环境致损因子</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本工程运行期的不利影响主要来源于本工程燃料燃烧产生的SO</w:t>
      </w:r>
      <w:r>
        <w:rPr>
          <w:rFonts w:hint="eastAsia" w:ascii="Times New Roman" w:hAnsi="Times New Roman" w:eastAsia="宋体" w:cs="Times New Roman"/>
          <w:snapToGrid w:val="0"/>
          <w:color w:val="000000" w:themeColor="text1"/>
          <w:spacing w:val="0"/>
          <w:w w:val="100"/>
          <w:kern w:val="0"/>
          <w:position w:val="0"/>
          <w:sz w:val="24"/>
          <w:szCs w:val="24"/>
          <w:u w:val="none"/>
          <w:vertAlign w:val="subscript"/>
          <w:lang w:val="en-US" w:eastAsia="en-US" w:bidi="zh-CN"/>
          <w14:textFill>
            <w14:solidFill>
              <w14:schemeClr w14:val="tx1"/>
            </w14:solidFill>
          </w14:textFill>
        </w:rPr>
        <w:t>2</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、烟尘、NO</w:t>
      </w:r>
      <w:r>
        <w:rPr>
          <w:rFonts w:hint="eastAsia" w:ascii="Times New Roman" w:hAnsi="Times New Roman" w:eastAsia="宋体" w:cs="Times New Roman"/>
          <w:snapToGrid w:val="0"/>
          <w:color w:val="000000" w:themeColor="text1"/>
          <w:spacing w:val="0"/>
          <w:w w:val="100"/>
          <w:kern w:val="0"/>
          <w:position w:val="0"/>
          <w:sz w:val="24"/>
          <w:szCs w:val="24"/>
          <w:u w:val="none"/>
          <w:vertAlign w:val="subscript"/>
          <w:lang w:val="en-US" w:eastAsia="en-US" w:bidi="zh-CN"/>
          <w14:textFill>
            <w14:solidFill>
              <w14:schemeClr w14:val="tx1"/>
            </w14:solidFill>
          </w14:textFill>
        </w:rPr>
        <w:t>2</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排放对环境空气的不良影响。</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（2）污染对经济的有害影响</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污染带来的经济损失，主要通过对环境质量的损害和对人身心健康造成危害体现出来。污染对环境的直接影响就是使环境质量下降，环境质量下降就意味着环境价值的损失，这种损失的货币值可以用恢复费用法来估算，即用环境质量恢复到原来状况所需花费的货币总值来表示。如果我们知道对某种污染物去除达到某一较高标准的单位治理成本，及污染物的产生量，就可以近似估算出削除该污染物影响的费用，将所有污染物和处理费用加合，就可以得到本工程污染造成的环境质量损失货币估算值。</w:t>
      </w:r>
    </w:p>
    <w:p>
      <w:pPr>
        <w:pStyle w:val="3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pPr>
      <w:bookmarkStart w:id="463" w:name="_Toc19620"/>
      <w:bookmarkStart w:id="464" w:name="bookmark52"/>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7.2</w:t>
      </w:r>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环境效益</w:t>
      </w:r>
      <w:bookmarkEnd w:id="463"/>
      <w:bookmarkEnd w:id="464"/>
    </w:p>
    <w:p>
      <w:pPr>
        <w:pStyle w:val="3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pPr>
      <w:bookmarkStart w:id="465" w:name="bookmark53"/>
      <w:bookmarkStart w:id="466" w:name="_Toc29889"/>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w:t>
      </w:r>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7.3</w:t>
      </w:r>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经济效益分析</w:t>
      </w:r>
      <w:bookmarkEnd w:id="465"/>
      <w:bookmarkEnd w:id="466"/>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本项目静态投资54542万元，单位投资10908元/kw，项目建设总费用（动态投资）55208万元，单位投资11042元/Kw，铺地生产流动资金747万元，项目计划总资金55955万元，单位投资11191元/kw。</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由于本项目以售热为主，在售热价确定且满足新疆乌鲁木齐市2013年平均上网含税标杆电价为250元/MWh （含脱硫脱硝）的情况下，主要测定盈利能力和偿债能力。通过测算分析可看出，本项目的盈利能力和偿债能力都比较好，均满足电力建设要求。</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由敏感性分析可知，影响本工程电价的敏感因素能在较大范围内变化，说明本工程具有较强的抗风险能力，并具有较好的经济效益。</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本项目由于投资较低，经济效益指标比较理想，并符合国家有关规定，具有较强的财务盈利能力，从投资经济角度分析本项目可行。</w:t>
      </w:r>
    </w:p>
    <w:p>
      <w:pPr>
        <w:pStyle w:val="3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pPr>
      <w:bookmarkStart w:id="467" w:name="bookmark54"/>
      <w:bookmarkStart w:id="468" w:name="_Toc2609"/>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7.4</w:t>
      </w:r>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社会效益</w:t>
      </w:r>
      <w:bookmarkEnd w:id="467"/>
      <w:bookmarkEnd w:id="468"/>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本工程建设强化当地基础设施，本工程为热电联产工程，工程建成后，为当地重要的供热、供电基础设施。在有效提高能源利用效率的同时提高供热的可靠性，极大改善当地的供热情况，有效提升居民的生活质量，另外作为工业汽源可为区域内的用汽企业提供可靠保障，为当地发展工业提供条件，提高当道综合竞争力，将促进地区经济可持续发展。</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（2）本工程的建设可遏制该区域集中供热和小锅炉重复建设，节约城市资源，优化资源配置，改善城市环境，促进城市建设良性发展。</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（3）本工程的建设，可以增加当地的财政收入，解决劳动就业问题，也可带动当地交通运输和服务业的发展，促进当地经济发展，提高人民生活水平，有利于社会稳定及和谐社会的建设。</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综上分析，本工程的建设对提高电网运行的经济性及可靠性是具有积极意义的；在经济技术上也具有良好的可行性；通过工程自身环保治理，工程对周边的环境影响不是很明显。该工程的建设在经济效益、社会效益和环境效益都能得到统一，总体上看是可行的。</w:t>
      </w:r>
    </w:p>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pPr>
      <w:bookmarkStart w:id="469" w:name="_Toc13874"/>
      <w:bookmarkStart w:id="470" w:name="bookmark49"/>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7.5环保投资估算</w:t>
      </w:r>
      <w:bookmarkEnd w:id="469"/>
      <w:bookmarkEnd w:id="470"/>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本工程环保投资估算包括环境保护设施费、环评费用和环境保护设施 竣工验收测试费，环保投资为7535万元，工程总投资为55955万元，环保投资占总投资的13.47%，见7.5-1。</w:t>
      </w:r>
    </w:p>
    <w:p>
      <w:pPr>
        <w:pStyle w:val="44"/>
        <w:keepNext w:val="0"/>
        <w:keepLines w:val="0"/>
        <w:pageBreakBefore w:val="0"/>
        <w:widowControl w:val="0"/>
        <w:shd w:val="clear" w:color="auto" w:fill="auto"/>
        <w:tabs>
          <w:tab w:val="left" w:pos="2520"/>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default"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default"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w:t>
      </w:r>
      <w:r>
        <w:rPr>
          <w:rFonts w:hint="eastAsia" w:ascii="Times New Roman" w:hAnsi="Times New Roman" w:eastAsia="黑体" w:cs="Times New Roman"/>
          <w:color w:val="000000" w:themeColor="text1"/>
          <w:spacing w:val="0"/>
          <w:w w:val="100"/>
          <w:position w:val="0"/>
          <w:sz w:val="21"/>
          <w:szCs w:val="21"/>
          <w:lang w:val="en-US" w:eastAsia="zh-CN" w:bidi="en-US"/>
          <w14:textFill>
            <w14:solidFill>
              <w14:schemeClr w14:val="tx1"/>
            </w14:solidFill>
          </w14:textFill>
        </w:rPr>
        <w:t>7.5</w:t>
      </w:r>
      <w:r>
        <w:rPr>
          <w:rFonts w:hint="default" w:ascii="Times New Roman" w:hAnsi="Times New Roman" w:eastAsia="黑体" w:cs="Times New Roman"/>
          <w:color w:val="000000" w:themeColor="text1"/>
          <w:spacing w:val="0"/>
          <w:w w:val="100"/>
          <w:position w:val="0"/>
          <w:sz w:val="21"/>
          <w:szCs w:val="21"/>
          <w:lang w:val="en-US" w:eastAsia="en-US" w:bidi="en-US"/>
          <w14:textFill>
            <w14:solidFill>
              <w14:schemeClr w14:val="tx1"/>
            </w14:solidFill>
          </w14:textFill>
        </w:rPr>
        <w:t>-1</w:t>
      </w:r>
      <w:r>
        <w:rPr>
          <w:rFonts w:hint="default" w:ascii="Times New Roman" w:hAnsi="Times New Roman" w:eastAsia="黑体" w:cs="Times New Roman"/>
          <w:color w:val="000000" w:themeColor="text1"/>
          <w:spacing w:val="0"/>
          <w:w w:val="100"/>
          <w:position w:val="0"/>
          <w:sz w:val="21"/>
          <w:szCs w:val="21"/>
          <w:lang w:val="en-US" w:eastAsia="en-US" w:bidi="en-US"/>
          <w14:textFill>
            <w14:solidFill>
              <w14:schemeClr w14:val="tx1"/>
            </w14:solidFill>
          </w14:textFill>
        </w:rPr>
        <w:tab/>
      </w:r>
      <w:r>
        <w:rPr>
          <w:rFonts w:hint="default"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本项目环保投资一览表</w:t>
      </w:r>
    </w:p>
    <w:tbl>
      <w:tblPr>
        <w:tblStyle w:val="21"/>
        <w:tblW w:w="8326" w:type="dxa"/>
        <w:jc w:val="center"/>
        <w:tblInd w:w="0" w:type="dxa"/>
        <w:tblLayout w:type="fixed"/>
        <w:tblCellMar>
          <w:top w:w="0" w:type="dxa"/>
          <w:left w:w="10" w:type="dxa"/>
          <w:bottom w:w="0" w:type="dxa"/>
          <w:right w:w="10" w:type="dxa"/>
        </w:tblCellMar>
      </w:tblPr>
      <w:tblGrid>
        <w:gridCol w:w="681"/>
        <w:gridCol w:w="5532"/>
        <w:gridCol w:w="2113"/>
      </w:tblGrid>
      <w:tr>
        <w:tblPrEx>
          <w:tblLayout w:type="fixed"/>
          <w:tblCellMar>
            <w:top w:w="0" w:type="dxa"/>
            <w:left w:w="10" w:type="dxa"/>
            <w:bottom w:w="0" w:type="dxa"/>
            <w:right w:w="10" w:type="dxa"/>
          </w:tblCellMar>
        </w:tblPrEx>
        <w:trPr>
          <w:trHeight w:val="307" w:hRule="exact"/>
          <w:jc w:val="center"/>
        </w:trPr>
        <w:tc>
          <w:tcPr>
            <w:tcW w:w="68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序号</w:t>
            </w:r>
          </w:p>
        </w:tc>
        <w:tc>
          <w:tcPr>
            <w:tcW w:w="55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项目</w:t>
            </w:r>
          </w:p>
        </w:tc>
        <w:tc>
          <w:tcPr>
            <w:tcW w:w="211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投资估算(万元)</w:t>
            </w:r>
          </w:p>
        </w:tc>
      </w:tr>
      <w:tr>
        <w:tblPrEx>
          <w:tblLayout w:type="fixed"/>
          <w:tblCellMar>
            <w:top w:w="0" w:type="dxa"/>
            <w:left w:w="10" w:type="dxa"/>
            <w:bottom w:w="0" w:type="dxa"/>
            <w:right w:w="10" w:type="dxa"/>
          </w:tblCellMar>
        </w:tblPrEx>
        <w:trPr>
          <w:trHeight w:val="293" w:hRule="exact"/>
          <w:jc w:val="center"/>
        </w:trPr>
        <w:tc>
          <w:tcPr>
            <w:tcW w:w="68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p>
        </w:tc>
        <w:tc>
          <w:tcPr>
            <w:tcW w:w="55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脱硫、除尘设施(含烟气连续监测装置)</w:t>
            </w:r>
          </w:p>
        </w:tc>
        <w:tc>
          <w:tcPr>
            <w:tcW w:w="211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5000</w:t>
            </w:r>
          </w:p>
        </w:tc>
      </w:tr>
      <w:tr>
        <w:tblPrEx>
          <w:tblLayout w:type="fixed"/>
          <w:tblCellMar>
            <w:top w:w="0" w:type="dxa"/>
            <w:left w:w="10" w:type="dxa"/>
            <w:bottom w:w="0" w:type="dxa"/>
            <w:right w:w="10" w:type="dxa"/>
          </w:tblCellMar>
        </w:tblPrEx>
        <w:trPr>
          <w:trHeight w:val="293" w:hRule="exact"/>
          <w:jc w:val="center"/>
        </w:trPr>
        <w:tc>
          <w:tcPr>
            <w:tcW w:w="68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w:t>
            </w:r>
          </w:p>
        </w:tc>
        <w:tc>
          <w:tcPr>
            <w:tcW w:w="55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脱硝系统</w:t>
            </w:r>
            <w:r>
              <w:rPr>
                <w:rStyle w:val="41"/>
                <w:rFonts w:hint="eastAsia" w:ascii="Times New Roman" w:hAnsi="Times New Roman" w:eastAsia="宋体" w:cs="Times New Roman"/>
                <w:b w:val="0"/>
                <w:bCs w:val="0"/>
                <w:i w:val="0"/>
                <w:iCs w:val="0"/>
                <w:smallCaps w:val="0"/>
                <w:strike w:val="0"/>
                <w:color w:val="000000" w:themeColor="text1"/>
                <w:sz w:val="21"/>
                <w:szCs w:val="21"/>
                <w:lang w:val="en-US" w:eastAsia="en-US"/>
                <w14:textFill>
                  <w14:solidFill>
                    <w14:schemeClr w14:val="tx1"/>
                  </w14:solidFill>
                </w14:textFill>
              </w:rPr>
              <w:t>(SNCR)</w:t>
            </w:r>
          </w:p>
        </w:tc>
        <w:tc>
          <w:tcPr>
            <w:tcW w:w="211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400</w:t>
            </w:r>
          </w:p>
        </w:tc>
      </w:tr>
      <w:tr>
        <w:tblPrEx>
          <w:tblLayout w:type="fixed"/>
          <w:tblCellMar>
            <w:top w:w="0" w:type="dxa"/>
            <w:left w:w="10" w:type="dxa"/>
            <w:bottom w:w="0" w:type="dxa"/>
            <w:right w:w="10" w:type="dxa"/>
          </w:tblCellMar>
        </w:tblPrEx>
        <w:trPr>
          <w:trHeight w:val="264" w:hRule="exact"/>
          <w:jc w:val="center"/>
        </w:trPr>
        <w:tc>
          <w:tcPr>
            <w:tcW w:w="68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w:t>
            </w:r>
          </w:p>
        </w:tc>
        <w:tc>
          <w:tcPr>
            <w:tcW w:w="55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烟囱及烟道</w:t>
            </w:r>
          </w:p>
        </w:tc>
        <w:tc>
          <w:tcPr>
            <w:tcW w:w="211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440</w:t>
            </w:r>
          </w:p>
        </w:tc>
      </w:tr>
      <w:tr>
        <w:tblPrEx>
          <w:tblLayout w:type="fixed"/>
          <w:tblCellMar>
            <w:top w:w="0" w:type="dxa"/>
            <w:left w:w="10" w:type="dxa"/>
            <w:bottom w:w="0" w:type="dxa"/>
            <w:right w:w="10" w:type="dxa"/>
          </w:tblCellMar>
        </w:tblPrEx>
        <w:trPr>
          <w:trHeight w:val="293" w:hRule="exact"/>
          <w:jc w:val="center"/>
        </w:trPr>
        <w:tc>
          <w:tcPr>
            <w:tcW w:w="68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4</w:t>
            </w:r>
          </w:p>
        </w:tc>
        <w:tc>
          <w:tcPr>
            <w:tcW w:w="55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废(污)水处理系统</w:t>
            </w:r>
          </w:p>
        </w:tc>
        <w:tc>
          <w:tcPr>
            <w:tcW w:w="211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360</w:t>
            </w:r>
          </w:p>
        </w:tc>
      </w:tr>
      <w:tr>
        <w:tblPrEx>
          <w:tblLayout w:type="fixed"/>
          <w:tblCellMar>
            <w:top w:w="0" w:type="dxa"/>
            <w:left w:w="10" w:type="dxa"/>
            <w:bottom w:w="0" w:type="dxa"/>
            <w:right w:w="10" w:type="dxa"/>
          </w:tblCellMar>
        </w:tblPrEx>
        <w:trPr>
          <w:trHeight w:val="293" w:hRule="exact"/>
          <w:jc w:val="center"/>
        </w:trPr>
        <w:tc>
          <w:tcPr>
            <w:tcW w:w="68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p>
        </w:tc>
        <w:tc>
          <w:tcPr>
            <w:tcW w:w="55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消声器、隔声设备及厂界隔声设施</w:t>
            </w:r>
          </w:p>
        </w:tc>
        <w:tc>
          <w:tcPr>
            <w:tcW w:w="211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300</w:t>
            </w:r>
          </w:p>
        </w:tc>
      </w:tr>
      <w:tr>
        <w:tblPrEx>
          <w:tblLayout w:type="fixed"/>
          <w:tblCellMar>
            <w:top w:w="0" w:type="dxa"/>
            <w:left w:w="10" w:type="dxa"/>
            <w:bottom w:w="0" w:type="dxa"/>
            <w:right w:w="10" w:type="dxa"/>
          </w:tblCellMar>
        </w:tblPrEx>
        <w:trPr>
          <w:trHeight w:val="293" w:hRule="exact"/>
          <w:jc w:val="center"/>
        </w:trPr>
        <w:tc>
          <w:tcPr>
            <w:tcW w:w="68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w:t>
            </w:r>
          </w:p>
        </w:tc>
        <w:tc>
          <w:tcPr>
            <w:tcW w:w="55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除灰、渣系统</w:t>
            </w:r>
          </w:p>
        </w:tc>
        <w:tc>
          <w:tcPr>
            <w:tcW w:w="211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1000</w:t>
            </w:r>
          </w:p>
        </w:tc>
      </w:tr>
      <w:tr>
        <w:tblPrEx>
          <w:tblLayout w:type="fixed"/>
          <w:tblCellMar>
            <w:top w:w="0" w:type="dxa"/>
            <w:left w:w="10" w:type="dxa"/>
            <w:bottom w:w="0" w:type="dxa"/>
            <w:right w:w="10" w:type="dxa"/>
          </w:tblCellMar>
        </w:tblPrEx>
        <w:trPr>
          <w:trHeight w:val="298" w:hRule="exact"/>
          <w:jc w:val="center"/>
        </w:trPr>
        <w:tc>
          <w:tcPr>
            <w:tcW w:w="68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w:t>
            </w:r>
          </w:p>
        </w:tc>
        <w:tc>
          <w:tcPr>
            <w:tcW w:w="553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绿化</w:t>
            </w:r>
          </w:p>
        </w:tc>
        <w:tc>
          <w:tcPr>
            <w:tcW w:w="211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35</w:t>
            </w:r>
          </w:p>
        </w:tc>
      </w:tr>
      <w:tr>
        <w:tblPrEx>
          <w:tblLayout w:type="fixed"/>
          <w:tblCellMar>
            <w:top w:w="0" w:type="dxa"/>
            <w:left w:w="10" w:type="dxa"/>
            <w:bottom w:w="0" w:type="dxa"/>
            <w:right w:w="10" w:type="dxa"/>
          </w:tblCellMar>
        </w:tblPrEx>
        <w:trPr>
          <w:trHeight w:val="264" w:hRule="exact"/>
          <w:jc w:val="center"/>
        </w:trPr>
        <w:tc>
          <w:tcPr>
            <w:tcW w:w="6213"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环保投资合计</w:t>
            </w:r>
          </w:p>
        </w:tc>
        <w:tc>
          <w:tcPr>
            <w:tcW w:w="211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7535</w:t>
            </w:r>
          </w:p>
        </w:tc>
      </w:tr>
      <w:tr>
        <w:tblPrEx>
          <w:tblLayout w:type="fixed"/>
          <w:tblCellMar>
            <w:top w:w="0" w:type="dxa"/>
            <w:left w:w="10" w:type="dxa"/>
            <w:bottom w:w="0" w:type="dxa"/>
            <w:right w:w="10" w:type="dxa"/>
          </w:tblCellMar>
        </w:tblPrEx>
        <w:trPr>
          <w:trHeight w:val="293" w:hRule="exact"/>
          <w:jc w:val="center"/>
        </w:trPr>
        <w:tc>
          <w:tcPr>
            <w:tcW w:w="6213"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工程静态投资</w:t>
            </w:r>
          </w:p>
        </w:tc>
        <w:tc>
          <w:tcPr>
            <w:tcW w:w="211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default" w:ascii="Times New Roman" w:hAnsi="Times New Roman" w:eastAsia="宋体" w:cs="Times New Roman"/>
                <w:b w:val="0"/>
                <w:bCs w:val="0"/>
                <w:i w:val="0"/>
                <w:iCs w:val="0"/>
                <w:smallCaps w:val="0"/>
                <w:strike w:val="0"/>
                <w:color w:val="000000" w:themeColor="text1"/>
                <w:sz w:val="21"/>
                <w:szCs w:val="21"/>
                <w:lang w:val="en-US"/>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lang w:val="en-US"/>
                <w14:textFill>
                  <w14:solidFill>
                    <w14:schemeClr w14:val="tx1"/>
                  </w14:solidFill>
                </w14:textFill>
              </w:rPr>
              <w:t>55955</w:t>
            </w:r>
          </w:p>
        </w:tc>
      </w:tr>
      <w:tr>
        <w:tblPrEx>
          <w:tblLayout w:type="fixed"/>
          <w:tblCellMar>
            <w:top w:w="0" w:type="dxa"/>
            <w:left w:w="10" w:type="dxa"/>
            <w:bottom w:w="0" w:type="dxa"/>
            <w:right w:w="10" w:type="dxa"/>
          </w:tblCellMar>
        </w:tblPrEx>
        <w:trPr>
          <w:trHeight w:val="312" w:hRule="exact"/>
          <w:jc w:val="center"/>
        </w:trPr>
        <w:tc>
          <w:tcPr>
            <w:tcW w:w="6213" w:type="dxa"/>
            <w:gridSpan w:val="2"/>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环保投资占工程总投资的比例(％)</w:t>
            </w:r>
          </w:p>
        </w:tc>
        <w:tc>
          <w:tcPr>
            <w:tcW w:w="211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pP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13.4</w:t>
            </w:r>
            <w:r>
              <w:rPr>
                <w:rStyle w:val="41"/>
                <w:rFonts w:hint="eastAsia" w:ascii="Times New Roman" w:hAnsi="Times New Roman" w:eastAsia="宋体" w:cs="Times New Roman"/>
                <w:b w:val="0"/>
                <w:bCs w:val="0"/>
                <w:i w:val="0"/>
                <w:iCs w:val="0"/>
                <w:smallCaps w:val="0"/>
                <w:strike w:val="0"/>
                <w:color w:val="000000" w:themeColor="text1"/>
                <w:sz w:val="21"/>
                <w:szCs w:val="21"/>
                <w:lang w:val="en-US"/>
                <w14:textFill>
                  <w14:solidFill>
                    <w14:schemeClr w14:val="tx1"/>
                  </w14:solidFill>
                </w14:textFill>
              </w:rPr>
              <w:t>7</w:t>
            </w:r>
            <w:r>
              <w:rPr>
                <w:rStyle w:val="41"/>
                <w:rFonts w:hint="eastAsia"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r>
    </w:tbl>
    <w:p>
      <w:pP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br w:type="page"/>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textAlignment w:val="auto"/>
        <w:outlineLvl w:val="0"/>
        <w:rPr>
          <w:rStyle w:val="75"/>
          <w:rFonts w:hint="eastAsia"/>
          <w:color w:val="000000" w:themeColor="text1"/>
          <w:sz w:val="44"/>
          <w:szCs w:val="44"/>
          <w:lang w:val="en-US" w:eastAsia="zh-CN"/>
          <w14:textFill>
            <w14:solidFill>
              <w14:schemeClr w14:val="tx1"/>
            </w14:solidFill>
          </w14:textFill>
        </w:rPr>
      </w:pPr>
      <w:bookmarkStart w:id="471" w:name="_Toc25853"/>
      <w:bookmarkStart w:id="472" w:name="bookmark55"/>
      <w:r>
        <w:rPr>
          <w:rStyle w:val="75"/>
          <w:rFonts w:hint="eastAsia"/>
          <w:color w:val="000000" w:themeColor="text1"/>
          <w:sz w:val="44"/>
          <w:szCs w:val="44"/>
          <w:lang w:val="en-US" w:eastAsia="zh-CN"/>
          <w14:textFill>
            <w14:solidFill>
              <w14:schemeClr w14:val="tx1"/>
            </w14:solidFill>
          </w14:textFill>
        </w:rPr>
        <w:t>8</w:t>
      </w:r>
      <w:r>
        <w:rPr>
          <w:rStyle w:val="75"/>
          <w:rFonts w:hint="eastAsia"/>
          <w:color w:val="000000" w:themeColor="text1"/>
          <w:sz w:val="44"/>
          <w:szCs w:val="44"/>
          <w:lang w:val="zh-CN" w:eastAsia="zh-CN"/>
          <w14:textFill>
            <w14:solidFill>
              <w14:schemeClr w14:val="tx1"/>
            </w14:solidFill>
          </w14:textFill>
        </w:rPr>
        <w:t>环境管理与监测实施计划</w:t>
      </w:r>
      <w:bookmarkEnd w:id="471"/>
      <w:bookmarkEnd w:id="472"/>
    </w:p>
    <w:p>
      <w:pPr>
        <w:pStyle w:val="145"/>
        <w:keepNext/>
        <w:keepLines/>
        <w:pageBreakBefore w:val="0"/>
        <w:widowControl w:val="0"/>
        <w:numPr>
          <w:ilvl w:val="0"/>
          <w:numId w:val="0"/>
        </w:numPr>
        <w:kinsoku/>
        <w:wordWrap/>
        <w:overflowPunct/>
        <w:topLinePunct w:val="0"/>
        <w:autoSpaceDE/>
        <w:autoSpaceDN/>
        <w:bidi w:val="0"/>
        <w:adjustRightInd/>
        <w:snapToGrid w:val="0"/>
        <w:ind w:leftChars="0"/>
        <w:jc w:val="left"/>
        <w:textAlignment w:val="auto"/>
        <w:rPr>
          <w:rFonts w:hint="default" w:ascii="Times New Roman" w:hAnsi="Times New Roman" w:eastAsia="宋体" w:cs="Times New Roman"/>
          <w:color w:val="000000" w:themeColor="text1"/>
          <w:sz w:val="32"/>
          <w:szCs w:val="32"/>
          <w14:textFill>
            <w14:solidFill>
              <w14:schemeClr w14:val="tx1"/>
            </w14:solidFill>
          </w14:textFill>
        </w:rPr>
      </w:pPr>
      <w:bookmarkStart w:id="473" w:name="_Toc30195"/>
      <w:bookmarkStart w:id="474" w:name="_Toc20385"/>
      <w:bookmarkStart w:id="475" w:name="_Toc1043520"/>
      <w:bookmarkStart w:id="476" w:name="_Toc2703426"/>
      <w:bookmarkStart w:id="477" w:name="bookmark56"/>
      <w:r>
        <w:rPr>
          <w:rFonts w:hint="eastAsia" w:eastAsia="宋体" w:cs="Times New Roman"/>
          <w:color w:val="000000" w:themeColor="text1"/>
          <w:sz w:val="32"/>
          <w:szCs w:val="32"/>
          <w:lang w:val="en-US" w:eastAsia="zh-CN"/>
          <w14:textFill>
            <w14:solidFill>
              <w14:schemeClr w14:val="tx1"/>
            </w14:solidFill>
          </w14:textFill>
        </w:rPr>
        <w:t>8</w:t>
      </w:r>
      <w:r>
        <w:rPr>
          <w:rFonts w:hint="default" w:ascii="Times New Roman" w:hAnsi="Times New Roman" w:eastAsia="宋体" w:cs="Times New Roman"/>
          <w:color w:val="000000" w:themeColor="text1"/>
          <w:sz w:val="32"/>
          <w:szCs w:val="32"/>
          <w:lang w:val="en-US" w:eastAsia="zh-CN"/>
          <w14:textFill>
            <w14:solidFill>
              <w14:schemeClr w14:val="tx1"/>
            </w14:solidFill>
          </w14:textFill>
        </w:rPr>
        <w:t>.1</w:t>
      </w:r>
      <w:r>
        <w:rPr>
          <w:rFonts w:hint="default" w:ascii="Times New Roman" w:hAnsi="Times New Roman" w:eastAsia="宋体" w:cs="Times New Roman"/>
          <w:color w:val="000000" w:themeColor="text1"/>
          <w:sz w:val="32"/>
          <w:szCs w:val="32"/>
          <w14:textFill>
            <w14:solidFill>
              <w14:schemeClr w14:val="tx1"/>
            </w14:solidFill>
          </w14:textFill>
        </w:rPr>
        <w:t>环境保护管理</w:t>
      </w:r>
      <w:bookmarkEnd w:id="473"/>
      <w:bookmarkEnd w:id="474"/>
      <w:bookmarkEnd w:id="475"/>
      <w:bookmarkEnd w:id="476"/>
    </w:p>
    <w:p>
      <w:pPr>
        <w:pStyle w:val="146"/>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default" w:ascii="Times New Roman" w:hAnsi="Times New Roman" w:eastAsia="宋体" w:cs="Times New Roman"/>
          <w:color w:val="000000" w:themeColor="text1"/>
          <w14:textFill>
            <w14:solidFill>
              <w14:schemeClr w14:val="tx1"/>
            </w14:solidFill>
          </w14:textFill>
        </w:rPr>
      </w:pPr>
      <w:bookmarkStart w:id="478" w:name="_Toc532680866"/>
      <w:r>
        <w:rPr>
          <w:rFonts w:hint="eastAsia" w:ascii="Times New Roman" w:hAnsi="Times New Roman" w:eastAsia="宋体"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val="en-US" w:eastAsia="zh-CN"/>
          <w14:textFill>
            <w14:solidFill>
              <w14:schemeClr w14:val="tx1"/>
            </w14:solidFill>
          </w14:textFill>
        </w:rPr>
        <w:t>.1.1</w:t>
      </w:r>
      <w:r>
        <w:rPr>
          <w:rFonts w:hint="default" w:ascii="Times New Roman" w:hAnsi="Times New Roman" w:eastAsia="宋体" w:cs="Times New Roman"/>
          <w:color w:val="000000" w:themeColor="text1"/>
          <w14:textFill>
            <w14:solidFill>
              <w14:schemeClr w14:val="tx1"/>
            </w14:solidFill>
          </w14:textFill>
        </w:rPr>
        <w:t>环境管理机构的设置</w:t>
      </w:r>
      <w:bookmarkEnd w:id="478"/>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环境管理是环境保护工作的重要内容之一，也是企业管理的主要组成部分。环境管理的核心是把环境保护融于企业经营管理的过程之中，使环境保护成为工业企业的重要决策因素，重视研究本企业的环境对策，采用新技术、新工艺，减少有害废物的排放，对废旧产品进行回收处理及循环利用，变普通产品为“绿色”产品，努力通过环境认证，积极参与社会环境整治，推动员工和公众的环保宣传和引导，树立“绿色企业”的良好形象。</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按照现代企业制度组建运行，环保工作实行总经理负责制，建立企业内部的环境保护管理机构。针对企业内部的环境管理除总经理负总责外，公司设立环境保护部门并设专职管理人员，另外，在生产车间和主要污染源均设置环境管理责任人，组成公司、车间、污染源三级环境管理体系，明确分工，各负其责</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环保领导小组</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成立以公司总经理为组长，主管环保经理任副组长，各部门负责人为成员的环保领导小组，其主要工作职责是贯彻执行国家和地方环保法律法规，审定企业内部污染治理方案，落实环保岗位职责，及时解决环保工作中出现的重大环境问题。</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清洁生产领导小组</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开展清洁生产审计，设置清洁生产领导小组，由主管生产和环保副总经理任正、副组长，具体负责组织和实施各生产系统清洁生产审计。</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环保科</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公司环保科配备2名环保专职科员，专职管理本项目的环境保护工作，对生产车间及装置区涉及污染防治工段分设兼职环保员，具体负责本车间的环保工作。</w:t>
      </w:r>
    </w:p>
    <w:p>
      <w:pPr>
        <w:pStyle w:val="146"/>
        <w:keepNext w:val="0"/>
        <w:keepLines w:val="0"/>
        <w:pageBreakBefore w:val="0"/>
        <w:widowControl w:val="0"/>
        <w:numPr>
          <w:ilvl w:val="2"/>
          <w:numId w:val="0"/>
        </w:numPr>
        <w:kinsoku/>
        <w:wordWrap/>
        <w:overflowPunct/>
        <w:topLinePunct w:val="0"/>
        <w:autoSpaceDE/>
        <w:autoSpaceDN/>
        <w:bidi w:val="0"/>
        <w:adjustRightInd w:val="0"/>
        <w:snapToGrid w:val="0"/>
        <w:ind w:left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bookmarkStart w:id="479" w:name="_Toc532680867"/>
      <w:r>
        <w:rPr>
          <w:rFonts w:hint="eastAsia" w:ascii="Times New Roman" w:hAnsi="Times New Roman" w:eastAsia="宋体"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val="en-US" w:eastAsia="zh-CN"/>
          <w14:textFill>
            <w14:solidFill>
              <w14:schemeClr w14:val="tx1"/>
            </w14:solidFill>
          </w14:textFill>
        </w:rPr>
        <w:t>.1.2环保管理机构的职责</w:t>
      </w:r>
      <w:bookmarkEnd w:id="479"/>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环境管理机构负责项目建设期与运营期的环境管理与环境监测工作，主要职责：</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编制、提出项目建设期、运营期的短期环境保护计划及长远环境保护计划；</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贯彻落实国家和地方的环境保护法律、法规、政策和标准，直接接受行业主管部门、各级环境保护局的监督、领导，配合环境保护主管部门作好环保工作；</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制定和实施环境监测方案，负责所有环保设施的日常运行管理，保障各环保设施的正常运行，并对环保设施的改进提出积极的建议；</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在项目建设阶段负责监督环保设施的施工、安装、调试等，落实项目项目的环境保护“三同时”制度；</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监督污染物总量排放及达标情况，确保污染物排放达到国家排放标准和总量控制指标；</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参与环保设施竣工验收工作；</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7</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负责对职工环保宣传教育工作及检查、监督各岗位环保制度的执行情况；</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8</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领导并组织环境监测工作，建立污染源与监测档案，定期向主管部门及环保部门上报监测报表。</w:t>
      </w:r>
    </w:p>
    <w:p>
      <w:pPr>
        <w:pStyle w:val="146"/>
        <w:keepNext w:val="0"/>
        <w:keepLines w:val="0"/>
        <w:pageBreakBefore w:val="0"/>
        <w:widowControl w:val="0"/>
        <w:numPr>
          <w:ilvl w:val="2"/>
          <w:numId w:val="0"/>
        </w:numPr>
        <w:kinsoku/>
        <w:wordWrap/>
        <w:overflowPunct/>
        <w:topLinePunct w:val="0"/>
        <w:autoSpaceDE/>
        <w:autoSpaceDN/>
        <w:bidi w:val="0"/>
        <w:adjustRightInd w:val="0"/>
        <w:snapToGrid w:val="0"/>
        <w:ind w:left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bookmarkStart w:id="480" w:name="_Toc532680868"/>
      <w:r>
        <w:rPr>
          <w:rFonts w:hint="eastAsia" w:ascii="Times New Roman" w:hAnsi="Times New Roman" w:eastAsia="宋体"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val="en-US" w:eastAsia="zh-CN"/>
          <w14:textFill>
            <w14:solidFill>
              <w14:schemeClr w14:val="tx1"/>
            </w14:solidFill>
          </w14:textFill>
        </w:rPr>
        <w:t>.1.3环境保护管理</w:t>
      </w:r>
      <w:bookmarkEnd w:id="480"/>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根据国家环保政策、标准及环境监测要求，制定该项目运行期环保管理规章制度、各种污染物排放控制指标；</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负责该项目内所有环保设施的日常运行管理，保障各环保设施的正常运行，并对环保设施的改进提出积极的建议；</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负责该项目运行期环境监测工作，及时掌握该项目污染状况，整理监测数据，建立污染源档案；</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该项目运行期的环境管理由环保科承担；负责该项目内所有环保设施的日常运行管理，保障各环保设施的正常运行，并对环保设施的改进提出积极的建议；</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负责对职工进行环保宣传教育工作，以及检查、监督各单位环保制度的执行情况；</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建立健全环境档案管理与保密制度、污染防治设施设计技术改进及运行资料、污染源调查技术档案、环境监测及评价资料、项目平面图和给排水管网图等。</w:t>
      </w:r>
    </w:p>
    <w:p>
      <w:pPr>
        <w:pStyle w:val="5"/>
        <w:keepNext/>
        <w:keepLines/>
        <w:pageBreakBefore w:val="0"/>
        <w:widowControl w:val="0"/>
        <w:tabs>
          <w:tab w:val="left" w:pos="240"/>
          <w:tab w:val="left" w:pos="720"/>
        </w:tabs>
        <w:kinsoku/>
        <w:wordWrap/>
        <w:overflowPunct/>
        <w:topLinePunct w:val="0"/>
        <w:autoSpaceDE/>
        <w:autoSpaceDN/>
        <w:bidi w:val="0"/>
        <w:adjustRightInd/>
        <w:snapToGrid/>
        <w:spacing w:before="0" w:after="0" w:line="360" w:lineRule="auto"/>
        <w:textAlignment w:val="auto"/>
        <w:rPr>
          <w:color w:val="000000" w:themeColor="text1"/>
          <w:sz w:val="28"/>
          <w:szCs w:val="28"/>
          <w14:textFill>
            <w14:solidFill>
              <w14:schemeClr w14:val="tx1"/>
            </w14:solidFill>
          </w14:textFill>
        </w:rPr>
      </w:pPr>
      <w:bookmarkStart w:id="481" w:name="_Toc532680869"/>
      <w:r>
        <w:rPr>
          <w:rFonts w:hint="eastAsia" w:cs="Times New Roman"/>
          <w:color w:val="000000" w:themeColor="text1"/>
          <w:sz w:val="28"/>
          <w:szCs w:val="28"/>
          <w:lang w:val="en-US" w:eastAsia="zh-CN"/>
          <w14:textFill>
            <w14:solidFill>
              <w14:schemeClr w14:val="tx1"/>
            </w14:solidFill>
          </w14:textFill>
        </w:rPr>
        <w:t>8</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.1.4</w:t>
      </w:r>
      <w:r>
        <w:rPr>
          <w:rFonts w:hint="eastAsia"/>
          <w:color w:val="000000" w:themeColor="text1"/>
          <w:sz w:val="28"/>
          <w:szCs w:val="28"/>
          <w14:textFill>
            <w14:solidFill>
              <w14:schemeClr w14:val="tx1"/>
            </w14:solidFill>
          </w14:textFill>
        </w:rPr>
        <w:t>污染物排放清单</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为便于当地行政主管部门管理，便于对社会公开项目信息，根据导则要求，制定项目污染物排放清单，明确污染物排放的管理要求。项目建成后全厂污染物排放清单具体见下表</w:t>
      </w:r>
      <w:r>
        <w:rPr>
          <w:rFonts w:hint="eastAsia" w:ascii="Times New Roman" w:hAnsi="Times New Roman" w:cs="Times New Roman"/>
          <w:color w:val="000000" w:themeColor="text1"/>
          <w:sz w:val="24"/>
          <w:szCs w:val="24"/>
          <w:lang w:val="en-US" w:eastAsia="zh-CN"/>
          <w14:textFill>
            <w14:solidFill>
              <w14:schemeClr w14:val="tx1"/>
            </w14:solidFill>
          </w14:textFill>
        </w:rPr>
        <w:t>8.1-1。</w:t>
      </w: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表</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8.1-1    </w:t>
      </w:r>
      <w:r>
        <w:rPr>
          <w:rFonts w:hint="default" w:ascii="Times New Roman" w:hAnsi="Times New Roman" w:eastAsia="黑体" w:cs="Times New Roman"/>
          <w:color w:val="000000" w:themeColor="text1"/>
          <w:sz w:val="21"/>
          <w:szCs w:val="21"/>
          <w14:textFill>
            <w14:solidFill>
              <w14:schemeClr w14:val="tx1"/>
            </w14:solidFill>
          </w14:textFill>
        </w:rPr>
        <w:t>本项目污染源排放清单</w:t>
      </w:r>
    </w:p>
    <w:tbl>
      <w:tblPr>
        <w:tblStyle w:val="21"/>
        <w:tblW w:w="8326" w:type="dxa"/>
        <w:jc w:val="center"/>
        <w:tblInd w:w="0" w:type="dxa"/>
        <w:tblLayout w:type="fixed"/>
        <w:tblCellMar>
          <w:top w:w="0" w:type="dxa"/>
          <w:left w:w="10" w:type="dxa"/>
          <w:bottom w:w="0" w:type="dxa"/>
          <w:right w:w="10" w:type="dxa"/>
        </w:tblCellMar>
      </w:tblPr>
      <w:tblGrid>
        <w:gridCol w:w="401"/>
        <w:gridCol w:w="552"/>
        <w:gridCol w:w="2320"/>
        <w:gridCol w:w="650"/>
        <w:gridCol w:w="2950"/>
        <w:gridCol w:w="633"/>
        <w:gridCol w:w="820"/>
      </w:tblGrid>
      <w:tr>
        <w:tblPrEx>
          <w:tblLayout w:type="fixed"/>
          <w:tblCellMar>
            <w:top w:w="0" w:type="dxa"/>
            <w:left w:w="10" w:type="dxa"/>
            <w:bottom w:w="0" w:type="dxa"/>
            <w:right w:w="10" w:type="dxa"/>
          </w:tblCellMar>
        </w:tblPrEx>
        <w:trPr>
          <w:trHeight w:val="662" w:hRule="exact"/>
          <w:jc w:val="center"/>
        </w:trPr>
        <w:tc>
          <w:tcPr>
            <w:tcW w:w="953" w:type="dxa"/>
            <w:gridSpan w:val="2"/>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类别</w:t>
            </w:r>
          </w:p>
        </w:tc>
        <w:tc>
          <w:tcPr>
            <w:tcW w:w="232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环保措施</w:t>
            </w:r>
          </w:p>
        </w:tc>
        <w:tc>
          <w:tcPr>
            <w:tcW w:w="650"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污染物</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种类</w:t>
            </w:r>
          </w:p>
        </w:tc>
        <w:tc>
          <w:tcPr>
            <w:tcW w:w="295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排放标准</w:t>
            </w:r>
          </w:p>
        </w:tc>
        <w:tc>
          <w:tcPr>
            <w:tcW w:w="63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总量指标</w:t>
            </w:r>
          </w:p>
        </w:tc>
        <w:tc>
          <w:tcPr>
            <w:tcW w:w="820" w:type="dxa"/>
            <w:tcBorders>
              <w:top w:val="single" w:color="auto" w:sz="4" w:space="0"/>
              <w:left w:val="single" w:color="auto" w:sz="4" w:space="0"/>
              <w:righ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排放口</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信息</w:t>
            </w:r>
          </w:p>
        </w:tc>
      </w:tr>
      <w:tr>
        <w:tblPrEx>
          <w:tblLayout w:type="fixed"/>
          <w:tblCellMar>
            <w:top w:w="0" w:type="dxa"/>
            <w:left w:w="10" w:type="dxa"/>
            <w:bottom w:w="0" w:type="dxa"/>
            <w:right w:w="10" w:type="dxa"/>
          </w:tblCellMar>
        </w:tblPrEx>
        <w:trPr>
          <w:trHeight w:val="5080" w:hRule="exact"/>
          <w:jc w:val="center"/>
        </w:trPr>
        <w:tc>
          <w:tcPr>
            <w:tcW w:w="40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烟</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气</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处</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理</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设</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施</w:t>
            </w:r>
          </w:p>
        </w:tc>
        <w:tc>
          <w:tcPr>
            <w:tcW w:w="552"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锅</w:t>
            </w:r>
            <w:r>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炉废气</w:t>
            </w:r>
          </w:p>
        </w:tc>
        <w:tc>
          <w:tcPr>
            <w:tcW w:w="232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脱硫采用循环流化床锅 炉内脱硫方案，炉后采用循环流化床半干法</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CFB</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脱硫工艺；脱硝采用</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 xml:space="preserve">SNCR </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脱硝装置脱硝，脱硝效率</w:t>
            </w:r>
            <w:r>
              <w:rPr>
                <w:rStyle w:val="38"/>
                <w:rFonts w:hint="default" w:ascii="Arial" w:hAnsi="Arial" w:eastAsia="宋体" w:cs="Arial"/>
                <w:b w:val="0"/>
                <w:bCs w:val="0"/>
                <w:i w:val="0"/>
                <w:iCs w:val="0"/>
                <w:smallCaps w:val="0"/>
                <w:strike w:val="0"/>
                <w:color w:val="000000" w:themeColor="text1"/>
                <w:sz w:val="21"/>
                <w:szCs w:val="21"/>
                <w:lang w:val="zh-CN" w:eastAsia="zh-CN" w:bidi="zh-CN"/>
                <w14:textFill>
                  <w14:solidFill>
                    <w14:schemeClr w14:val="tx1"/>
                  </w14:solidFill>
                </w14:textFill>
              </w:rPr>
              <w:t>≥</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zh-CN"/>
                <w14:textFill>
                  <w14:solidFill>
                    <w14:schemeClr w14:val="tx1"/>
                  </w14:solidFill>
                </w14:textFill>
              </w:rPr>
              <w:t>60</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%;除尘采用布袋除尘器，除尘效率不低于99.96%。</w:t>
            </w:r>
          </w:p>
        </w:tc>
        <w:tc>
          <w:tcPr>
            <w:tcW w:w="65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SO</w:t>
            </w:r>
            <w:r>
              <w:rPr>
                <w:rStyle w:val="38"/>
                <w:rFonts w:hint="eastAsia" w:ascii="Times New Roman" w:hAnsi="Times New Roman" w:eastAsia="宋体" w:cs="Times New Roman"/>
                <w:b w:val="0"/>
                <w:bCs w:val="0"/>
                <w:i w:val="0"/>
                <w:iCs w:val="0"/>
                <w:smallCaps w:val="0"/>
                <w:strike w:val="0"/>
                <w:color w:val="000000" w:themeColor="text1"/>
                <w:sz w:val="21"/>
                <w:szCs w:val="21"/>
                <w:vertAlign w:val="subscript"/>
                <w:lang w:val="en-US" w:eastAsia="zh-CN"/>
                <w14:textFill>
                  <w14:solidFill>
                    <w14:schemeClr w14:val="tx1"/>
                  </w14:solidFill>
                </w14:textFill>
              </w:rPr>
              <w:t>2</w:t>
            </w:r>
            <w:r>
              <w:rPr>
                <w:rStyle w:val="79"/>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NO</w:t>
            </w:r>
            <w:r>
              <w:rPr>
                <w:rStyle w:val="38"/>
                <w:rFonts w:hint="default" w:ascii="Times New Roman" w:hAnsi="Times New Roman" w:eastAsia="宋体" w:cs="Times New Roman"/>
                <w:b w:val="0"/>
                <w:bCs w:val="0"/>
                <w:i w:val="0"/>
                <w:iCs w:val="0"/>
                <w:smallCaps w:val="0"/>
                <w:strike w:val="0"/>
                <w:color w:val="000000" w:themeColor="text1"/>
                <w:sz w:val="21"/>
                <w:szCs w:val="21"/>
                <w:vertAlign w:val="subscript"/>
                <w14:textFill>
                  <w14:solidFill>
                    <w14:schemeClr w14:val="tx1"/>
                  </w14:solidFill>
                </w14:textFill>
              </w:rPr>
              <w:t>x</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PM</w:t>
            </w:r>
            <w:r>
              <w:rPr>
                <w:rStyle w:val="79"/>
                <w:rFonts w:hint="eastAsia" w:ascii="Times New Roman" w:hAnsi="Times New Roman" w:eastAsia="宋体" w:cs="Times New Roman"/>
                <w:b w:val="0"/>
                <w:bCs w:val="0"/>
                <w:i w:val="0"/>
                <w:iCs w:val="0"/>
                <w:smallCaps w:val="0"/>
                <w:strike w:val="0"/>
                <w:color w:val="000000" w:themeColor="text1"/>
                <w:sz w:val="21"/>
                <w:szCs w:val="21"/>
                <w:vertAlign w:val="subscript"/>
                <w:lang w:val="en-US" w:eastAsia="zh-CN" w:bidi="en-US"/>
                <w14:textFill>
                  <w14:solidFill>
                    <w14:schemeClr w14:val="tx1"/>
                  </w14:solidFill>
                </w14:textFill>
              </w:rPr>
              <w:t>10</w:t>
            </w:r>
            <w:r>
              <w:rPr>
                <w:rStyle w:val="79"/>
                <w:rFonts w:hint="default" w:ascii="Times New Roman" w:hAnsi="Times New Roman" w:eastAsia="宋体" w:cs="Times New Roman"/>
                <w:b w:val="0"/>
                <w:bCs w:val="0"/>
                <w:i w:val="0"/>
                <w:iCs w:val="0"/>
                <w:smallCaps w:val="0"/>
                <w:strike w:val="0"/>
                <w:color w:val="000000" w:themeColor="text1"/>
                <w:sz w:val="21"/>
                <w:szCs w:val="21"/>
                <w:lang w:val="en-US" w:eastAsia="en-US" w:bidi="en-US"/>
                <w14:textFill>
                  <w14:solidFill>
                    <w14:schemeClr w14:val="tx1"/>
                  </w14:solidFill>
                </w14:textFill>
              </w:rPr>
              <w:t>、</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Hg</w:t>
            </w:r>
          </w:p>
        </w:tc>
        <w:tc>
          <w:tcPr>
            <w:tcW w:w="2950" w:type="dxa"/>
            <w:tcBorders>
              <w:top w:val="single" w:color="auto" w:sz="4" w:space="0"/>
              <w:left w:val="single" w:color="auto" w:sz="4" w:space="0"/>
            </w:tcBorders>
            <w:shd w:val="clear" w:color="auto" w:fill="FFFFFF"/>
            <w:noWrap w:val="0"/>
            <w:vAlign w:val="bottom"/>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 xml:space="preserve">根据《煤电节能减排升级 与改造行动计划 </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(2014-2020</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年)》(发改能源〔2014〕2093号)文中“鼓励西部地区新建机组接近或达到燃气轮机组排放限值”要求，本工程锅炉烟尘、二氧化硫、氮氧化物设计采用燃气轮机组排放标准值，即烟尘、二氧化硫、氮氧化物浓度分别不高于</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mg</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Nm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14:textFill>
                  <w14:solidFill>
                    <w14:schemeClr w14:val="tx1"/>
                  </w14:solidFill>
                </w14:textFill>
              </w:rPr>
              <w:t>3</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、35</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mg</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Nm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14:textFill>
                  <w14:solidFill>
                    <w14:schemeClr w14:val="tx1"/>
                  </w14:solidFill>
                </w14:textFill>
              </w:rPr>
              <w:t>3</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 50</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mg</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Nm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14:textFill>
                  <w14:solidFill>
                    <w14:schemeClr w14:val="tx1"/>
                  </w14:solidFill>
                </w14:textFill>
              </w:rPr>
              <w:t>3</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根据新疆维吾尔自治区地方标准《燃煤电厂烟气汞污染物排放标准》</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DB</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65/</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 xml:space="preserve">3909-2016), </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本工程烟气汞排放标准执行</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.02</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mg</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Nm</w:t>
            </w:r>
            <w:r>
              <w:rPr>
                <w:rStyle w:val="38"/>
                <w:rFonts w:hint="default" w:ascii="Times New Roman" w:hAnsi="Times New Roman" w:eastAsia="宋体" w:cs="Times New Roman"/>
                <w:b w:val="0"/>
                <w:bCs w:val="0"/>
                <w:i w:val="0"/>
                <w:iCs w:val="0"/>
                <w:smallCaps w:val="0"/>
                <w:strike w:val="0"/>
                <w:color w:val="000000" w:themeColor="text1"/>
                <w:sz w:val="21"/>
                <w:szCs w:val="21"/>
                <w:vertAlign w:val="superscript"/>
                <w14:textFill>
                  <w14:solidFill>
                    <w14:schemeClr w14:val="tx1"/>
                  </w14:solidFill>
                </w14:textFill>
              </w:rPr>
              <w:t>3</w:t>
            </w:r>
          </w:p>
        </w:tc>
        <w:tc>
          <w:tcPr>
            <w:tcW w:w="63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重点污染 物：</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SO</w:t>
            </w:r>
            <w:r>
              <w:rPr>
                <w:rStyle w:val="38"/>
                <w:rFonts w:hint="eastAsia" w:ascii="Times New Roman" w:hAnsi="Times New Roman" w:eastAsia="宋体" w:cs="Times New Roman"/>
                <w:b w:val="0"/>
                <w:bCs w:val="0"/>
                <w:i w:val="0"/>
                <w:iCs w:val="0"/>
                <w:smallCaps w:val="0"/>
                <w:strike w:val="0"/>
                <w:color w:val="000000" w:themeColor="text1"/>
                <w:sz w:val="21"/>
                <w:szCs w:val="21"/>
                <w:vertAlign w:val="subscript"/>
                <w:lang w:val="en-US" w:eastAsia="zh-CN"/>
                <w14:textFill>
                  <w14:solidFill>
                    <w14:schemeClr w14:val="tx1"/>
                  </w14:solidFill>
                </w14:textFill>
              </w:rPr>
              <w:t>2</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1.9.22</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 xml:space="preserve"> </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a</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NO</w:t>
            </w:r>
            <w:r>
              <w:rPr>
                <w:rStyle w:val="34"/>
                <w:rFonts w:hint="default" w:ascii="Times New Roman" w:hAnsi="Times New Roman" w:eastAsia="宋体" w:cs="Times New Roman"/>
                <w:b w:val="0"/>
                <w:bCs w:val="0"/>
                <w:i w:val="0"/>
                <w:iCs w:val="0"/>
                <w:smallCaps w:val="0"/>
                <w:strike w:val="0"/>
                <w:color w:val="000000" w:themeColor="text1"/>
                <w:sz w:val="21"/>
                <w:szCs w:val="21"/>
                <w:vertAlign w:val="subscript"/>
                <w14:textFill>
                  <w14:solidFill>
                    <w14:schemeClr w14:val="tx1"/>
                  </w14:solidFill>
                </w14:textFill>
              </w:rPr>
              <w:t>x</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1</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54</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02</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a</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烟尘</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13.97</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t</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a</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tc>
        <w:tc>
          <w:tcPr>
            <w:tcW w:w="820"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一座高度</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14:textFill>
                  <w14:solidFill>
                    <w14:schemeClr w14:val="tx1"/>
                  </w14:solidFill>
                </w14:textFill>
              </w:rPr>
              <w:t>80</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w:t>
            </w:r>
            <w:r>
              <w:rPr>
                <w:rStyle w:val="34"/>
                <w:rFonts w:hint="eastAsia" w:ascii="Times New Roman" w:hAnsi="Times New Roman" w:eastAsia="宋体" w:cs="Times New Roman"/>
                <w:b w:val="0"/>
                <w:bCs w:val="0"/>
                <w:i w:val="0"/>
                <w:iCs w:val="0"/>
                <w:smallCaps w:val="0"/>
                <w:strike w:val="0"/>
                <w:color w:val="000000" w:themeColor="text1"/>
                <w:sz w:val="21"/>
                <w:szCs w:val="21"/>
                <w:lang w:eastAsia="zh-CN"/>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出 口直径为</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zh-CN"/>
                <w14:textFill>
                  <w14:solidFill>
                    <w14:schemeClr w14:val="tx1"/>
                  </w14:solidFill>
                </w14:textFill>
              </w:rPr>
              <w:t>4</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.5</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m</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的双套筒烟囱</w:t>
            </w:r>
          </w:p>
        </w:tc>
      </w:tr>
      <w:tr>
        <w:tblPrEx>
          <w:tblLayout w:type="fixed"/>
          <w:tblCellMar>
            <w:top w:w="0" w:type="dxa"/>
            <w:left w:w="10" w:type="dxa"/>
            <w:bottom w:w="0" w:type="dxa"/>
            <w:right w:w="10" w:type="dxa"/>
          </w:tblCellMar>
        </w:tblPrEx>
        <w:trPr>
          <w:trHeight w:val="7853" w:hRule="exact"/>
          <w:jc w:val="center"/>
        </w:trPr>
        <w:tc>
          <w:tcPr>
            <w:tcW w:w="401" w:type="dxa"/>
            <w:tcBorders>
              <w:top w:val="single" w:color="auto" w:sz="4" w:space="0"/>
              <w:left w:val="single" w:color="auto" w:sz="4" w:space="0"/>
              <w:bottom w:val="single" w:color="auto" w:sz="4" w:space="0"/>
            </w:tcBorders>
            <w:shd w:val="clear" w:color="auto" w:fill="FFFFFF"/>
            <w:noWrap w:val="0"/>
            <w:textDirection w:val="tbRlV"/>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废水</w:t>
            </w:r>
          </w:p>
        </w:tc>
        <w:tc>
          <w:tcPr>
            <w:tcW w:w="552"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生产</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废水</w:t>
            </w:r>
          </w:p>
        </w:tc>
        <w:tc>
          <w:tcPr>
            <w:tcW w:w="2320" w:type="dxa"/>
            <w:tcBorders>
              <w:top w:val="single" w:color="auto" w:sz="4" w:space="0"/>
              <w:left w:val="single" w:color="auto" w:sz="4" w:space="0"/>
              <w:bottom w:val="single" w:color="auto" w:sz="4" w:space="0"/>
            </w:tcBorders>
            <w:shd w:val="clear" w:color="auto" w:fill="FFFFFF"/>
            <w:noWrap w:val="0"/>
            <w:vAlign w:val="top"/>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79"/>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①</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循环排污水：工程总排水经废水处理设施处理及清水池回用水回收后用于厂区；冬季处理达标后会用至清水池。②化学处理系统排出的酸碱废水，经中和池中和处理达标后</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pH</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w:t>
            </w:r>
            <w:r>
              <w:rPr>
                <w:rStyle w:val="79"/>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9)，排入工业废水处理系统处理复用。③新锅炉投产前和锅炉大修后需进行酸洗，大修周期为每炉5年左右一次，每次排水量约</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2000</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t</w:t>
            </w:r>
            <w:r>
              <w:rPr>
                <w:rStyle w:val="34"/>
                <w:rFonts w:hint="eastAsia" w:ascii="Times New Roman" w:hAnsi="Times New Roman" w:eastAsia="宋体" w:cs="Times New Roman"/>
                <w:b w:val="0"/>
                <w:bCs w:val="0"/>
                <w:i w:val="0"/>
                <w:iCs w:val="0"/>
                <w:smallCaps w:val="0"/>
                <w:strike w:val="0"/>
                <w:color w:val="000000" w:themeColor="text1"/>
                <w:sz w:val="21"/>
                <w:szCs w:val="21"/>
                <w:lang w:eastAsia="zh-CN"/>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用无机酸洗炉时，排水经临时酸碱处理达标后可重复利用。④锅炉补给用水排出的反渗透排水，经酸碱废水处理设施处理达标后</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pH</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=6~9)，</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排入集水池排到市政处理管网回用。⑤超滤反冲洗水排入排水经临时酸碱处理</w:t>
            </w:r>
            <w:r>
              <w:rPr>
                <w:rStyle w:val="79"/>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。⑥</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脱硝废水经工业废水处理系统处理后排入清水池回用。</w:t>
            </w:r>
          </w:p>
        </w:tc>
        <w:tc>
          <w:tcPr>
            <w:tcW w:w="650"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pH</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SS</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石油类</w:t>
            </w:r>
          </w:p>
        </w:tc>
        <w:tc>
          <w:tcPr>
            <w:tcW w:w="2950"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处理后回用，无废水外排</w:t>
            </w:r>
          </w:p>
        </w:tc>
        <w:tc>
          <w:tcPr>
            <w:tcW w:w="633"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无</w:t>
            </w:r>
          </w:p>
        </w:tc>
        <w:tc>
          <w:tcPr>
            <w:tcW w:w="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w:t>
            </w:r>
          </w:p>
        </w:tc>
      </w:tr>
    </w:tbl>
    <w:p>
      <w:pPr>
        <w:pStyle w:val="146"/>
        <w:keepNext w:val="0"/>
        <w:keepLines w:val="0"/>
        <w:pageBreakBefore w:val="0"/>
        <w:widowControl w:val="0"/>
        <w:numPr>
          <w:ilvl w:val="2"/>
          <w:numId w:val="0"/>
        </w:numPr>
        <w:kinsoku/>
        <w:wordWrap/>
        <w:overflowPunct/>
        <w:topLinePunct w:val="0"/>
        <w:autoSpaceDE/>
        <w:autoSpaceDN/>
        <w:bidi w:val="0"/>
        <w:adjustRightInd w:val="0"/>
        <w:snapToGrid w:val="0"/>
        <w:spacing w:before="313" w:beforeLines="100"/>
        <w:ind w:left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eastAsia"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lang w:val="en-US" w:eastAsia="zh-CN"/>
          <w14:textFill>
            <w14:solidFill>
              <w14:schemeClr w14:val="tx1"/>
            </w14:solidFill>
          </w14:textFill>
        </w:rPr>
        <w:t>排污口规范化</w:t>
      </w:r>
      <w:bookmarkEnd w:id="481"/>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本项目应按《环境保护图形标志—排放口（源）》（GB15562.1-1995）规定的图形，在各气、水、声排污口（源）挂牌标识，做到各排污口（源）的环保标志明显，便于企业管理和公众监督。</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列入总量控制污染物的排污口为管理的重点，排污口应便于采样与计量监测，便于日常现场监督检查。排污口位置必须合理确定，按环监[1996]470号文件要求进行规范化管理。</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污染物排放口的环保图形标志牌应设置在靠近采样点的醒目位置处，标志牌设置高度为其上缘距地面约2m高处。</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本项目的排污口为一般排污口，其污染物排放口或固体废物贮存处置场地可以根据情况设置立式或平面固定式标志牌。一般污染物排放口或固体废物贮存堆放场地设置提示性环境保护图形标志牌。</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环境保护图形标志具体设置图形见表</w:t>
      </w:r>
      <w:r>
        <w:rPr>
          <w:rFonts w:hint="eastAsia" w:ascii="Times New Roman" w:hAnsi="Times New Roman" w:cs="Times New Roman"/>
          <w:color w:val="000000" w:themeColor="text1"/>
          <w:sz w:val="24"/>
          <w:szCs w:val="24"/>
          <w:lang w:val="en-US" w:eastAsia="zh-CN"/>
          <w14:textFill>
            <w14:solidFill>
              <w14:schemeClr w14:val="tx1"/>
            </w14:solidFill>
          </w14:textFill>
        </w:rPr>
        <w:t>8</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w:t>
      </w:r>
    </w:p>
    <w:p>
      <w:pPr>
        <w:pStyle w:val="148"/>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t>表</w:t>
      </w:r>
      <w:r>
        <w:rPr>
          <w:rFonts w:hint="eastAsia" w:ascii="Times New Roman" w:hAnsi="Times New Roman" w:eastAsia="黑体" w:cs="Times New Roman"/>
          <w:color w:val="000000" w:themeColor="text1"/>
          <w:kern w:val="2"/>
          <w:sz w:val="21"/>
          <w:szCs w:val="22"/>
          <w:lang w:val="en-US" w:eastAsia="zh-CN" w:bidi="ar-SA"/>
          <w14:textFill>
            <w14:solidFill>
              <w14:schemeClr w14:val="tx1"/>
            </w14:solidFill>
          </w14:textFill>
        </w:rPr>
        <w:t>8</w:t>
      </w:r>
      <w:r>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t>.1-</w:t>
      </w:r>
      <w:r>
        <w:rPr>
          <w:rFonts w:hint="eastAsia" w:ascii="Times New Roman" w:hAnsi="Times New Roman" w:eastAsia="黑体" w:cs="Times New Roman"/>
          <w:color w:val="000000" w:themeColor="text1"/>
          <w:kern w:val="2"/>
          <w:sz w:val="21"/>
          <w:szCs w:val="22"/>
          <w:lang w:val="en-US" w:eastAsia="zh-CN" w:bidi="ar-SA"/>
          <w14:textFill>
            <w14:solidFill>
              <w14:schemeClr w14:val="tx1"/>
            </w14:solidFill>
          </w14:textFill>
        </w:rPr>
        <w:t>2</w:t>
      </w:r>
      <w:r>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t xml:space="preserve">   环境保护图形标志设置图形表</w:t>
      </w:r>
    </w:p>
    <w:tbl>
      <w:tblPr>
        <w:tblStyle w:val="21"/>
        <w:tblW w:w="8521"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32"/>
        <w:gridCol w:w="2430"/>
        <w:gridCol w:w="2430"/>
        <w:gridCol w:w="242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32" w:type="dxa"/>
            <w:noWrap w:val="0"/>
            <w:vAlign w:val="center"/>
          </w:tcPr>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排放口</w:t>
            </w:r>
          </w:p>
        </w:tc>
        <w:tc>
          <w:tcPr>
            <w:tcW w:w="2430" w:type="dxa"/>
            <w:noWrap w:val="0"/>
            <w:vAlign w:val="center"/>
          </w:tcPr>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2971008" behindDoc="0" locked="0" layoutInCell="1" allowOverlap="1">
                      <wp:simplePos x="0" y="0"/>
                      <wp:positionH relativeFrom="column">
                        <wp:posOffset>332105</wp:posOffset>
                      </wp:positionH>
                      <wp:positionV relativeFrom="paragraph">
                        <wp:posOffset>203835</wp:posOffset>
                      </wp:positionV>
                      <wp:extent cx="3917950" cy="863600"/>
                      <wp:effectExtent l="0" t="0" r="6350" b="12700"/>
                      <wp:wrapNone/>
                      <wp:docPr id="622" name="组合 6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17950" cy="863600"/>
                                <a:chOff x="0" y="0"/>
                                <a:chExt cx="6120" cy="1349"/>
                              </a:xfrm>
                              <a:effectLst/>
                            </wpg:grpSpPr>
                            <pic:pic xmlns:pic="http://schemas.openxmlformats.org/drawingml/2006/picture">
                              <pic:nvPicPr>
                                <pic:cNvPr id="623" name="图片框 15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1304" cy="1349"/>
                                </a:xfrm>
                                <a:prstGeom prst="rect">
                                  <a:avLst/>
                                </a:prstGeom>
                                <a:noFill/>
                                <a:ln>
                                  <a:noFill/>
                                </a:ln>
                                <a:effectLst/>
                              </pic:spPr>
                            </pic:pic>
                            <pic:pic xmlns:pic="http://schemas.openxmlformats.org/drawingml/2006/picture">
                              <pic:nvPicPr>
                                <pic:cNvPr id="624" name="图片框 15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4680" y="0"/>
                                  <a:ext cx="1440" cy="1188"/>
                                </a:xfrm>
                                <a:prstGeom prst="rect">
                                  <a:avLst/>
                                </a:prstGeom>
                                <a:noFill/>
                                <a:ln>
                                  <a:noFill/>
                                </a:ln>
                                <a:effectLst/>
                              </pic:spPr>
                            </pic:pic>
                            <pic:pic xmlns:pic="http://schemas.openxmlformats.org/drawingml/2006/picture">
                              <pic:nvPicPr>
                                <pic:cNvPr id="625" name="图片框 15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2160" y="0"/>
                                  <a:ext cx="1476" cy="1213"/>
                                </a:xfrm>
                                <a:prstGeom prst="rect">
                                  <a:avLst/>
                                </a:prstGeom>
                                <a:noFill/>
                                <a:ln>
                                  <a:noFill/>
                                </a:ln>
                                <a:effectLst/>
                              </pic:spPr>
                            </pic:pic>
                          </wpg:wgp>
                        </a:graphicData>
                      </a:graphic>
                    </wp:anchor>
                  </w:drawing>
                </mc:Choice>
                <mc:Fallback>
                  <w:pict>
                    <v:group id="_x0000_s1026" o:spid="_x0000_s1026" o:spt="203" style="position:absolute;left:0pt;margin-left:26.15pt;margin-top:16.05pt;height:68pt;width:308.5pt;z-index:252971008;mso-width-relative:page;mso-height-relative:page;" coordsize="6120,1349" o:gfxdata="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DcnR2HGAAAAKQIAABkAAABkcnMvX3JlbHMvZTJv&#10;RG9jLnhtbC5yZWxzvZHBagIxEIbvQt8hzL2b3RWKiFkvIngV+wBDMpsNbiYhiaW+vYFSqCD15nFm&#10;+L//g9lsv/0svihlF1hB17QgiHUwjq2Cz9P+fQUiF2SDc2BScKUM2+FtsTnSjKWG8uRiFpXCWcFU&#10;SlxLmfVEHnMTInG9jCF5LHVMVkbUZ7Qk+7b9kOkvA4Y7pjgYBelgliBO11ibn7PDODpNu6Avnrg8&#10;qJDO1+4KxGSpKPBkHP4sl01kC/KxQ/8ah/4/h+41Dt2vg7x78H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">
                      <o:lock v:ext="edit" aspectratio="t"/>
                      <v:shape id="图片框 1521" o:spid="_x0000_s1026" o:spt="75" type="#_x0000_t75" style="position:absolute;left:0;top:0;height:1349;width:1304;" filled="f" o:preferrelative="t" stroked="f" coordsize="21600,21600" o:gfxdata="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dBNu/&#10;AAAA3AAAAA8AAAAAAAAAAQAgAAAAIgAAAGRycy9kb3ducmV2LnhtbFBLAQIUABQAAAAIAIdO4kAz&#10;LwWeOwAAADkAAAAQAAAAAAAAAAEAIAAAAA4BAABkcnMvc2hhcGV4bWwueG1sUEsFBgAAAAAGAAYA&#10;WwEAALgDAAAAAA==&#10;">
                        <v:fill on="f" focussize="0,0"/>
                        <v:stroke on="f"/>
                        <v:imagedata r:id="rId100" o:title=""/>
                        <o:lock v:ext="edit" aspectratio="t"/>
                      </v:shape>
                      <v:shape id="图片框 1522" o:spid="_x0000_s1026" o:spt="75" type="#_x0000_t75" style="position:absolute;left:4680;top:0;height:1188;width:1440;" filled="f" o:preferrelative="t" stroked="f" coordsize="21600,21600" o:gfxdata="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ucCtvQAA&#10;ANwAAAAPAAAAAAAAAAEAIAAAACIAAABkcnMvZG93bnJldi54bWxQSwECFAAUAAAACACHTuJAMy8F&#10;njsAAAA5AAAAEAAAAAAAAAABACAAAAAMAQAAZHJzL3NoYXBleG1sLnhtbFBLBQYAAAAABgAGAFsB&#10;AAC2AwAAAAA=&#10;">
                        <v:fill on="f" focussize="0,0"/>
                        <v:stroke on="f"/>
                        <v:imagedata r:id="rId101" o:title=""/>
                        <o:lock v:ext="edit" aspectratio="t"/>
                      </v:shape>
                      <v:shape id="图片框 1523" o:spid="_x0000_s1026" o:spt="75" type="#_x0000_t75" style="position:absolute;left:2160;top:0;height:1213;width:1476;" filled="f" o:preferrelative="t" stroked="f" coordsize="21600,21600" o:gfxdata="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eD74A&#10;AADcAAAADwAAAAAAAAABACAAAAAiAAAAZHJzL2Rvd25yZXYueG1sUEsBAhQAFAAAAAgAh07iQDMv&#10;BZ47AAAAOQAAABAAAAAAAAAAAQAgAAAADQEAAGRycy9zaGFwZXhtbC54bWxQSwUGAAAAAAYABgBb&#10;AQAAtwMAAAAA&#10;">
                        <v:fill on="f" focussize="0,0"/>
                        <v:stroke on="f"/>
                        <v:imagedata r:id="rId102" o:title=""/>
                        <o:lock v:ext="edit" aspectratio="t"/>
                      </v:shape>
                    </v:group>
                  </w:pict>
                </mc:Fallback>
              </mc:AlternateContent>
            </w:r>
            <w:r>
              <w:rPr>
                <w:rFonts w:hint="default" w:ascii="Times New Roman" w:hAnsi="Times New Roman" w:eastAsia="宋体" w:cs="Times New Roman"/>
                <w:color w:val="000000" w:themeColor="text1"/>
                <w:sz w:val="21"/>
                <w:szCs w:val="21"/>
                <w14:textFill>
                  <w14:solidFill>
                    <w14:schemeClr w14:val="tx1"/>
                  </w14:solidFill>
                </w14:textFill>
              </w:rPr>
              <w:t>提示标志</w:t>
            </w:r>
          </w:p>
        </w:tc>
        <w:tc>
          <w:tcPr>
            <w:tcW w:w="2430" w:type="dxa"/>
            <w:noWrap w:val="0"/>
            <w:vAlign w:val="center"/>
          </w:tcPr>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提示标志</w:t>
            </w:r>
          </w:p>
        </w:tc>
        <w:tc>
          <w:tcPr>
            <w:tcW w:w="2429" w:type="dxa"/>
            <w:noWrap w:val="0"/>
            <w:vAlign w:val="center"/>
          </w:tcPr>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一般固体废物</w:t>
            </w:r>
          </w:p>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提示标志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507" w:hRule="atLeast"/>
          <w:jc w:val="center"/>
        </w:trPr>
        <w:tc>
          <w:tcPr>
            <w:tcW w:w="1232" w:type="dxa"/>
            <w:shd w:val="clear" w:color="auto" w:fill="auto"/>
            <w:noWrap w:val="0"/>
            <w:vAlign w:val="center"/>
          </w:tcPr>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图形</w:t>
            </w:r>
          </w:p>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符号</w:t>
            </w:r>
          </w:p>
        </w:tc>
        <w:tc>
          <w:tcPr>
            <w:tcW w:w="2430" w:type="dxa"/>
            <w:shd w:val="clear" w:color="auto" w:fill="008000"/>
            <w:noWrap w:val="0"/>
            <w:vAlign w:val="center"/>
          </w:tcPr>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430" w:type="dxa"/>
            <w:shd w:val="clear" w:color="auto" w:fill="008000"/>
            <w:noWrap w:val="0"/>
            <w:vAlign w:val="center"/>
          </w:tcPr>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429" w:type="dxa"/>
            <w:shd w:val="clear" w:color="auto" w:fill="008000"/>
            <w:noWrap w:val="0"/>
            <w:vAlign w:val="center"/>
          </w:tcPr>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32" w:type="dxa"/>
            <w:noWrap w:val="0"/>
            <w:vAlign w:val="center"/>
          </w:tcPr>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颜色</w:t>
            </w:r>
          </w:p>
        </w:tc>
        <w:tc>
          <w:tcPr>
            <w:tcW w:w="7289" w:type="dxa"/>
            <w:gridSpan w:val="3"/>
            <w:noWrap w:val="0"/>
            <w:vAlign w:val="center"/>
          </w:tcPr>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背景：绿色；图形：白色</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32" w:type="dxa"/>
            <w:noWrap w:val="0"/>
            <w:vAlign w:val="center"/>
          </w:tcPr>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排放口</w:t>
            </w:r>
          </w:p>
        </w:tc>
        <w:tc>
          <w:tcPr>
            <w:tcW w:w="7289" w:type="dxa"/>
            <w:gridSpan w:val="3"/>
            <w:noWrap w:val="0"/>
            <w:vAlign w:val="center"/>
          </w:tcPr>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危险废物警告标志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32" w:type="dxa"/>
            <w:noWrap w:val="0"/>
            <w:vAlign w:val="center"/>
          </w:tcPr>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图形</w:t>
            </w:r>
          </w:p>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符号</w:t>
            </w:r>
          </w:p>
        </w:tc>
        <w:tc>
          <w:tcPr>
            <w:tcW w:w="7289" w:type="dxa"/>
            <w:gridSpan w:val="3"/>
            <w:noWrap w:val="0"/>
            <w:vAlign w:val="center"/>
          </w:tcPr>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1076325" cy="866775"/>
                  <wp:effectExtent l="0" t="0" r="9525" b="9525"/>
                  <wp:docPr id="8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1"/>
                          <pic:cNvPicPr>
                            <a:picLocks noChangeAspect="1"/>
                          </pic:cNvPicPr>
                        </pic:nvPicPr>
                        <pic:blipFill>
                          <a:blip r:embed="rId103"/>
                          <a:stretch>
                            <a:fillRect/>
                          </a:stretch>
                        </pic:blipFill>
                        <pic:spPr>
                          <a:xfrm>
                            <a:off x="0" y="0"/>
                            <a:ext cx="1076325" cy="8667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32" w:type="dxa"/>
            <w:noWrap w:val="0"/>
            <w:vAlign w:val="center"/>
          </w:tcPr>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颜色</w:t>
            </w:r>
          </w:p>
        </w:tc>
        <w:tc>
          <w:tcPr>
            <w:tcW w:w="7289" w:type="dxa"/>
            <w:gridSpan w:val="3"/>
            <w:noWrap w:val="0"/>
            <w:vAlign w:val="center"/>
          </w:tcPr>
          <w:p>
            <w:pPr>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背景：黄色；图形：黑色</w:t>
            </w:r>
          </w:p>
        </w:tc>
      </w:tr>
    </w:tbl>
    <w:p>
      <w:pPr>
        <w:pStyle w:val="145"/>
        <w:keepNext/>
        <w:keepLines/>
        <w:pageBreakBefore w:val="0"/>
        <w:widowControl w:val="0"/>
        <w:numPr>
          <w:ilvl w:val="1"/>
          <w:numId w:val="0"/>
        </w:numPr>
        <w:kinsoku/>
        <w:wordWrap/>
        <w:overflowPunct/>
        <w:topLinePunct w:val="0"/>
        <w:autoSpaceDE/>
        <w:autoSpaceDN/>
        <w:bidi w:val="0"/>
        <w:adjustRightInd/>
        <w:snapToGrid w:val="0"/>
        <w:spacing w:before="313" w:beforeLines="100"/>
        <w:ind w:leftChars="0"/>
        <w:jc w:val="left"/>
        <w:textAlignment w:val="auto"/>
        <w:rPr>
          <w:rFonts w:hint="default" w:ascii="Times New Roman" w:hAnsi="Times New Roman" w:eastAsia="宋体" w:cs="Times New Roman"/>
          <w:color w:val="000000" w:themeColor="text1"/>
          <w:sz w:val="32"/>
          <w:szCs w:val="32"/>
          <w:lang w:val="en-US" w:eastAsia="zh-CN"/>
          <w14:textFill>
            <w14:solidFill>
              <w14:schemeClr w14:val="tx1"/>
            </w14:solidFill>
          </w14:textFill>
        </w:rPr>
      </w:pPr>
      <w:bookmarkStart w:id="482" w:name="_Toc2670"/>
      <w:bookmarkStart w:id="483" w:name="_Toc1043522"/>
      <w:bookmarkStart w:id="484" w:name="_Toc532680871"/>
      <w:bookmarkStart w:id="485" w:name="_Toc18165"/>
      <w:bookmarkStart w:id="486" w:name="_Toc528747274"/>
      <w:bookmarkStart w:id="487" w:name="_Toc795815"/>
      <w:bookmarkStart w:id="488" w:name="_Toc2703428"/>
      <w:r>
        <w:rPr>
          <w:rFonts w:hint="eastAsia" w:eastAsia="宋体" w:cs="Times New Roman"/>
          <w:color w:val="000000" w:themeColor="text1"/>
          <w:sz w:val="32"/>
          <w:szCs w:val="32"/>
          <w:lang w:val="en-US" w:eastAsia="zh-CN"/>
          <w14:textFill>
            <w14:solidFill>
              <w14:schemeClr w14:val="tx1"/>
            </w14:solidFill>
          </w14:textFill>
        </w:rPr>
        <w:t>8</w:t>
      </w:r>
      <w:r>
        <w:rPr>
          <w:rFonts w:hint="default" w:ascii="Times New Roman" w:hAnsi="Times New Roman" w:eastAsia="宋体" w:cs="Times New Roman"/>
          <w:color w:val="000000" w:themeColor="text1"/>
          <w:sz w:val="32"/>
          <w:szCs w:val="32"/>
          <w:lang w:val="en-US" w:eastAsia="zh-CN"/>
          <w14:textFill>
            <w14:solidFill>
              <w14:schemeClr w14:val="tx1"/>
            </w14:solidFill>
          </w14:textFill>
        </w:rPr>
        <w:t>.2环境监测</w:t>
      </w:r>
      <w:bookmarkEnd w:id="482"/>
      <w:bookmarkEnd w:id="483"/>
      <w:bookmarkEnd w:id="484"/>
      <w:bookmarkEnd w:id="485"/>
      <w:bookmarkEnd w:id="486"/>
      <w:bookmarkEnd w:id="487"/>
      <w:bookmarkEnd w:id="488"/>
    </w:p>
    <w:p>
      <w:pPr>
        <w:pStyle w:val="146"/>
        <w:keepNext w:val="0"/>
        <w:keepLines w:val="0"/>
        <w:pageBreakBefore w:val="0"/>
        <w:widowControl w:val="0"/>
        <w:numPr>
          <w:ilvl w:val="2"/>
          <w:numId w:val="0"/>
        </w:numPr>
        <w:kinsoku/>
        <w:wordWrap/>
        <w:overflowPunct/>
        <w:topLinePunct w:val="0"/>
        <w:autoSpaceDE/>
        <w:autoSpaceDN/>
        <w:bidi w:val="0"/>
        <w:adjustRightInd w:val="0"/>
        <w:snapToGrid w:val="0"/>
        <w:ind w:left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bookmarkStart w:id="489" w:name="_Toc532680872"/>
      <w:r>
        <w:rPr>
          <w:rFonts w:hint="eastAsia" w:ascii="Times New Roman" w:hAnsi="Times New Roman" w:eastAsia="宋体"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val="en-US" w:eastAsia="zh-CN"/>
          <w14:textFill>
            <w14:solidFill>
              <w14:schemeClr w14:val="tx1"/>
            </w14:solidFill>
          </w14:textFill>
        </w:rPr>
        <w:t>.2.1环境监测意义</w:t>
      </w:r>
      <w:bookmarkEnd w:id="489"/>
    </w:p>
    <w:p>
      <w:pPr>
        <w:pStyle w:val="12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t>环境监测是项目环境管理工作的重要部分，是对项目本身运营过程中所排放的污染物进行定期监测，以掌握环境质量及其变化趋势，为控制污染物和净化环境提供依据。项目外环境的监测可以检验项目管理和治理的改进程度，也是环保管理部门对项目环保工作的重要监控手段；项目内的环境监测可以掌握污染物的排放情况，也是企业防治污染，控制排放量的有效手段。</w:t>
      </w:r>
    </w:p>
    <w:p>
      <w:pPr>
        <w:pStyle w:val="146"/>
        <w:keepNext w:val="0"/>
        <w:keepLines w:val="0"/>
        <w:pageBreakBefore w:val="0"/>
        <w:widowControl w:val="0"/>
        <w:numPr>
          <w:ilvl w:val="2"/>
          <w:numId w:val="0"/>
        </w:numPr>
        <w:kinsoku/>
        <w:wordWrap/>
        <w:overflowPunct/>
        <w:topLinePunct w:val="0"/>
        <w:autoSpaceDE/>
        <w:autoSpaceDN/>
        <w:bidi w:val="0"/>
        <w:adjustRightInd w:val="0"/>
        <w:snapToGrid w:val="0"/>
        <w:ind w:left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bookmarkStart w:id="490" w:name="_Toc532680873"/>
      <w:r>
        <w:rPr>
          <w:rFonts w:hint="eastAsia" w:ascii="Times New Roman" w:hAnsi="Times New Roman" w:eastAsia="宋体"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val="en-US" w:eastAsia="zh-CN"/>
          <w14:textFill>
            <w14:solidFill>
              <w14:schemeClr w14:val="tx1"/>
            </w14:solidFill>
          </w14:textFill>
        </w:rPr>
        <w:t>.2.2环境监测机构及监测仪器配置</w:t>
      </w:r>
      <w:bookmarkEnd w:id="490"/>
    </w:p>
    <w:p>
      <w:pPr>
        <w:pStyle w:val="12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t>项目外环境的监测应由有资质的监测单位进行，检测频次及监测项目按环保局的相关规定进行，厂内的环境监测可以由企业内部专业的环境监测分析人员或委托具有计量认证的监测单位进行。</w:t>
      </w:r>
    </w:p>
    <w:bookmarkEnd w:id="477"/>
    <w:p>
      <w:pPr>
        <w:pStyle w:val="92"/>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491" w:name="bookmark61"/>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8.2.3环境监测计划</w:t>
      </w:r>
      <w:bookmarkEnd w:id="491"/>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（1）环境监测依据</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根据《火电厂环境监测技术规范》(DL414-2012)、《排污单位自行监测技术指南火力发电及锅炉》(HJ820-2017 )、《固定污染源烟气排放连续监测技术规范》(HJ/T75-2007) 以及电厂污染源和厂址区域环境特点，制定环境监测方案，监测点的选取，监测项目及监测周期的确定按上述规范执行。</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（2）烟气监测</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监测内容包括锅炉烟气排放监测。其目的是准确、实时的监测电厂各类环境空气污染物的排放量与排放浓度，为环境管理、排污收费、特别是排污总量控制提供第一手资料，同时为各项大气污染措施维护和改造提供依据。锅炉烟气监测采用烟气连续监测系统(CEMS)进行监测。环境空气监测项目及监测周期监测计划见表8.2-1。</w:t>
      </w:r>
    </w:p>
    <w:p>
      <w:pPr>
        <w:pStyle w:val="44"/>
        <w:keepNext w:val="0"/>
        <w:keepLines w:val="0"/>
        <w:pageBreakBefore w:val="0"/>
        <w:widowControl w:val="0"/>
        <w:shd w:val="clear" w:color="auto" w:fill="auto"/>
        <w:tabs>
          <w:tab w:val="left" w:pos="2549"/>
        </w:tabs>
        <w:kinsoku/>
        <w:wordWrap/>
        <w:overflowPunct/>
        <w:topLinePunct w:val="0"/>
        <w:autoSpaceDE/>
        <w:autoSpaceDN/>
        <w:bidi w:val="0"/>
        <w:adjustRightInd/>
        <w:snapToGrid/>
        <w:spacing w:before="157" w:beforeLines="50" w:after="0" w:line="240" w:lineRule="auto"/>
        <w:ind w:left="0" w:right="0" w:firstLine="0"/>
        <w:jc w:val="center"/>
        <w:textAlignment w:val="auto"/>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表8.2-</w:t>
      </w:r>
      <w:r>
        <w:rPr>
          <w:rFonts w:hint="eastAsia" w:ascii="Times New Roman" w:hAnsi="Times New Roman" w:eastAsia="黑体" w:cs="Times New Roman"/>
          <w:color w:val="000000" w:themeColor="text1"/>
          <w:spacing w:val="0"/>
          <w:w w:val="100"/>
          <w:position w:val="0"/>
          <w:sz w:val="21"/>
          <w:szCs w:val="21"/>
          <w:lang w:val="en-US" w:eastAsia="zh-CN" w:bidi="zh-CN"/>
          <w14:textFill>
            <w14:solidFill>
              <w14:schemeClr w14:val="tx1"/>
            </w14:solidFill>
          </w14:textFill>
        </w:rPr>
        <w:t>1</w:t>
      </w:r>
      <w:r>
        <w:rPr>
          <w:rFonts w:hint="eastAsia" w:ascii="Times New Roman" w:hAnsi="Times New Roman" w:eastAsia="黑体" w:cs="Times New Roman"/>
          <w:color w:val="000000" w:themeColor="text1"/>
          <w:spacing w:val="0"/>
          <w:w w:val="100"/>
          <w:position w:val="0"/>
          <w:sz w:val="21"/>
          <w:szCs w:val="21"/>
          <w:lang w:val="zh-CN" w:eastAsia="zh-CN" w:bidi="zh-CN"/>
          <w14:textFill>
            <w14:solidFill>
              <w14:schemeClr w14:val="tx1"/>
            </w14:solidFill>
          </w14:textFill>
        </w:rPr>
        <w:t>环境空气监测项目及监测周期监测计划表</w:t>
      </w:r>
    </w:p>
    <w:tbl>
      <w:tblPr>
        <w:tblStyle w:val="21"/>
        <w:tblW w:w="8326" w:type="dxa"/>
        <w:jc w:val="center"/>
        <w:tblInd w:w="0" w:type="dxa"/>
        <w:tblLayout w:type="fixed"/>
        <w:tblCellMar>
          <w:top w:w="0" w:type="dxa"/>
          <w:left w:w="10" w:type="dxa"/>
          <w:bottom w:w="0" w:type="dxa"/>
          <w:right w:w="10" w:type="dxa"/>
        </w:tblCellMar>
      </w:tblPr>
      <w:tblGrid>
        <w:gridCol w:w="1148"/>
        <w:gridCol w:w="3421"/>
        <w:gridCol w:w="1255"/>
        <w:gridCol w:w="1247"/>
        <w:gridCol w:w="1255"/>
      </w:tblGrid>
      <w:tr>
        <w:tblPrEx>
          <w:tblLayout w:type="fixed"/>
          <w:tblCellMar>
            <w:top w:w="0" w:type="dxa"/>
            <w:left w:w="10" w:type="dxa"/>
            <w:bottom w:w="0" w:type="dxa"/>
            <w:right w:w="10" w:type="dxa"/>
          </w:tblCellMar>
        </w:tblPrEx>
        <w:trPr>
          <w:trHeight w:val="278" w:hRule="exact"/>
          <w:jc w:val="center"/>
        </w:trPr>
        <w:tc>
          <w:tcPr>
            <w:tcW w:w="114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监测位置</w:t>
            </w:r>
          </w:p>
        </w:tc>
        <w:tc>
          <w:tcPr>
            <w:tcW w:w="342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监测项目</w:t>
            </w:r>
          </w:p>
        </w:tc>
        <w:tc>
          <w:tcPr>
            <w:tcW w:w="125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监测仪器</w:t>
            </w:r>
          </w:p>
        </w:tc>
        <w:tc>
          <w:tcPr>
            <w:tcW w:w="124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监测点</w:t>
            </w:r>
          </w:p>
        </w:tc>
        <w:tc>
          <w:tcPr>
            <w:tcW w:w="125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监测周期</w:t>
            </w:r>
          </w:p>
        </w:tc>
      </w:tr>
      <w:tr>
        <w:tblPrEx>
          <w:tblLayout w:type="fixed"/>
          <w:tblCellMar>
            <w:top w:w="0" w:type="dxa"/>
            <w:left w:w="10" w:type="dxa"/>
            <w:bottom w:w="0" w:type="dxa"/>
            <w:right w:w="10" w:type="dxa"/>
          </w:tblCellMar>
        </w:tblPrEx>
        <w:trPr>
          <w:trHeight w:val="781" w:hRule="exact"/>
          <w:jc w:val="center"/>
        </w:trPr>
        <w:tc>
          <w:tcPr>
            <w:tcW w:w="1148"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烟囱</w:t>
            </w:r>
          </w:p>
        </w:tc>
        <w:tc>
          <w:tcPr>
            <w:tcW w:w="3421"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烟尘、</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S</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0</w:t>
            </w:r>
            <w:r>
              <w:rPr>
                <w:rStyle w:val="38"/>
                <w:rFonts w:hint="default" w:ascii="Times New Roman" w:hAnsi="Times New Roman" w:eastAsia="宋体" w:cs="Times New Roman"/>
                <w:b w:val="0"/>
                <w:bCs w:val="0"/>
                <w:i w:val="0"/>
                <w:iCs w:val="0"/>
                <w:smallCaps w:val="0"/>
                <w:strike w:val="0"/>
                <w:color w:val="000000" w:themeColor="text1"/>
                <w:sz w:val="21"/>
                <w:szCs w:val="21"/>
                <w:vertAlign w:val="subscript"/>
                <w14:textFill>
                  <w14:solidFill>
                    <w14:schemeClr w14:val="tx1"/>
                  </w14:solidFill>
                </w14:textFill>
              </w:rPr>
              <w:t>2</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NO</w:t>
            </w:r>
            <w:r>
              <w:rPr>
                <w:rStyle w:val="34"/>
                <w:rFonts w:hint="default" w:ascii="Times New Roman" w:hAnsi="Times New Roman" w:eastAsia="宋体" w:cs="Times New Roman"/>
                <w:b w:val="0"/>
                <w:bCs w:val="0"/>
                <w:i w:val="0"/>
                <w:iCs w:val="0"/>
                <w:smallCaps w:val="0"/>
                <w:strike w:val="0"/>
                <w:color w:val="000000" w:themeColor="text1"/>
                <w:sz w:val="21"/>
                <w:szCs w:val="21"/>
                <w:vertAlign w:val="subscript"/>
                <w14:textFill>
                  <w14:solidFill>
                    <w14:schemeClr w14:val="tx1"/>
                  </w14:solidFill>
                </w14:textFill>
              </w:rPr>
              <w:t>x</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烟温、湿度、压力、 烟速、烟气量、含氧量等</w:t>
            </w:r>
          </w:p>
        </w:tc>
        <w:tc>
          <w:tcPr>
            <w:tcW w:w="1255"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CEMS</w:t>
            </w:r>
          </w:p>
        </w:tc>
        <w:tc>
          <w:tcPr>
            <w:tcW w:w="1247"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烟道</w:t>
            </w:r>
          </w:p>
        </w:tc>
        <w:tc>
          <w:tcPr>
            <w:tcW w:w="1255"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连续自动监 测</w:t>
            </w:r>
          </w:p>
        </w:tc>
      </w:tr>
      <w:tr>
        <w:tblPrEx>
          <w:tblLayout w:type="fixed"/>
          <w:tblCellMar>
            <w:top w:w="0" w:type="dxa"/>
            <w:left w:w="10" w:type="dxa"/>
            <w:bottom w:w="0" w:type="dxa"/>
            <w:right w:w="10" w:type="dxa"/>
          </w:tblCellMar>
        </w:tblPrEx>
        <w:trPr>
          <w:trHeight w:val="1001" w:hRule="exact"/>
          <w:jc w:val="center"/>
        </w:trPr>
        <w:tc>
          <w:tcPr>
            <w:tcW w:w="1148"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烟囱</w:t>
            </w:r>
          </w:p>
        </w:tc>
        <w:tc>
          <w:tcPr>
            <w:tcW w:w="3421"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烟尘、</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S</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0</w:t>
            </w:r>
            <w:r>
              <w:rPr>
                <w:rStyle w:val="38"/>
                <w:rFonts w:hint="default" w:ascii="Times New Roman" w:hAnsi="Times New Roman" w:eastAsia="宋体" w:cs="Times New Roman"/>
                <w:b w:val="0"/>
                <w:bCs w:val="0"/>
                <w:i w:val="0"/>
                <w:iCs w:val="0"/>
                <w:smallCaps w:val="0"/>
                <w:strike w:val="0"/>
                <w:color w:val="000000" w:themeColor="text1"/>
                <w:sz w:val="21"/>
                <w:szCs w:val="21"/>
                <w:vertAlign w:val="subscript"/>
                <w14:textFill>
                  <w14:solidFill>
                    <w14:schemeClr w14:val="tx1"/>
                  </w14:solidFill>
                </w14:textFill>
              </w:rPr>
              <w:t>2</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NO</w:t>
            </w:r>
            <w:r>
              <w:rPr>
                <w:rStyle w:val="34"/>
                <w:rFonts w:hint="default" w:ascii="Times New Roman" w:hAnsi="Times New Roman" w:eastAsia="宋体" w:cs="Times New Roman"/>
                <w:b w:val="0"/>
                <w:bCs w:val="0"/>
                <w:i w:val="0"/>
                <w:iCs w:val="0"/>
                <w:smallCaps w:val="0"/>
                <w:strike w:val="0"/>
                <w:color w:val="000000" w:themeColor="text1"/>
                <w:sz w:val="21"/>
                <w:szCs w:val="21"/>
                <w:vertAlign w:val="subscript"/>
                <w14:textFill>
                  <w14:solidFill>
                    <w14:schemeClr w14:val="tx1"/>
                  </w14:solidFill>
                </w14:textFill>
              </w:rPr>
              <w:t>x</w:t>
            </w:r>
            <w:r>
              <w:rPr>
                <w:rStyle w:val="38"/>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汞及其化合物、林格曼黑度、烟温、湿度、压力、烟速、烟气量、含氧量等</w:t>
            </w:r>
          </w:p>
        </w:tc>
        <w:tc>
          <w:tcPr>
            <w:tcW w:w="1255"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便携式烟气 监测仪</w:t>
            </w:r>
          </w:p>
        </w:tc>
        <w:tc>
          <w:tcPr>
            <w:tcW w:w="1247"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烟道预留采 样口</w:t>
            </w:r>
          </w:p>
        </w:tc>
        <w:tc>
          <w:tcPr>
            <w:tcW w:w="12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每季度测点 一次</w:t>
            </w:r>
          </w:p>
        </w:tc>
      </w:tr>
    </w:tbl>
    <w:p>
      <w:pPr>
        <w:pStyle w:val="44"/>
        <w:keepNext w:val="0"/>
        <w:keepLines w:val="0"/>
        <w:widowControl w:val="0"/>
        <w:shd w:val="clear" w:color="auto" w:fill="auto"/>
        <w:bidi w:val="0"/>
        <w:spacing w:before="0" w:after="0"/>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zh-CN" w:eastAsia="zh-CN" w:bidi="zh-CN"/>
          <w14:textFill>
            <w14:solidFill>
              <w14:schemeClr w14:val="tx1"/>
            </w14:solidFill>
          </w14:textFill>
        </w:rPr>
        <w:t>备注：检修后或燃煤改变后监测除尘器的除尘效率、脱硫系统的脱硫效率及脱硝系统的脱硝效率。</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（3）无组织排放监测</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无组织排放监测点位设置、监测指标及监测频次按表8.2-2执行。</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57" w:beforeLines="50" w:after="0" w:line="240" w:lineRule="auto"/>
        <w:ind w:right="0" w:rightChars="0" w:firstLine="0" w:firstLineChars="0"/>
        <w:jc w:val="center"/>
        <w:textAlignment w:val="auto"/>
        <w:rPr>
          <w:rFonts w:hint="eastAsia" w:ascii="Times New Roman" w:hAnsi="Times New Roman" w:eastAsia="黑体" w:cs="Times New Roman"/>
          <w:color w:val="000000" w:themeColor="text1"/>
          <w:spacing w:val="0"/>
          <w:w w:val="10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u w:val="none"/>
          <w:lang w:val="zh-CN" w:eastAsia="zh-CN" w:bidi="zh-CN"/>
          <w14:textFill>
            <w14:solidFill>
              <w14:schemeClr w14:val="tx1"/>
            </w14:solidFill>
          </w14:textFill>
        </w:rPr>
        <w:t>表8.2-</w:t>
      </w:r>
      <w:r>
        <w:rPr>
          <w:rFonts w:hint="eastAsia" w:ascii="Times New Roman" w:hAnsi="Times New Roman" w:eastAsia="黑体" w:cs="Times New Roman"/>
          <w:color w:val="000000" w:themeColor="text1"/>
          <w:spacing w:val="0"/>
          <w:w w:val="100"/>
          <w:position w:val="0"/>
          <w:sz w:val="21"/>
          <w:szCs w:val="21"/>
          <w:u w:val="none"/>
          <w:lang w:val="en-US" w:eastAsia="zh-CN" w:bidi="zh-CN"/>
          <w14:textFill>
            <w14:solidFill>
              <w14:schemeClr w14:val="tx1"/>
            </w14:solidFill>
          </w14:textFill>
        </w:rPr>
        <w:t>2</w:t>
      </w:r>
      <w:r>
        <w:rPr>
          <w:rFonts w:hint="eastAsia" w:ascii="Times New Roman" w:hAnsi="Times New Roman" w:eastAsia="黑体" w:cs="Times New Roman"/>
          <w:color w:val="000000" w:themeColor="text1"/>
          <w:spacing w:val="0"/>
          <w:w w:val="100"/>
          <w:position w:val="0"/>
          <w:sz w:val="21"/>
          <w:szCs w:val="21"/>
          <w:u w:val="none"/>
          <w:lang w:val="zh-CN" w:eastAsia="zh-CN" w:bidi="zh-CN"/>
          <w14:textFill>
            <w14:solidFill>
              <w14:schemeClr w14:val="tx1"/>
            </w14:solidFill>
          </w14:textFill>
        </w:rPr>
        <w:t>无组织排放监测计划表</w:t>
      </w:r>
    </w:p>
    <w:tbl>
      <w:tblPr>
        <w:tblStyle w:val="21"/>
        <w:tblW w:w="83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92"/>
        <w:gridCol w:w="3188"/>
        <w:gridCol w:w="2064"/>
        <w:gridCol w:w="2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283" w:hRule="exact"/>
          <w:jc w:val="center"/>
        </w:trPr>
        <w:tc>
          <w:tcPr>
            <w:tcW w:w="992"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序号</w:t>
            </w:r>
          </w:p>
        </w:tc>
        <w:tc>
          <w:tcPr>
            <w:tcW w:w="3188"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监测点位</w:t>
            </w:r>
          </w:p>
        </w:tc>
        <w:tc>
          <w:tcPr>
            <w:tcW w:w="2064"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监测指标</w:t>
            </w:r>
          </w:p>
        </w:tc>
        <w:tc>
          <w:tcPr>
            <w:tcW w:w="2082"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278" w:hRule="exact"/>
          <w:jc w:val="center"/>
        </w:trPr>
        <w:tc>
          <w:tcPr>
            <w:tcW w:w="992"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1</w:t>
            </w:r>
          </w:p>
        </w:tc>
        <w:tc>
          <w:tcPr>
            <w:tcW w:w="3188"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厂界下风向</w:t>
            </w:r>
          </w:p>
        </w:tc>
        <w:tc>
          <w:tcPr>
            <w:tcW w:w="2064"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颗粒物</w:t>
            </w:r>
          </w:p>
        </w:tc>
        <w:tc>
          <w:tcPr>
            <w:tcW w:w="2082"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每季度测点一次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02" w:hRule="exact"/>
          <w:jc w:val="center"/>
        </w:trPr>
        <w:tc>
          <w:tcPr>
            <w:tcW w:w="99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3188"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氨罐区周边</w:t>
            </w:r>
          </w:p>
        </w:tc>
        <w:tc>
          <w:tcPr>
            <w:tcW w:w="2064"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氨</w:t>
            </w:r>
          </w:p>
        </w:tc>
        <w:tc>
          <w:tcPr>
            <w:tcW w:w="2082"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每季度测点一次</w:t>
            </w:r>
          </w:p>
        </w:tc>
      </w:tr>
    </w:tbl>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0" w:line="360" w:lineRule="auto"/>
        <w:ind w:leftChars="0"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（4）电厂排水水质及排放量</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本工程排水监测采样点包括厂区工业废水处理系统出口、厂区生活污水处理系统出口，废污水水质监测指标及监测频次见表8.2-3。</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57" w:beforeLines="50" w:after="0" w:line="240" w:lineRule="auto"/>
        <w:ind w:right="0" w:rightChars="0" w:firstLine="0" w:firstLineChars="0"/>
        <w:jc w:val="center"/>
        <w:textAlignment w:val="auto"/>
        <w:rPr>
          <w:rFonts w:hint="eastAsia" w:ascii="Times New Roman" w:hAnsi="Times New Roman" w:eastAsia="黑体" w:cs="Times New Roman"/>
          <w:color w:val="000000" w:themeColor="text1"/>
          <w:spacing w:val="0"/>
          <w:w w:val="100"/>
          <w:position w:val="0"/>
          <w:sz w:val="21"/>
          <w:szCs w:val="21"/>
          <w:u w:val="none"/>
          <w:lang w:val="en-US" w:eastAsia="en-US"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color w:val="000000" w:themeColor="text1"/>
          <w:spacing w:val="0"/>
          <w:w w:val="100"/>
          <w:position w:val="0"/>
          <w:sz w:val="21"/>
          <w:szCs w:val="21"/>
          <w:u w:val="none"/>
          <w:lang w:val="en-US" w:eastAsia="en-US" w:bidi="zh-CN"/>
          <w14:textFill>
            <w14:solidFill>
              <w14:schemeClr w14:val="tx1"/>
            </w14:solidFill>
          </w14:textFill>
        </w:rPr>
        <w:t>8.2-3</w:t>
      </w:r>
      <w:r>
        <w:rPr>
          <w:rFonts w:hint="eastAsia" w:ascii="Times New Roman" w:hAnsi="Times New Roman" w:eastAsia="黑体" w:cs="Times New Roman"/>
          <w:color w:val="000000" w:themeColor="text1"/>
          <w:spacing w:val="0"/>
          <w:w w:val="100"/>
          <w:position w:val="0"/>
          <w:sz w:val="21"/>
          <w:szCs w:val="21"/>
          <w:u w:val="none"/>
          <w:lang w:val="en-US" w:eastAsia="en-US" w:bidi="zh-CN"/>
          <w14:textFill>
            <w14:solidFill>
              <w14:schemeClr w14:val="tx1"/>
            </w14:solidFill>
          </w14:textFill>
        </w:rPr>
        <w:tab/>
      </w:r>
      <w:r>
        <w:rPr>
          <w:rFonts w:hint="eastAsia" w:ascii="Times New Roman" w:hAnsi="Times New Roman" w:eastAsia="黑体" w:cs="Times New Roman"/>
          <w:color w:val="000000" w:themeColor="text1"/>
          <w:spacing w:val="0"/>
          <w:w w:val="100"/>
          <w:position w:val="0"/>
          <w:sz w:val="21"/>
          <w:szCs w:val="21"/>
          <w:u w:val="none"/>
          <w:lang w:val="zh-CN" w:eastAsia="zh-CN" w:bidi="zh-CN"/>
          <w14:textFill>
            <w14:solidFill>
              <w14:schemeClr w14:val="tx1"/>
            </w14:solidFill>
          </w14:textFill>
        </w:rPr>
        <w:t>废水监测指标最低监测频次表</w:t>
      </w:r>
    </w:p>
    <w:tbl>
      <w:tblPr>
        <w:tblStyle w:val="21"/>
        <w:tblW w:w="8326" w:type="dxa"/>
        <w:jc w:val="center"/>
        <w:tblInd w:w="0" w:type="dxa"/>
        <w:tblLayout w:type="fixed"/>
        <w:tblCellMar>
          <w:top w:w="0" w:type="dxa"/>
          <w:left w:w="10" w:type="dxa"/>
          <w:bottom w:w="0" w:type="dxa"/>
          <w:right w:w="10" w:type="dxa"/>
        </w:tblCellMar>
      </w:tblPr>
      <w:tblGrid>
        <w:gridCol w:w="2793"/>
        <w:gridCol w:w="3470"/>
        <w:gridCol w:w="2063"/>
      </w:tblGrid>
      <w:tr>
        <w:tblPrEx>
          <w:tblLayout w:type="fixed"/>
          <w:tblCellMar>
            <w:top w:w="0" w:type="dxa"/>
            <w:left w:w="10" w:type="dxa"/>
            <w:bottom w:w="0" w:type="dxa"/>
            <w:right w:w="10" w:type="dxa"/>
          </w:tblCellMar>
        </w:tblPrEx>
        <w:trPr>
          <w:trHeight w:val="293" w:hRule="exact"/>
          <w:jc w:val="center"/>
        </w:trPr>
        <w:tc>
          <w:tcPr>
            <w:tcW w:w="279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监测点位</w:t>
            </w:r>
          </w:p>
        </w:tc>
        <w:tc>
          <w:tcPr>
            <w:tcW w:w="347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监测指标</w:t>
            </w:r>
          </w:p>
        </w:tc>
        <w:tc>
          <w:tcPr>
            <w:tcW w:w="206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监测频次</w:t>
            </w:r>
          </w:p>
        </w:tc>
      </w:tr>
      <w:tr>
        <w:tblPrEx>
          <w:tblLayout w:type="fixed"/>
          <w:tblCellMar>
            <w:top w:w="0" w:type="dxa"/>
            <w:left w:w="10" w:type="dxa"/>
            <w:bottom w:w="0" w:type="dxa"/>
            <w:right w:w="10" w:type="dxa"/>
          </w:tblCellMar>
        </w:tblPrEx>
        <w:trPr>
          <w:trHeight w:val="1099" w:hRule="exact"/>
          <w:jc w:val="center"/>
        </w:trPr>
        <w:tc>
          <w:tcPr>
            <w:tcW w:w="2793"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企业废水处理系统总排放口</w:t>
            </w:r>
          </w:p>
        </w:tc>
        <w:tc>
          <w:tcPr>
            <w:tcW w:w="3470" w:type="dxa"/>
            <w:tcBorders>
              <w:top w:val="single" w:color="auto" w:sz="4" w:space="0"/>
              <w:lef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pH</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值、化学需氧量、氨氮、悬 浮物、石油类、氟化物、硫化物、 挥发酚、溶解性总固体(全盐量)、 流量</w:t>
            </w:r>
          </w:p>
        </w:tc>
        <w:tc>
          <w:tcPr>
            <w:tcW w:w="2063" w:type="dxa"/>
            <w:tcBorders>
              <w:top w:val="single" w:color="auto" w:sz="4" w:space="0"/>
              <w:left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月</w:t>
            </w:r>
          </w:p>
        </w:tc>
      </w:tr>
      <w:tr>
        <w:tblPrEx>
          <w:tblLayout w:type="fixed"/>
          <w:tblCellMar>
            <w:top w:w="0" w:type="dxa"/>
            <w:left w:w="10" w:type="dxa"/>
            <w:bottom w:w="0" w:type="dxa"/>
            <w:right w:w="10" w:type="dxa"/>
          </w:tblCellMar>
        </w:tblPrEx>
        <w:trPr>
          <w:trHeight w:val="576" w:hRule="exact"/>
          <w:jc w:val="center"/>
        </w:trPr>
        <w:tc>
          <w:tcPr>
            <w:tcW w:w="2793"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脱硫废水排放口</w:t>
            </w:r>
          </w:p>
        </w:tc>
        <w:tc>
          <w:tcPr>
            <w:tcW w:w="3470" w:type="dxa"/>
            <w:tcBorders>
              <w:top w:val="single" w:color="auto" w:sz="4" w:space="0"/>
              <w:left w:val="single" w:color="auto" w:sz="4" w:space="0"/>
              <w:bottom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4"/>
                <w:rFonts w:hint="default" w:ascii="Times New Roman" w:hAnsi="Times New Roman" w:eastAsia="宋体" w:cs="Times New Roman"/>
                <w:b w:val="0"/>
                <w:bCs w:val="0"/>
                <w:i w:val="0"/>
                <w:iCs w:val="0"/>
                <w:smallCaps w:val="0"/>
                <w:strike w:val="0"/>
                <w:color w:val="000000" w:themeColor="text1"/>
                <w:sz w:val="21"/>
                <w:szCs w:val="21"/>
                <w14:textFill>
                  <w14:solidFill>
                    <w14:schemeClr w14:val="tx1"/>
                  </w14:solidFill>
                </w14:textFill>
              </w:rPr>
              <w:t>pH</w:t>
            </w: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值、总碑、总铅、总萊、总 镉、流量</w:t>
            </w:r>
          </w:p>
        </w:tc>
        <w:tc>
          <w:tcPr>
            <w:tcW w:w="206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Style w:val="38"/>
                <w:rFonts w:hint="default"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季度</w:t>
            </w:r>
          </w:p>
        </w:tc>
      </w:tr>
    </w:tbl>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40" w:firstLineChars="200"/>
        <w:jc w:val="both"/>
        <w:textAlignment w:val="auto"/>
        <w:rPr>
          <w:rFonts w:hint="eastAsia" w:ascii="宋体" w:hAnsi="宋体" w:eastAsia="宋体" w:cs="宋体"/>
          <w:color w:val="000000" w:themeColor="text1"/>
          <w:spacing w:val="0"/>
          <w:w w:val="100"/>
          <w:position w:val="0"/>
          <w:lang w:val="zh-CN" w:eastAsia="zh-CN" w:bidi="zh-CN"/>
          <w14:textFill>
            <w14:solidFill>
              <w14:schemeClr w14:val="tx1"/>
            </w14:solidFill>
          </w14:textFill>
        </w:rPr>
      </w:pPr>
      <w:r>
        <w:rPr>
          <w:rFonts w:hint="eastAsia" w:ascii="宋体" w:hAnsi="宋体" w:eastAsia="宋体" w:cs="宋体"/>
          <w:color w:val="000000" w:themeColor="text1"/>
          <w:spacing w:val="0"/>
          <w:w w:val="100"/>
          <w:position w:val="0"/>
          <w:lang w:val="zh-CN" w:eastAsia="zh-CN" w:bidi="zh-CN"/>
          <w14:textFill>
            <w14:solidFill>
              <w14:schemeClr w14:val="tx1"/>
            </w14:solidFill>
          </w14:textFill>
        </w:rPr>
        <w:t>备注：监测项目可根据当地环保管理部门的要求增减。</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（5）地下水环境监测与管理</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1）厂区地下水环境监控体系</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为了及时准确地掌握厂址地下水环境质量状况和地下水体中污染物的动态变化，建立地下水长期监控系统，包括科学、合理地设置地下水污染监控井，建立完善的监测制度，配备先进的检测仪器和设备，以便及时发现并及时控制。</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工程设置的地下水监控井对地下水环境监测主要参考《地下水环境监测技术规范》(HJ/T164-2004)的相关要求，结合研究区含水层系统和地下水径流系统特征，考虑潜在污染源、环境保护目标等因素，布置地下水监测点。</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begin"/>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instrText xml:space="preserve"> = 1 \* GB3 \* MERGEFORMAT </w:instrTex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separate"/>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①</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end"/>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地下水监测原则</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重点污染防治区加密监测原则；以浅层地下水监测为主的原则；上、下游同步对比监测原则。水质监测项目参照《地下水质量标准》相关要求和潜在污染源特征污染因子确定，各监测井可依据监测目的的不同适当增加和减少监测项目。厂安全环保部门</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设立地下水动态监测小组，专人负责监测。</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begin"/>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instrText xml:space="preserve"> = 2 \* GB3 \* MERGEFORMAT </w:instrTex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separate"/>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②</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end"/>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监测井布置</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依据地下水监测原则，结合研究区水文地质条件，本工程共布设地下水水质监控井3眼。地下水监测孔位置、监测计划、孔深、监测井结构、监测层位、监测项目、监测频率等详见表8.2-4。</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57" w:beforeLines="50" w:after="0" w:line="240" w:lineRule="auto"/>
        <w:ind w:right="0" w:rightChars="0" w:firstLine="0" w:firstLineChars="0"/>
        <w:jc w:val="center"/>
        <w:textAlignment w:val="auto"/>
        <w:rPr>
          <w:rFonts w:hint="eastAsia" w:ascii="Times New Roman" w:hAnsi="Times New Roman" w:eastAsia="黑体" w:cs="Times New Roman"/>
          <w:color w:val="000000" w:themeColor="text1"/>
          <w:spacing w:val="0"/>
          <w:w w:val="100"/>
          <w:position w:val="0"/>
          <w:sz w:val="21"/>
          <w:szCs w:val="21"/>
          <w:u w:val="none"/>
          <w:lang w:val="zh-CN" w:eastAsia="zh-CN" w:bidi="zh-CN"/>
          <w14:textFill>
            <w14:solidFill>
              <w14:schemeClr w14:val="tx1"/>
            </w14:solidFill>
          </w14:textFill>
        </w:rPr>
      </w:pP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57" w:beforeLines="50" w:after="0" w:line="240" w:lineRule="auto"/>
        <w:ind w:right="0" w:rightChars="0" w:firstLine="0" w:firstLineChars="0"/>
        <w:jc w:val="center"/>
        <w:textAlignment w:val="auto"/>
        <w:rPr>
          <w:rFonts w:hint="eastAsia" w:ascii="Times New Roman" w:hAnsi="Times New Roman" w:eastAsia="黑体" w:cs="Times New Roman"/>
          <w:color w:val="000000" w:themeColor="text1"/>
          <w:spacing w:val="0"/>
          <w:w w:val="100"/>
          <w:position w:val="0"/>
          <w:sz w:val="21"/>
          <w:szCs w:val="21"/>
          <w:u w:val="none"/>
          <w:lang w:val="zh-CN" w:eastAsia="zh-CN" w:bidi="zh-CN"/>
          <w14:textFill>
            <w14:solidFill>
              <w14:schemeClr w14:val="tx1"/>
            </w14:solidFill>
          </w14:textFill>
        </w:rPr>
      </w:pP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57" w:beforeLines="50" w:after="0" w:line="240" w:lineRule="auto"/>
        <w:ind w:right="0" w:rightChars="0" w:firstLine="0" w:firstLineChars="0"/>
        <w:jc w:val="center"/>
        <w:textAlignment w:val="auto"/>
        <w:rPr>
          <w:rFonts w:hint="eastAsia" w:ascii="Times New Roman" w:hAnsi="Times New Roman" w:eastAsia="黑体" w:cs="Times New Roman"/>
          <w:color w:val="000000" w:themeColor="text1"/>
          <w:spacing w:val="0"/>
          <w:w w:val="10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color w:val="000000" w:themeColor="text1"/>
          <w:spacing w:val="0"/>
          <w:w w:val="100"/>
          <w:position w:val="0"/>
          <w:sz w:val="21"/>
          <w:szCs w:val="21"/>
          <w:u w:val="none"/>
          <w:lang w:val="en-US" w:eastAsia="en-US" w:bidi="zh-CN"/>
          <w14:textFill>
            <w14:solidFill>
              <w14:schemeClr w14:val="tx1"/>
            </w14:solidFill>
          </w14:textFill>
        </w:rPr>
        <w:t>8.2-4</w:t>
      </w:r>
      <w:r>
        <w:rPr>
          <w:rFonts w:hint="eastAsia" w:ascii="Times New Roman" w:hAnsi="Times New Roman" w:eastAsia="黑体" w:cs="Times New Roman"/>
          <w:color w:val="000000" w:themeColor="text1"/>
          <w:spacing w:val="0"/>
          <w:w w:val="100"/>
          <w:position w:val="0"/>
          <w:sz w:val="21"/>
          <w:szCs w:val="21"/>
          <w:u w:val="none"/>
          <w:lang w:val="en-US" w:eastAsia="en-US" w:bidi="zh-CN"/>
          <w14:textFill>
            <w14:solidFill>
              <w14:schemeClr w14:val="tx1"/>
            </w14:solidFill>
          </w14:textFill>
        </w:rPr>
        <w:tab/>
      </w:r>
      <w:r>
        <w:rPr>
          <w:rFonts w:hint="eastAsia" w:ascii="Times New Roman" w:hAnsi="Times New Roman" w:eastAsia="黑体" w:cs="Times New Roman"/>
          <w:color w:val="000000" w:themeColor="text1"/>
          <w:spacing w:val="0"/>
          <w:w w:val="100"/>
          <w:position w:val="0"/>
          <w:sz w:val="21"/>
          <w:szCs w:val="21"/>
          <w:u w:val="none"/>
          <w:lang w:val="zh-CN" w:eastAsia="zh-CN" w:bidi="zh-CN"/>
          <w14:textFill>
            <w14:solidFill>
              <w14:schemeClr w14:val="tx1"/>
            </w14:solidFill>
          </w14:textFill>
        </w:rPr>
        <w:t>地下水监测计划一览表</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700"/>
        <w:gridCol w:w="1100"/>
        <w:gridCol w:w="1217"/>
        <w:gridCol w:w="1547"/>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1" w:type="dxa"/>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孔号</w:t>
            </w:r>
          </w:p>
        </w:tc>
        <w:tc>
          <w:tcPr>
            <w:tcW w:w="700" w:type="dxa"/>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区位</w:t>
            </w:r>
          </w:p>
        </w:tc>
        <w:tc>
          <w:tcPr>
            <w:tcW w:w="1100" w:type="dxa"/>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地点</w:t>
            </w:r>
          </w:p>
        </w:tc>
        <w:tc>
          <w:tcPr>
            <w:tcW w:w="1217" w:type="dxa"/>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孔深</w:t>
            </w:r>
          </w:p>
        </w:tc>
        <w:tc>
          <w:tcPr>
            <w:tcW w:w="1547" w:type="dxa"/>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井孔结构</w:t>
            </w:r>
          </w:p>
        </w:tc>
        <w:tc>
          <w:tcPr>
            <w:tcW w:w="1065" w:type="dxa"/>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监测层位</w:t>
            </w:r>
          </w:p>
        </w:tc>
        <w:tc>
          <w:tcPr>
            <w:tcW w:w="1066" w:type="dxa"/>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监测频率</w:t>
            </w:r>
          </w:p>
        </w:tc>
        <w:tc>
          <w:tcPr>
            <w:tcW w:w="1066" w:type="dxa"/>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1" w:type="dxa"/>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color w:val="000000" w:themeColor="text1"/>
                <w:sz w:val="21"/>
                <w:szCs w:val="21"/>
                <w:lang w:val="en-US"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zh-CN"/>
                <w14:textFill>
                  <w14:solidFill>
                    <w14:schemeClr w14:val="tx1"/>
                  </w14:solidFill>
                </w14:textFill>
              </w:rPr>
              <w:t>1</w:t>
            </w:r>
          </w:p>
        </w:tc>
        <w:tc>
          <w:tcPr>
            <w:tcW w:w="700" w:type="dxa"/>
            <w:vMerge w:val="restart"/>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电厂</w:t>
            </w:r>
          </w:p>
        </w:tc>
        <w:tc>
          <w:tcPr>
            <w:tcW w:w="1100" w:type="dxa"/>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厂址上游</w:t>
            </w:r>
          </w:p>
        </w:tc>
        <w:tc>
          <w:tcPr>
            <w:tcW w:w="1217" w:type="dxa"/>
            <w:vMerge w:val="restart"/>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color w:val="000000" w:themeColor="text1"/>
                <w:sz w:val="21"/>
                <w:szCs w:val="21"/>
                <w:lang w:val="en-US"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钻入潜水含水层孔深</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zh-CN"/>
                <w14:textFill>
                  <w14:solidFill>
                    <w14:schemeClr w14:val="tx1"/>
                  </w14:solidFill>
                </w14:textFill>
              </w:rPr>
              <w:t>2m左右</w:t>
            </w:r>
          </w:p>
        </w:tc>
        <w:tc>
          <w:tcPr>
            <w:tcW w:w="1547" w:type="dxa"/>
            <w:vMerge w:val="restart"/>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color w:val="000000" w:themeColor="text1"/>
                <w:sz w:val="21"/>
                <w:szCs w:val="21"/>
                <w:lang w:val="en-US"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孔径</w:t>
            </w:r>
            <w:r>
              <w:rPr>
                <w:rStyle w:val="38"/>
                <w:rFonts w:hint="default" w:ascii="Arial" w:hAnsi="Arial" w:eastAsia="宋体" w:cs="Arial"/>
                <w:b w:val="0"/>
                <w:bCs w:val="0"/>
                <w:i w:val="0"/>
                <w:iCs w:val="0"/>
                <w:smallCaps w:val="0"/>
                <w:strike w:val="0"/>
                <w:color w:val="000000" w:themeColor="text1"/>
                <w:sz w:val="21"/>
                <w:szCs w:val="21"/>
                <w:lang w:val="zh-CN" w:eastAsia="zh-CN" w:bidi="zh-CN"/>
                <w14:textFill>
                  <w14:solidFill>
                    <w14:schemeClr w14:val="tx1"/>
                  </w14:solidFill>
                </w14:textFill>
              </w:rPr>
              <w:t>≥</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zh-CN"/>
                <w14:textFill>
                  <w14:solidFill>
                    <w14:schemeClr w14:val="tx1"/>
                  </w14:solidFill>
                </w14:textFill>
              </w:rPr>
              <w:t>147mm，孔口以下至潜水面采用粘土或水泥土，下部为滤水管</w:t>
            </w:r>
          </w:p>
        </w:tc>
        <w:tc>
          <w:tcPr>
            <w:tcW w:w="1065" w:type="dxa"/>
            <w:vMerge w:val="restart"/>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潜水</w:t>
            </w:r>
          </w:p>
        </w:tc>
        <w:tc>
          <w:tcPr>
            <w:tcW w:w="1066" w:type="dxa"/>
            <w:vMerge w:val="restart"/>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每半年采样一次</w:t>
            </w:r>
          </w:p>
        </w:tc>
        <w:tc>
          <w:tcPr>
            <w:tcW w:w="1066" w:type="dxa"/>
            <w:vMerge w:val="restart"/>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color w:val="000000" w:themeColor="text1"/>
                <w:sz w:val="21"/>
                <w:szCs w:val="21"/>
                <w:lang w:val="en-US"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zh-CN"/>
                <w14:textFill>
                  <w14:solidFill>
                    <w14:schemeClr w14:val="tx1"/>
                  </w14:solidFill>
                </w14:textFill>
              </w:rPr>
              <w:t>pH、COD</w:t>
            </w:r>
            <w:r>
              <w:rPr>
                <w:rStyle w:val="38"/>
                <w:rFonts w:hint="eastAsia" w:ascii="Times New Roman" w:hAnsi="Times New Roman" w:eastAsia="宋体" w:cs="Times New Roman"/>
                <w:b w:val="0"/>
                <w:bCs w:val="0"/>
                <w:i w:val="0"/>
                <w:iCs w:val="0"/>
                <w:smallCaps w:val="0"/>
                <w:strike w:val="0"/>
                <w:color w:val="000000" w:themeColor="text1"/>
                <w:sz w:val="21"/>
                <w:szCs w:val="21"/>
                <w:vertAlign w:val="subscript"/>
                <w:lang w:val="en-US" w:eastAsia="zh-CN" w:bidi="zh-CN"/>
                <w14:textFill>
                  <w14:solidFill>
                    <w14:schemeClr w14:val="tx1"/>
                  </w14:solidFill>
                </w14:textFill>
              </w:rPr>
              <w:t>Mn</w:t>
            </w: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zh-CN"/>
                <w14:textFill>
                  <w14:solidFill>
                    <w14:schemeClr w14:val="tx1"/>
                  </w14:solidFill>
                </w14:textFill>
              </w:rPr>
              <w:t>、氟化物等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1" w:type="dxa"/>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color w:val="000000" w:themeColor="text1"/>
                <w:sz w:val="21"/>
                <w:szCs w:val="21"/>
                <w:lang w:val="en-US"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zh-CN"/>
                <w14:textFill>
                  <w14:solidFill>
                    <w14:schemeClr w14:val="tx1"/>
                  </w14:solidFill>
                </w14:textFill>
              </w:rPr>
              <w:t>2</w:t>
            </w:r>
          </w:p>
        </w:tc>
        <w:tc>
          <w:tcPr>
            <w:tcW w:w="700" w:type="dxa"/>
            <w:vMerge w:val="continue"/>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p>
        </w:tc>
        <w:tc>
          <w:tcPr>
            <w:tcW w:w="1100" w:type="dxa"/>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厂区内</w:t>
            </w:r>
          </w:p>
        </w:tc>
        <w:tc>
          <w:tcPr>
            <w:tcW w:w="1217" w:type="dxa"/>
            <w:vMerge w:val="continue"/>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p>
        </w:tc>
        <w:tc>
          <w:tcPr>
            <w:tcW w:w="1547" w:type="dxa"/>
            <w:vMerge w:val="continue"/>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p>
        </w:tc>
        <w:tc>
          <w:tcPr>
            <w:tcW w:w="1065" w:type="dxa"/>
            <w:vMerge w:val="continue"/>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p>
        </w:tc>
        <w:tc>
          <w:tcPr>
            <w:tcW w:w="1066" w:type="dxa"/>
            <w:vMerge w:val="continue"/>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p>
        </w:tc>
        <w:tc>
          <w:tcPr>
            <w:tcW w:w="1066" w:type="dxa"/>
            <w:vMerge w:val="continue"/>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1" w:type="dxa"/>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default" w:ascii="Times New Roman" w:hAnsi="Times New Roman" w:eastAsia="宋体" w:cs="Times New Roman"/>
                <w:b w:val="0"/>
                <w:bCs w:val="0"/>
                <w:i w:val="0"/>
                <w:iCs w:val="0"/>
                <w:smallCaps w:val="0"/>
                <w:strike w:val="0"/>
                <w:color w:val="000000" w:themeColor="text1"/>
                <w:sz w:val="21"/>
                <w:szCs w:val="21"/>
                <w:lang w:val="en-US"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en-US" w:eastAsia="zh-CN" w:bidi="zh-CN"/>
                <w14:textFill>
                  <w14:solidFill>
                    <w14:schemeClr w14:val="tx1"/>
                  </w14:solidFill>
                </w14:textFill>
              </w:rPr>
              <w:t>3</w:t>
            </w:r>
          </w:p>
        </w:tc>
        <w:tc>
          <w:tcPr>
            <w:tcW w:w="700" w:type="dxa"/>
            <w:vMerge w:val="continue"/>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p>
        </w:tc>
        <w:tc>
          <w:tcPr>
            <w:tcW w:w="1100" w:type="dxa"/>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r>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t>厂址下游</w:t>
            </w:r>
          </w:p>
        </w:tc>
        <w:tc>
          <w:tcPr>
            <w:tcW w:w="1217" w:type="dxa"/>
            <w:vMerge w:val="continue"/>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p>
        </w:tc>
        <w:tc>
          <w:tcPr>
            <w:tcW w:w="1547" w:type="dxa"/>
            <w:vMerge w:val="continue"/>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p>
        </w:tc>
        <w:tc>
          <w:tcPr>
            <w:tcW w:w="1065" w:type="dxa"/>
            <w:vMerge w:val="continue"/>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p>
        </w:tc>
        <w:tc>
          <w:tcPr>
            <w:tcW w:w="1066" w:type="dxa"/>
            <w:vMerge w:val="continue"/>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p>
        </w:tc>
        <w:tc>
          <w:tcPr>
            <w:tcW w:w="1066" w:type="dxa"/>
            <w:vMerge w:val="continue"/>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38"/>
                <w:rFonts w:hint="eastAsia" w:ascii="Times New Roman" w:hAnsi="Times New Roman" w:eastAsia="宋体" w:cs="Times New Roman"/>
                <w:b w:val="0"/>
                <w:bCs w:val="0"/>
                <w:i w:val="0"/>
                <w:iCs w:val="0"/>
                <w:smallCaps w:val="0"/>
                <w:strike w:val="0"/>
                <w:color w:val="000000" w:themeColor="text1"/>
                <w:sz w:val="21"/>
                <w:szCs w:val="21"/>
                <w:lang w:val="zh-CN" w:eastAsia="zh-CN" w:bidi="zh-CN"/>
                <w14:textFill>
                  <w14:solidFill>
                    <w14:schemeClr w14:val="tx1"/>
                  </w14:solidFill>
                </w14:textFill>
              </w:rPr>
            </w:pPr>
          </w:p>
        </w:tc>
      </w:tr>
    </w:tbl>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0" w:line="360" w:lineRule="auto"/>
        <w:ind w:right="0" w:rightChars="0" w:firstLine="480" w:firstLineChars="200"/>
        <w:jc w:val="both"/>
        <w:textAlignment w:val="auto"/>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③</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监测数据管理</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上述监测结果应按项目有关规定及时建立档案，并定期向厂安全环保部门汇报，对于常规监测数据应该进行公开，特别是对项目所在区域的居民进行公开，满足法律中关于知情权的要求。</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（6）应急监测与处置</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按环办[2010]10号等文件要求，电厂应进一步完善有关地下水保护的《突发事件总体应急预案》和《环境污染事件应急预案》，采取以下污染应急措施：</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begin"/>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instrText xml:space="preserve"> = 1 \* GB3 \* MERGEFORMAT </w:instrTex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separate"/>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①</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end"/>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一旦发生地下水污染事故，应立即启动应急预案，开展应急监测；</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begin"/>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instrText xml:space="preserve"> = 2 \* GB3 \* MERGEFORMAT </w:instrTex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separate"/>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②</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end"/>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查明并切断污染源；</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begin"/>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instrText xml:space="preserve"> = 3 \* GB3 \* MERGEFORMAT </w:instrTex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separate"/>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③</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end"/>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探明地下水污染深度、范围和污染程度；</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begin"/>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instrText xml:space="preserve"> = 4 \* GB3 \* MERGEFORMAT </w:instrTex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separate"/>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④</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end"/>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依据探明的地下水污染情况，合理布置井点、孔的深度及间距，并进行试抽工作；</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begin"/>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instrText xml:space="preserve"> = 5 \* GB3 \* MERGEFORMAT </w:instrTex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separate"/>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⑤</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end"/>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依据抽水设计方案进行施工，抽取被污染的地下水体，并依据各井孔出水情况进行调整；</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begin"/>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instrText xml:space="preserve"> = 6 \* GB3 \* MERGEFORMAT </w:instrTex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separate"/>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⑥</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end"/>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将抽取的地下水进行集中处理，并送实验室进行化验分析；</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begin"/>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instrText xml:space="preserve"> = 7 \* GB3 \* MERGEFORMAT </w:instrTex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separate"/>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⑦</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fldChar w:fldCharType="end"/>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当地下水中的特征污染物浓度满足地下水功能区划的标准后，逐步停止井点抽水，并进行土壤修复工作。</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地下水污染监控井监测层位，应以潜水含水层为主。</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（7）厂界环境噪声监测</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厂界环境噪声每季度至少开展一次昼夜监测，监测指标为等效A声级。厂界环境噪声监测主要考虑表8.2-5中噪声源在厂区内的分布情况，厂界环境噪声布点应关注的噪声排放源如下：</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157" w:beforeLines="50" w:after="0" w:line="240" w:lineRule="auto"/>
        <w:ind w:right="0" w:rightChars="0" w:firstLine="0" w:firstLineChars="0"/>
        <w:jc w:val="center"/>
        <w:textAlignment w:val="auto"/>
        <w:rPr>
          <w:rFonts w:hint="eastAsia" w:ascii="Times New Roman" w:hAnsi="Times New Roman" w:eastAsia="黑体" w:cs="Times New Roman"/>
          <w:color w:val="000000" w:themeColor="text1"/>
          <w:spacing w:val="0"/>
          <w:w w:val="100"/>
          <w:position w:val="0"/>
          <w:sz w:val="21"/>
          <w:szCs w:val="21"/>
          <w:u w:val="none"/>
          <w:lang w:val="zh-CN" w:eastAsia="zh-CN" w:bidi="zh-CN"/>
          <w14:textFill>
            <w14:solidFill>
              <w14:schemeClr w14:val="tx1"/>
            </w14:solidFill>
          </w14:textFill>
        </w:rPr>
      </w:pPr>
      <w:r>
        <w:rPr>
          <w:rFonts w:hint="eastAsia" w:ascii="Times New Roman" w:hAnsi="Times New Roman" w:eastAsia="黑体" w:cs="Times New Roman"/>
          <w:color w:val="000000" w:themeColor="text1"/>
          <w:spacing w:val="0"/>
          <w:w w:val="100"/>
          <w:position w:val="0"/>
          <w:sz w:val="21"/>
          <w:szCs w:val="21"/>
          <w:u w:val="none"/>
          <w:lang w:val="zh-CN" w:eastAsia="zh-CN" w:bidi="zh-CN"/>
          <w14:textFill>
            <w14:solidFill>
              <w14:schemeClr w14:val="tx1"/>
            </w14:solidFill>
          </w14:textFill>
        </w:rPr>
        <w:t>表</w:t>
      </w:r>
      <w:r>
        <w:rPr>
          <w:rFonts w:hint="eastAsia" w:ascii="Times New Roman" w:hAnsi="Times New Roman" w:eastAsia="黑体" w:cs="Times New Roman"/>
          <w:color w:val="000000" w:themeColor="text1"/>
          <w:spacing w:val="0"/>
          <w:w w:val="100"/>
          <w:position w:val="0"/>
          <w:sz w:val="21"/>
          <w:szCs w:val="21"/>
          <w:u w:val="none"/>
          <w:lang w:val="en-US" w:eastAsia="en-US" w:bidi="zh-CN"/>
          <w14:textFill>
            <w14:solidFill>
              <w14:schemeClr w14:val="tx1"/>
            </w14:solidFill>
          </w14:textFill>
        </w:rPr>
        <w:t>8.2-5</w:t>
      </w:r>
      <w:r>
        <w:rPr>
          <w:rFonts w:hint="eastAsia" w:ascii="Times New Roman" w:hAnsi="Times New Roman" w:eastAsia="黑体" w:cs="Times New Roman"/>
          <w:color w:val="000000" w:themeColor="text1"/>
          <w:spacing w:val="0"/>
          <w:w w:val="100"/>
          <w:position w:val="0"/>
          <w:sz w:val="21"/>
          <w:szCs w:val="21"/>
          <w:u w:val="none"/>
          <w:lang w:val="en-US" w:eastAsia="en-US" w:bidi="zh-CN"/>
          <w14:textFill>
            <w14:solidFill>
              <w14:schemeClr w14:val="tx1"/>
            </w14:solidFill>
          </w14:textFill>
        </w:rPr>
        <w:tab/>
      </w:r>
      <w:r>
        <w:rPr>
          <w:rFonts w:hint="eastAsia" w:ascii="Times New Roman" w:hAnsi="Times New Roman" w:eastAsia="黑体" w:cs="Times New Roman"/>
          <w:color w:val="000000" w:themeColor="text1"/>
          <w:spacing w:val="0"/>
          <w:w w:val="100"/>
          <w:position w:val="0"/>
          <w:sz w:val="21"/>
          <w:szCs w:val="21"/>
          <w:u w:val="none"/>
          <w:lang w:val="zh-CN" w:eastAsia="zh-CN" w:bidi="zh-CN"/>
          <w14:textFill>
            <w14:solidFill>
              <w14:schemeClr w14:val="tx1"/>
            </w14:solidFill>
          </w14:textFill>
        </w:rPr>
        <w:t>厂界环境噪声布点应关注的噪声排放源表</w:t>
      </w:r>
    </w:p>
    <w:tbl>
      <w:tblPr>
        <w:tblStyle w:val="21"/>
        <w:tblW w:w="8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792"/>
        <w:gridCol w:w="2388"/>
        <w:gridCol w:w="3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293" w:hRule="exact"/>
        </w:trPr>
        <w:tc>
          <w:tcPr>
            <w:tcW w:w="2792" w:type="dxa"/>
            <w:vMerge w:val="restart"/>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燃料和热能转化设施类型</w:t>
            </w:r>
          </w:p>
        </w:tc>
        <w:tc>
          <w:tcPr>
            <w:tcW w:w="5534" w:type="dxa"/>
            <w:gridSpan w:val="2"/>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噪声排放源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283" w:hRule="exact"/>
        </w:trPr>
        <w:tc>
          <w:tcPr>
            <w:tcW w:w="2792" w:type="dxa"/>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2388"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主设备</w:t>
            </w:r>
          </w:p>
        </w:tc>
        <w:tc>
          <w:tcPr>
            <w:tcW w:w="3146"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辅助设备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571" w:hRule="exact"/>
        </w:trPr>
        <w:tc>
          <w:tcPr>
            <w:tcW w:w="2792"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锅炉</w:t>
            </w:r>
          </w:p>
        </w:tc>
        <w:tc>
          <w:tcPr>
            <w:tcW w:w="2388"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发电机、蒸汽轮机</w:t>
            </w:r>
          </w:p>
        </w:tc>
        <w:tc>
          <w:tcPr>
            <w:tcW w:w="3146" w:type="dxa"/>
            <w:shd w:val="clear" w:color="auto" w:fill="FFFFFF"/>
            <w:noWrap w:val="0"/>
            <w:vAlign w:val="center"/>
          </w:tcPr>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Style w:val="38"/>
                <w:rFonts w:hint="eastAsia" w:ascii="宋体" w:hAnsi="宋体" w:eastAsia="宋体" w:cs="宋体"/>
                <w:b w:val="0"/>
                <w:bCs w:val="0"/>
                <w:i w:val="0"/>
                <w:iCs w:val="0"/>
                <w:smallCaps w:val="0"/>
                <w:strike w:val="0"/>
                <w:color w:val="000000" w:themeColor="text1"/>
                <w:sz w:val="21"/>
                <w:szCs w:val="21"/>
                <w:lang w:val="zh-CN" w:eastAsia="zh-CN" w:bidi="zh-CN"/>
                <w14:textFill>
                  <w14:solidFill>
                    <w14:schemeClr w14:val="tx1"/>
                  </w14:solidFill>
                </w14:textFill>
              </w:rPr>
              <w:t>引风机、冷却塔、脱硫塔、给水泵、灰渣泵房、循环泵房</w:t>
            </w:r>
          </w:p>
        </w:tc>
      </w:tr>
    </w:tbl>
    <w:p>
      <w:pPr>
        <w:pStyle w:val="128"/>
        <w:keepNext w:val="0"/>
        <w:keepLines w:val="0"/>
        <w:pageBreakBefore w:val="0"/>
        <w:widowControl/>
        <w:numPr>
          <w:ilvl w:val="3"/>
          <w:numId w:val="0"/>
        </w:numPr>
        <w:kinsoku/>
        <w:wordWrap/>
        <w:overflowPunct/>
        <w:topLinePunct w:val="0"/>
        <w:autoSpaceDE/>
        <w:autoSpaceDN/>
        <w:bidi w:val="0"/>
        <w:adjustRightInd w:val="0"/>
        <w:snapToGrid w:val="0"/>
        <w:spacing w:before="313" w:beforeLines="100"/>
        <w:ind w:leftChars="0"/>
        <w:textAlignment w:val="auto"/>
        <w:outlineLvl w:val="2"/>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color w:val="000000" w:themeColor="text1"/>
          <w:sz w:val="28"/>
          <w:szCs w:val="28"/>
          <w:lang w:val="en-US" w:eastAsia="zh-CN"/>
          <w14:textFill>
            <w14:solidFill>
              <w14:schemeClr w14:val="tx1"/>
            </w14:solidFill>
          </w14:textFill>
        </w:rPr>
        <w:t>8.2.4</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环境管理台账记录与执行报告编制规范</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企业开展环境管理台账记录、编制执行报告目的是自我证明企业的持证排放情况。《环境管理台账及排污许可证执行报告技术规范》及相关技术规范性文件发布后，企业环境管理台账记录要求及执行报告编制规范以规范性文件要求为准。</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（1）环境管理台账记录要求</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企业应按照“规范、真实、全面、细致”的原则，依据《环境管理台账及排污许可证执行报告技术规范》技术规范要求，在排污许可证管理信息平台申报系统进行填报；有核发权的地方环境管理部门补充制定相关技术规范中要求增加的，在本技术规范基础上进行补充；企业还可根据自行监测管理要求补充填报其他内容。企业应建立环境管理台账制度，设置专职人员进行台账的记录、整理、维护和管理，并对台账记录结果的真实性、准确性、完整性负责。</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为实现台账便于携带、作为许可证执行情况佐证并长时间储存的目的以及导出原始数据，加工分析、综合判断运行情况的功能，台账应当按照电子化储存和纸质储存两种形式同步管理。台账保存三年以上备查。</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排污许可证台账应按生产设施进行填报，内容主要包括基本信息、污染治理措施运行管理信息、监测记录信息、其他环境管理信息等内容，记录频次和记录内容要满足排污许可证的各项环境管理要求。其中，基本信息主要包括企业、生产设施、治理设施的名称、工艺等排污许可证规定的各项排污单位基本信息的实际情况及与污工艺等排污许可证规定的各项排污单位基本信息的实际情况及与污染物排放相关的主要运行参数；污染治理设施台账主要包括污染物排放自行监测数据记录要求以及污染治理设施运行管理信息。监测记录信息按照自行监测管理要求实施。</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污染治理措施运行管理信息应当包括设备运行校验关键参数，能充分反映生产设施及治理设施运行管理情况。</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①污染治理设施运行管理信息</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环保设施台账应包括所有环保设施的运行参数及排放情况等，废气治理设施包括运行参数（包括运行工况等）、运行费用等。</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②其他相关信息</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年生产时间、生产负荷、燃料消耗量、主要产品产量（吨）等。</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（2）执行报告编制规范</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地方环境管理部门应当整合总量控制、排污收费、环境统计等各项环境管理的数据上报要求，可以参照本技术规范，在排污许可证中根据各项环境管理要求，确定执行报告的内容与频次。企业应按照许可证中规定的内容和频次定期上报。</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①报告频次</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企业应至少每年上报一次许可证年度执行报告，对于持证时间不足三个月的，当年可不上报年度执行报告，许可证执行情况纳入下一年年度执行报告；每月或每季度向环境保护主管部门上报二氧化硫、氮氧化物等主要污染物的实际排放量。</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②年度执行报告提纲</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企业应根据许可证要求时间提交执行报告，根据环境管理台账记录等归纳总结报告期内排污许可证执行情况，自行或委托第三方按照执行报告提纲编写年度执行报告，保证执行报告的规范性和真实性，并连同环保管理台账一并提交至发证机关。负责工程师发生变化时，应当在年度执行报告中及时报告。执行报告提纲具体内容如下：</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1）基本生产信息。</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基本生产信息包括排污单位名称、所属行业、许可证编号、组织机构代码、营业执照注册号、投产时间、环保设施运行时间等内容，结合环境管理台账内容，总结概述许可证报告期内企业规模、原辅料、产品、产量、设备等基本信息，并分析与许可证载明事项及上年同比变化情况；对于报告周期内有污染治理投资的，还应包括治理类型、开工年月、建成投产年月、计划总投资、报告周期内累计完成投资等信息。企业基本生产信息至少应包括自行监测管理要求中数据记录要求的各项内容。</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2）遵守法律法规情况。</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说明企业在许可证执行过程中遵守法律法规情况；配合环境保护行政主管部门和其他有环境监督管理权的工作人员职务行为情况；自觉遵守环境行政命令和环境行政决定情况；公众举报、投诉况；自觉遵守环境行政命令和环境行政决定情况；公众举报、投诉情况及具体环境行政处罚等行政决定执行情况。</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3）污染防治措施运行情况。</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污染物来源及处理说明。根据环境管理台账，总结各污染源污染物产生情况、治理措施及效果；分析与许可证载明事项变化情况。污染防治措施运行情况至少应包括“四、自行监测管理要求”中数据记录要求的各项内容,以及废气、废水治理设施运行费用等。</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污染防治设施异常情况说明。企业拆除、闲置停运污染防治设施，需说明原因、递交书面报告、收到回复及实施拆除、闲置停运的起止日期及相关情况；因故障等紧急情况停运污染防治设施，或污染防治设施运行异常的，企业应说明原因、废水废气等污染物排放情况、报告递交情况及采取的应急措施。如有发生污染事故，企业需要说明在污染事故发生时采取的措施、污染物排放情况及对周边环境造成的影响。</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4）自行监测情况。</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自动监测情况应当说明监测点位、监测指标、监测频次、监测方法和仪器、采样方法、监测质量控制、自动监测系统联网、自动监测系统的运行维护及监测结果公开情况等，并建立台账记录报告。</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对于无自动监测的大气污染物和水污染物指标，企业应当按照自行监测数据记录总结说明企业开展手工监测的情况。</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分析与排污许可证规定的自行监测方案变化情况及是否满足排污许可证要求。</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5）台账管理情况。</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企业应说明按总量控制、排污收费、环境保护税等各项环境管理要求统计基本信息、污染治理措施运行管理信息、其他环境管理信息等情况；说明记录、保存监测数据的情况；说明生产运行台账是否满足接受各级环境保护主管部门检查要求。</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6）实际排放情况及达标判定分析。</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根据企业自行监测数据记录及环境管理台账的相关数据信息，概述企业各项污染源、各项污染物的排放情况，分析全年、特殊时段、启停机时段许可浓度限值及许可排放量的达标情况。</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7）排污费（环境保护税）缴纳情况。</w:t>
      </w:r>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企业说明根据相关环境法律法规，按照排放污染物的种类、浓度、数量等缴纳排污费（环境保护税）的情况。如遇有不可抗力自然灾害和其他突发事件申请减免或缓缴，企业需说明书面申请及批复情况。</w:t>
      </w:r>
    </w:p>
    <w:p>
      <w:pPr>
        <w:pStyle w:val="147"/>
        <w:keepNext w:val="0"/>
        <w:keepLines w:val="0"/>
        <w:pageBreakBefore w:val="0"/>
        <w:widowControl w:val="0"/>
        <w:shd w:val="clear" w:color="auto" w:fill="auto"/>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8）信息公开情况。</w:t>
      </w:r>
    </w:p>
    <w:p>
      <w:pPr>
        <w:pStyle w:val="147"/>
        <w:keepNext w:val="0"/>
        <w:keepLines w:val="0"/>
        <w:pageBreakBefore w:val="0"/>
        <w:widowControl w:val="0"/>
        <w:shd w:val="clear" w:color="auto" w:fill="auto"/>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企业说明依据排污许可证规定的环境信息公开要求，开展信息公开的情况。</w:t>
      </w:r>
    </w:p>
    <w:p>
      <w:pPr>
        <w:pStyle w:val="147"/>
        <w:keepNext w:val="0"/>
        <w:keepLines w:val="0"/>
        <w:pageBreakBefore w:val="0"/>
        <w:widowControl w:val="0"/>
        <w:shd w:val="clear" w:color="auto" w:fill="auto"/>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9）企业内部环境管理体系建设与运行情况。</w:t>
      </w:r>
    </w:p>
    <w:p>
      <w:pPr>
        <w:pStyle w:val="147"/>
        <w:keepNext w:val="0"/>
        <w:keepLines w:val="0"/>
        <w:pageBreakBefore w:val="0"/>
        <w:widowControl w:val="0"/>
        <w:shd w:val="clear" w:color="auto" w:fill="auto"/>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说明企业内部环境管理体系的设置、人员保障、设施配备、企业环境保护规划、相关规章制度的建设和实施情况、相关责任的落实情况等。</w:t>
      </w:r>
    </w:p>
    <w:p>
      <w:pPr>
        <w:pStyle w:val="146"/>
        <w:keepNext w:val="0"/>
        <w:keepLines w:val="0"/>
        <w:pageBreakBefore w:val="0"/>
        <w:widowControl w:val="0"/>
        <w:numPr>
          <w:ilvl w:val="2"/>
          <w:numId w:val="0"/>
        </w:numPr>
        <w:kinsoku/>
        <w:wordWrap/>
        <w:overflowPunct/>
        <w:topLinePunct w:val="0"/>
        <w:autoSpaceDE/>
        <w:autoSpaceDN/>
        <w:bidi w:val="0"/>
        <w:adjustRightInd w:val="0"/>
        <w:snapToGrid w:val="0"/>
        <w:ind w:left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bookmarkStart w:id="492" w:name="_Toc532680876"/>
      <w:bookmarkStart w:id="493" w:name="_Toc117518222"/>
      <w:bookmarkStart w:id="494" w:name="_Toc370203624"/>
      <w:bookmarkStart w:id="495" w:name="_Toc117518384"/>
      <w:bookmarkStart w:id="496" w:name="_Toc315988582"/>
      <w:bookmarkStart w:id="497" w:name="_Toc365652049"/>
      <w:bookmarkStart w:id="498" w:name="_Toc323919945"/>
      <w:bookmarkStart w:id="499" w:name="_Toc117518579"/>
      <w:bookmarkStart w:id="500" w:name="_Toc117518141"/>
      <w:bookmarkStart w:id="501" w:name="_Toc377605164"/>
      <w:bookmarkStart w:id="502" w:name="_Toc117518307"/>
      <w:bookmarkStart w:id="503" w:name="_Toc117517877"/>
      <w:r>
        <w:rPr>
          <w:rFonts w:hint="eastAsia" w:ascii="Times New Roman" w:hAnsi="Times New Roman" w:eastAsia="宋体"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lang w:val="en-US" w:eastAsia="zh-CN"/>
          <w14:textFill>
            <w14:solidFill>
              <w14:schemeClr w14:val="tx1"/>
            </w14:solidFill>
          </w14:textFill>
        </w:rPr>
        <w:t>事故应急调查监测方案</w:t>
      </w:r>
      <w:bookmarkEnd w:id="492"/>
      <w:bookmarkEnd w:id="493"/>
      <w:bookmarkEnd w:id="494"/>
      <w:bookmarkEnd w:id="495"/>
      <w:bookmarkEnd w:id="496"/>
      <w:bookmarkEnd w:id="497"/>
      <w:bookmarkEnd w:id="498"/>
      <w:bookmarkEnd w:id="499"/>
      <w:bookmarkEnd w:id="500"/>
      <w:bookmarkEnd w:id="501"/>
      <w:bookmarkEnd w:id="502"/>
      <w:bookmarkEnd w:id="503"/>
    </w:p>
    <w:p>
      <w:pPr>
        <w:pStyle w:val="129"/>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t>项目事故预案中需包括应急监测程序，项目运行过程中一旦发生事故，应立即启动应急监测程序，并跟踪监测污染物的迁移情况，直到事故影响根本消除。事故应急监测方案应与当地环境监测站共同制订和实施，环境监测人员（本企业）在工作时间10min内、非工作时间20min内要到达事故现场，需实验室分析测试的项目，在采样后24h内必须报出，应急监测专题报告在48h内要报出。根据事故发生源，污染物泄漏种类的分析成果，监测事故的特征因子，监测范围应对事故附近的辐射圈周界进行采样监测。</w:t>
      </w:r>
    </w:p>
    <w:p>
      <w:pPr>
        <w:pStyle w:val="146"/>
        <w:keepNext w:val="0"/>
        <w:keepLines w:val="0"/>
        <w:pageBreakBefore w:val="0"/>
        <w:widowControl w:val="0"/>
        <w:numPr>
          <w:ilvl w:val="2"/>
          <w:numId w:val="0"/>
        </w:numPr>
        <w:kinsoku/>
        <w:wordWrap/>
        <w:overflowPunct/>
        <w:topLinePunct w:val="0"/>
        <w:autoSpaceDE/>
        <w:autoSpaceDN/>
        <w:bidi w:val="0"/>
        <w:adjustRightInd w:val="0"/>
        <w:snapToGrid w:val="0"/>
        <w:ind w:left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bookmarkStart w:id="504" w:name="_Toc384462836"/>
      <w:bookmarkStart w:id="505" w:name="_Toc528747275"/>
      <w:bookmarkStart w:id="506" w:name="_Toc508376478"/>
      <w:bookmarkStart w:id="507" w:name="_Toc532680877"/>
      <w:r>
        <w:rPr>
          <w:rFonts w:hint="default" w:ascii="Times New Roman" w:hAnsi="Times New Roman" w:eastAsia="宋体" w:cs="Times New Roman"/>
          <w:color w:val="000000" w:themeColor="text1"/>
          <w:lang w:val="en-US" w:eastAsia="zh-CN"/>
          <w14:textFill>
            <w14:solidFill>
              <w14:schemeClr w14:val="tx1"/>
            </w14:solidFill>
          </w14:textFill>
        </w:rPr>
        <w:t>9.2.5环境保护“三同时”验收</w:t>
      </w:r>
      <w:bookmarkEnd w:id="504"/>
      <w:bookmarkEnd w:id="505"/>
      <w:bookmarkEnd w:id="506"/>
      <w:bookmarkEnd w:id="507"/>
    </w:p>
    <w:p>
      <w:pPr>
        <w:pStyle w:val="14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w:t>
      </w:r>
      <w:r>
        <w:rPr>
          <w:rFonts w:hint="default" w:ascii="Times New Roman" w:hAnsi="Times New Roman" w:cs="Times New Roman"/>
          <w:color w:val="000000" w:themeColor="text1"/>
          <w:sz w:val="24"/>
          <w:szCs w:val="24"/>
          <w:lang w:eastAsia="zh-CN"/>
          <w14:textFill>
            <w14:solidFill>
              <w14:schemeClr w14:val="tx1"/>
            </w14:solidFill>
          </w14:textFill>
        </w:rPr>
        <w:t>为改扩建项目</w:t>
      </w:r>
      <w:r>
        <w:rPr>
          <w:rFonts w:hint="default" w:ascii="Times New Roman" w:hAnsi="Times New Roman" w:cs="Times New Roman"/>
          <w:color w:val="000000" w:themeColor="text1"/>
          <w:sz w:val="24"/>
          <w:szCs w:val="24"/>
          <w14:textFill>
            <w14:solidFill>
              <w14:schemeClr w14:val="tx1"/>
            </w14:solidFill>
          </w14:textFill>
        </w:rPr>
        <w:t>，根据建设项目环境管理办法</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污染防治设施必须与主体工程同时设计、同时施工、同时投入使用。在项目建设完成后，建设单位应及时组织环保设施竣工验收，编制竣工环境保护验收监测报告。本项目验收环保设施竣工验收建议清单见表</w:t>
      </w:r>
      <w:bookmarkStart w:id="508" w:name="OLE_LINK792"/>
      <w:bookmarkStart w:id="509" w:name="OLE_LINK791"/>
      <w:r>
        <w:rPr>
          <w:rFonts w:hint="default" w:ascii="Times New Roman" w:hAnsi="Times New Roman" w:cs="Times New Roman"/>
          <w:color w:val="000000" w:themeColor="text1"/>
          <w:sz w:val="24"/>
          <w:szCs w:val="24"/>
          <w:lang w:val="en-US" w:eastAsia="zh-CN"/>
          <w14:textFill>
            <w14:solidFill>
              <w14:schemeClr w14:val="tx1"/>
            </w14:solidFill>
          </w14:textFill>
        </w:rPr>
        <w:t>9.2</w:t>
      </w:r>
      <w:r>
        <w:rPr>
          <w:rFonts w:hint="default" w:ascii="Times New Roman" w:hAnsi="Times New Roman" w:cs="Times New Roman"/>
          <w:color w:val="000000" w:themeColor="text1"/>
          <w:sz w:val="24"/>
          <w:szCs w:val="24"/>
          <w14:textFill>
            <w14:solidFill>
              <w14:schemeClr w14:val="tx1"/>
            </w14:solidFill>
          </w14:textFill>
        </w:rPr>
        <w:t>-6</w:t>
      </w:r>
      <w:bookmarkEnd w:id="508"/>
      <w:bookmarkEnd w:id="509"/>
      <w:r>
        <w:rPr>
          <w:rFonts w:hint="default" w:ascii="Times New Roman" w:hAnsi="Times New Roman" w:cs="Times New Roman"/>
          <w:color w:val="000000" w:themeColor="text1"/>
          <w:sz w:val="24"/>
          <w:szCs w:val="24"/>
          <w14:textFill>
            <w14:solidFill>
              <w14:schemeClr w14:val="tx1"/>
            </w14:solidFill>
          </w14:textFill>
        </w:rPr>
        <w:t>和表</w:t>
      </w:r>
      <w:r>
        <w:rPr>
          <w:rFonts w:hint="default" w:ascii="Times New Roman" w:hAnsi="Times New Roman" w:cs="Times New Roman"/>
          <w:color w:val="000000" w:themeColor="text1"/>
          <w:sz w:val="24"/>
          <w:szCs w:val="24"/>
          <w:lang w:val="en-US" w:eastAsia="zh-CN"/>
          <w14:textFill>
            <w14:solidFill>
              <w14:schemeClr w14:val="tx1"/>
            </w14:solidFill>
          </w14:textFill>
        </w:rPr>
        <w:t>9.2</w:t>
      </w:r>
      <w:r>
        <w:rPr>
          <w:rFonts w:hint="default" w:ascii="Times New Roman" w:hAnsi="Times New Roman" w:cs="Times New Roman"/>
          <w:color w:val="000000" w:themeColor="text1"/>
          <w:sz w:val="24"/>
          <w:szCs w:val="24"/>
          <w14:textFill>
            <w14:solidFill>
              <w14:schemeClr w14:val="tx1"/>
            </w14:solidFill>
          </w14:textFill>
        </w:rPr>
        <w:t>-7。</w:t>
      </w:r>
    </w:p>
    <w:p>
      <w:pPr>
        <w:pStyle w:val="148"/>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pPr>
      <w:bookmarkStart w:id="510" w:name="OLE_LINK803"/>
      <w:bookmarkStart w:id="511" w:name="OLE_LINK802"/>
    </w:p>
    <w:p>
      <w:pPr>
        <w:pStyle w:val="148"/>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pPr>
    </w:p>
    <w:p>
      <w:pPr>
        <w:pStyle w:val="148"/>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pPr>
    </w:p>
    <w:p>
      <w:pPr>
        <w:pStyle w:val="148"/>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pPr>
    </w:p>
    <w:p>
      <w:pPr>
        <w:pStyle w:val="148"/>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pPr>
    </w:p>
    <w:p>
      <w:pPr>
        <w:pStyle w:val="148"/>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pPr>
    </w:p>
    <w:p>
      <w:pPr>
        <w:pStyle w:val="148"/>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2"/>
          <w:lang w:val="en-US" w:eastAsia="zh-CN" w:bidi="ar-SA"/>
          <w14:textFill>
            <w14:solidFill>
              <w14:schemeClr w14:val="tx1"/>
            </w14:solidFill>
          </w14:textFill>
        </w:rPr>
        <w:t>表9.2-6   工程竣工环境保护“三同时”验收一览表</w:t>
      </w:r>
    </w:p>
    <w:bookmarkEnd w:id="510"/>
    <w:bookmarkEnd w:id="511"/>
    <w:tbl>
      <w:tblPr>
        <w:tblStyle w:val="21"/>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3"/>
        <w:gridCol w:w="924"/>
        <w:gridCol w:w="295"/>
        <w:gridCol w:w="1035"/>
        <w:gridCol w:w="1122"/>
        <w:gridCol w:w="2438"/>
        <w:gridCol w:w="21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restart"/>
            <w:noWrap w:val="0"/>
            <w:vAlign w:val="center"/>
          </w:tcPr>
          <w:p>
            <w:pPr>
              <w:pStyle w:val="152"/>
              <w:rPr>
                <w:rFonts w:ascii="宋体" w:hAnsi="宋体" w:eastAsia="宋体"/>
                <w:color w:val="000000" w:themeColor="text1"/>
                <w:position w:val="0"/>
                <w:sz w:val="18"/>
                <w:szCs w:val="18"/>
                <w14:textFill>
                  <w14:solidFill>
                    <w14:schemeClr w14:val="tx1"/>
                  </w14:solidFill>
                </w14:textFill>
              </w:rPr>
            </w:pPr>
            <w:bookmarkStart w:id="512" w:name="_Toc532680878"/>
            <w:bookmarkStart w:id="513" w:name="_Toc528747276"/>
            <w:r>
              <w:rPr>
                <w:rFonts w:ascii="宋体" w:hAnsi="宋体" w:eastAsia="宋体"/>
                <w:color w:val="000000" w:themeColor="text1"/>
                <w:position w:val="0"/>
                <w:sz w:val="18"/>
                <w:szCs w:val="18"/>
                <w14:textFill>
                  <w14:solidFill>
                    <w14:schemeClr w14:val="tx1"/>
                  </w14:solidFill>
                </w14:textFill>
              </w:rPr>
              <w:t>类别</w:t>
            </w:r>
          </w:p>
        </w:tc>
        <w:tc>
          <w:tcPr>
            <w:tcW w:w="2254" w:type="dxa"/>
            <w:gridSpan w:val="3"/>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污染源</w:t>
            </w:r>
          </w:p>
        </w:tc>
        <w:tc>
          <w:tcPr>
            <w:tcW w:w="1122" w:type="dxa"/>
            <w:vMerge w:val="restart"/>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污染物</w:t>
            </w:r>
          </w:p>
        </w:tc>
        <w:tc>
          <w:tcPr>
            <w:tcW w:w="4633" w:type="dxa"/>
            <w:gridSpan w:val="2"/>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924" w:type="dxa"/>
            <w:vMerge w:val="restart"/>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装置或工段</w:t>
            </w:r>
          </w:p>
        </w:tc>
        <w:tc>
          <w:tcPr>
            <w:tcW w:w="1330" w:type="dxa"/>
            <w:gridSpan w:val="2"/>
            <w:vMerge w:val="restart"/>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排放部位</w:t>
            </w:r>
          </w:p>
        </w:tc>
        <w:tc>
          <w:tcPr>
            <w:tcW w:w="1122"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4633" w:type="dxa"/>
            <w:gridSpan w:val="2"/>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工程拟采取措施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924"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1330" w:type="dxa"/>
            <w:gridSpan w:val="2"/>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1122"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2438"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措施名称</w:t>
            </w:r>
          </w:p>
        </w:tc>
        <w:tc>
          <w:tcPr>
            <w:tcW w:w="2195"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restart"/>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环境空气</w:t>
            </w:r>
          </w:p>
        </w:tc>
        <w:tc>
          <w:tcPr>
            <w:tcW w:w="924" w:type="dxa"/>
            <w:tcBorders>
              <w:bottom w:val="single" w:color="auto" w:sz="4" w:space="0"/>
            </w:tcBorders>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lang w:eastAsia="zh-CN"/>
                <w14:textFill>
                  <w14:solidFill>
                    <w14:schemeClr w14:val="tx1"/>
                  </w14:solidFill>
                </w14:textFill>
              </w:rPr>
              <w:t>新建</w:t>
            </w:r>
            <w:r>
              <w:rPr>
                <w:rFonts w:ascii="宋体" w:hAnsi="宋体" w:eastAsia="宋体"/>
                <w:color w:val="000000" w:themeColor="text1"/>
                <w:position w:val="0"/>
                <w:sz w:val="18"/>
                <w:szCs w:val="18"/>
                <w14:textFill>
                  <w14:solidFill>
                    <w14:schemeClr w14:val="tx1"/>
                  </w14:solidFill>
                </w14:textFill>
              </w:rPr>
              <w:t>锅炉</w:t>
            </w:r>
          </w:p>
        </w:tc>
        <w:tc>
          <w:tcPr>
            <w:tcW w:w="1330" w:type="dxa"/>
            <w:gridSpan w:val="2"/>
            <w:tcBorders>
              <w:bottom w:val="single" w:color="auto" w:sz="4" w:space="0"/>
            </w:tcBorders>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lang w:eastAsia="zh-CN"/>
                <w14:textFill>
                  <w14:solidFill>
                    <w14:schemeClr w14:val="tx1"/>
                  </w14:solidFill>
                </w14:textFill>
              </w:rPr>
              <w:t>烟囱</w:t>
            </w:r>
          </w:p>
        </w:tc>
        <w:tc>
          <w:tcPr>
            <w:tcW w:w="1122"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lang w:val="en-US" w:eastAsia="zh-CN"/>
                <w14:textFill>
                  <w14:solidFill>
                    <w14:schemeClr w14:val="tx1"/>
                  </w14:solidFill>
                </w14:textFill>
              </w:rPr>
              <w:t>烟尘</w:t>
            </w:r>
            <w:r>
              <w:rPr>
                <w:rFonts w:hint="eastAsia" w:ascii="宋体" w:hAnsi="宋体" w:eastAsia="宋体"/>
                <w:color w:val="000000" w:themeColor="text1"/>
                <w:position w:val="0"/>
                <w:sz w:val="18"/>
                <w:szCs w:val="18"/>
                <w:lang w:val="en-US" w:eastAsia="zh-CN"/>
                <w14:textFill>
                  <w14:solidFill>
                    <w14:schemeClr w14:val="tx1"/>
                  </w14:solidFill>
                </w14:textFill>
              </w:rPr>
              <w:t>、</w:t>
            </w:r>
            <w:r>
              <w:rPr>
                <w:rFonts w:ascii="宋体" w:hAnsi="宋体" w:eastAsia="宋体"/>
                <w:color w:val="000000" w:themeColor="text1"/>
                <w:position w:val="0"/>
                <w:sz w:val="18"/>
                <w:szCs w:val="18"/>
                <w:lang w:val="en-US" w:eastAsia="zh-CN"/>
                <w14:textFill>
                  <w14:solidFill>
                    <w14:schemeClr w14:val="tx1"/>
                  </w14:solidFill>
                </w14:textFill>
              </w:rPr>
              <w:t>NO</w:t>
            </w:r>
            <w:r>
              <w:rPr>
                <w:rFonts w:ascii="宋体" w:hAnsi="宋体" w:eastAsia="宋体"/>
                <w:color w:val="000000" w:themeColor="text1"/>
                <w:position w:val="0"/>
                <w:sz w:val="18"/>
                <w:szCs w:val="18"/>
                <w:vertAlign w:val="subscript"/>
                <w:lang w:val="en-US" w:eastAsia="zh-CN"/>
                <w14:textFill>
                  <w14:solidFill>
                    <w14:schemeClr w14:val="tx1"/>
                  </w14:solidFill>
                </w14:textFill>
              </w:rPr>
              <w:t>X</w:t>
            </w:r>
            <w:r>
              <w:rPr>
                <w:rFonts w:ascii="宋体" w:hAnsi="宋体" w:eastAsia="宋体"/>
                <w:color w:val="000000" w:themeColor="text1"/>
                <w:position w:val="0"/>
                <w:sz w:val="18"/>
                <w:szCs w:val="18"/>
                <w:lang w:val="en-US" w:eastAsia="zh-CN"/>
                <w14:textFill>
                  <w14:solidFill>
                    <w14:schemeClr w14:val="tx1"/>
                  </w14:solidFill>
                </w14:textFill>
              </w:rPr>
              <w:t>和SO</w:t>
            </w:r>
            <w:r>
              <w:rPr>
                <w:rFonts w:ascii="宋体" w:hAnsi="宋体" w:eastAsia="宋体"/>
                <w:color w:val="000000" w:themeColor="text1"/>
                <w:position w:val="0"/>
                <w:sz w:val="18"/>
                <w:szCs w:val="18"/>
                <w:vertAlign w:val="subscript"/>
                <w:lang w:val="en-US" w:eastAsia="zh-CN"/>
                <w14:textFill>
                  <w14:solidFill>
                    <w14:schemeClr w14:val="tx1"/>
                  </w14:solidFill>
                </w14:textFill>
              </w:rPr>
              <w:t>2</w:t>
            </w:r>
          </w:p>
        </w:tc>
        <w:tc>
          <w:tcPr>
            <w:tcW w:w="2438" w:type="dxa"/>
            <w:noWrap w:val="0"/>
            <w:vAlign w:val="center"/>
          </w:tcPr>
          <w:p>
            <w:pPr>
              <w:pStyle w:val="152"/>
              <w:snapToGrid w:val="0"/>
              <w:rPr>
                <w:rFonts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lang w:val="en-US"/>
                <w14:textFill>
                  <w14:solidFill>
                    <w14:schemeClr w14:val="tx1"/>
                  </w14:solidFill>
                </w14:textFill>
              </w:rPr>
              <w:t>炉内喷钙+烟气循环流化床干法脱硫除尘一体化+SNCR法脱硝</w:t>
            </w:r>
            <w:r>
              <w:rPr>
                <w:rFonts w:hint="eastAsia" w:ascii="宋体" w:hAnsi="宋体" w:eastAsia="宋体"/>
                <w:color w:val="000000" w:themeColor="text1"/>
                <w:position w:val="0"/>
                <w:sz w:val="18"/>
                <w:szCs w:val="18"/>
                <w:lang w:val="en-US" w:eastAsia="zh-CN"/>
                <w14:textFill>
                  <w14:solidFill>
                    <w14:schemeClr w14:val="tx1"/>
                  </w14:solidFill>
                </w14:textFill>
              </w:rPr>
              <w:t>（3套）</w:t>
            </w:r>
            <w:r>
              <w:rPr>
                <w:rFonts w:hint="eastAsia" w:ascii="宋体" w:hAnsi="宋体" w:eastAsia="宋体"/>
                <w:color w:val="000000" w:themeColor="text1"/>
                <w:position w:val="0"/>
                <w:sz w:val="18"/>
                <w:szCs w:val="18"/>
                <w14:textFill>
                  <w14:solidFill>
                    <w14:schemeClr w14:val="tx1"/>
                  </w14:solidFill>
                </w14:textFill>
              </w:rPr>
              <w:t>；</w:t>
            </w:r>
            <w:r>
              <w:rPr>
                <w:rFonts w:ascii="宋体" w:hAnsi="宋体" w:eastAsia="宋体"/>
                <w:color w:val="000000" w:themeColor="text1"/>
                <w:position w:val="0"/>
                <w:sz w:val="18"/>
                <w:szCs w:val="18"/>
                <w14:textFill>
                  <w14:solidFill>
                    <w14:schemeClr w14:val="tx1"/>
                  </w14:solidFill>
                </w14:textFill>
              </w:rPr>
              <w:t>烟尘、SO</w:t>
            </w:r>
            <w:r>
              <w:rPr>
                <w:rFonts w:ascii="宋体" w:hAnsi="宋体" w:eastAsia="宋体"/>
                <w:color w:val="000000" w:themeColor="text1"/>
                <w:position w:val="0"/>
                <w:sz w:val="18"/>
                <w:szCs w:val="18"/>
                <w:vertAlign w:val="subscript"/>
                <w14:textFill>
                  <w14:solidFill>
                    <w14:schemeClr w14:val="tx1"/>
                  </w14:solidFill>
                </w14:textFill>
              </w:rPr>
              <w:t>2</w:t>
            </w:r>
            <w:r>
              <w:rPr>
                <w:rFonts w:hint="eastAsia" w:ascii="宋体" w:hAnsi="宋体" w:eastAsia="宋体"/>
                <w:color w:val="000000" w:themeColor="text1"/>
                <w:position w:val="0"/>
                <w:sz w:val="18"/>
                <w:szCs w:val="18"/>
                <w:lang w:eastAsia="zh-CN"/>
                <w14:textFill>
                  <w14:solidFill>
                    <w14:schemeClr w14:val="tx1"/>
                  </w14:solidFill>
                </w14:textFill>
              </w:rPr>
              <w:t>、</w:t>
            </w:r>
            <w:r>
              <w:rPr>
                <w:rFonts w:ascii="宋体" w:hAnsi="宋体" w:eastAsia="宋体"/>
                <w:color w:val="000000" w:themeColor="text1"/>
                <w:kern w:val="0"/>
                <w:position w:val="0"/>
                <w:sz w:val="18"/>
                <w:szCs w:val="18"/>
                <w14:textFill>
                  <w14:solidFill>
                    <w14:schemeClr w14:val="tx1"/>
                  </w14:solidFill>
                </w14:textFill>
              </w:rPr>
              <w:t>NO</w:t>
            </w:r>
            <w:r>
              <w:rPr>
                <w:rFonts w:ascii="宋体" w:hAnsi="宋体" w:eastAsia="宋体"/>
                <w:color w:val="000000" w:themeColor="text1"/>
                <w:kern w:val="0"/>
                <w:position w:val="0"/>
                <w:sz w:val="18"/>
                <w:szCs w:val="18"/>
                <w:vertAlign w:val="subscript"/>
                <w14:textFill>
                  <w14:solidFill>
                    <w14:schemeClr w14:val="tx1"/>
                  </w14:solidFill>
                </w14:textFill>
              </w:rPr>
              <w:t>X</w:t>
            </w:r>
            <w:r>
              <w:rPr>
                <w:rFonts w:ascii="宋体" w:hAnsi="宋体" w:eastAsia="宋体"/>
                <w:color w:val="000000" w:themeColor="text1"/>
                <w:position w:val="0"/>
                <w:sz w:val="18"/>
                <w:szCs w:val="18"/>
                <w14:textFill>
                  <w14:solidFill>
                    <w14:schemeClr w14:val="tx1"/>
                  </w14:solidFill>
                </w14:textFill>
              </w:rPr>
              <w:t>自动测试仪（</w:t>
            </w:r>
            <w:r>
              <w:rPr>
                <w:rFonts w:hint="eastAsia" w:ascii="宋体" w:hAnsi="宋体" w:eastAsia="宋体"/>
                <w:color w:val="000000" w:themeColor="text1"/>
                <w:position w:val="0"/>
                <w:sz w:val="18"/>
                <w:szCs w:val="18"/>
                <w14:textFill>
                  <w14:solidFill>
                    <w14:schemeClr w14:val="tx1"/>
                  </w14:solidFill>
                </w14:textFill>
              </w:rPr>
              <w:t>1</w:t>
            </w:r>
            <w:r>
              <w:rPr>
                <w:rFonts w:ascii="宋体" w:hAnsi="宋体" w:eastAsia="宋体"/>
                <w:color w:val="000000" w:themeColor="text1"/>
                <w:position w:val="0"/>
                <w:sz w:val="18"/>
                <w:szCs w:val="18"/>
                <w14:textFill>
                  <w14:solidFill>
                    <w14:schemeClr w14:val="tx1"/>
                  </w14:solidFill>
                </w14:textFill>
              </w:rPr>
              <w:t>台）；PH值自动测试和石灰粉自动添加装置（</w:t>
            </w:r>
            <w:r>
              <w:rPr>
                <w:rFonts w:hint="eastAsia" w:ascii="宋体" w:hAnsi="宋体" w:eastAsia="宋体"/>
                <w:color w:val="000000" w:themeColor="text1"/>
                <w:position w:val="0"/>
                <w:sz w:val="18"/>
                <w:szCs w:val="18"/>
                <w:lang w:eastAsia="zh-CN"/>
                <w14:textFill>
                  <w14:solidFill>
                    <w14:schemeClr w14:val="tx1"/>
                  </w14:solidFill>
                </w14:textFill>
              </w:rPr>
              <w:t>1</w:t>
            </w:r>
            <w:r>
              <w:rPr>
                <w:rFonts w:ascii="宋体" w:hAnsi="宋体" w:eastAsia="宋体"/>
                <w:color w:val="000000" w:themeColor="text1"/>
                <w:position w:val="0"/>
                <w:sz w:val="18"/>
                <w:szCs w:val="18"/>
                <w14:textFill>
                  <w14:solidFill>
                    <w14:schemeClr w14:val="tx1"/>
                  </w14:solidFill>
                </w14:textFill>
              </w:rPr>
              <w:t>套）</w:t>
            </w:r>
          </w:p>
        </w:tc>
        <w:tc>
          <w:tcPr>
            <w:tcW w:w="2195" w:type="dxa"/>
            <w:noWrap w:val="0"/>
            <w:vAlign w:val="center"/>
          </w:tcPr>
          <w:p>
            <w:pPr>
              <w:pStyle w:val="152"/>
              <w:rPr>
                <w:rFonts w:hint="eastAsia" w:ascii="宋体" w:hAnsi="宋体" w:eastAsia="宋体"/>
                <w:color w:val="000000" w:themeColor="text1"/>
                <w:position w:val="0"/>
                <w:sz w:val="18"/>
                <w:szCs w:val="18"/>
                <w:lang w:eastAsia="zh-CN"/>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达标排放，自动测试</w:t>
            </w:r>
          </w:p>
          <w:p>
            <w:pPr>
              <w:pStyle w:val="152"/>
              <w:rPr>
                <w:rFonts w:hint="eastAsia" w:ascii="宋体" w:hAnsi="宋体" w:eastAsia="宋体"/>
                <w:color w:val="000000" w:themeColor="text1"/>
                <w:position w:val="0"/>
                <w:sz w:val="18"/>
                <w:szCs w:val="18"/>
                <w:lang w:eastAsia="zh-CN"/>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标准值：烟尘</w:t>
            </w:r>
            <w:r>
              <w:rPr>
                <w:rFonts w:hint="eastAsia" w:ascii="宋体" w:hAnsi="宋体" w:eastAsia="宋体"/>
                <w:color w:val="000000" w:themeColor="text1"/>
                <w:position w:val="0"/>
                <w:sz w:val="18"/>
                <w:szCs w:val="18"/>
                <w:lang w:eastAsia="zh-CN"/>
                <w14:textFill>
                  <w14:solidFill>
                    <w14:schemeClr w14:val="tx1"/>
                  </w14:solidFill>
                </w14:textFill>
              </w:rPr>
              <w:t>1</w:t>
            </w:r>
            <w:r>
              <w:rPr>
                <w:rFonts w:ascii="宋体" w:hAnsi="宋体" w:eastAsia="宋体"/>
                <w:color w:val="000000" w:themeColor="text1"/>
                <w:position w:val="0"/>
                <w:sz w:val="18"/>
                <w:szCs w:val="18"/>
                <w14:textFill>
                  <w14:solidFill>
                    <w14:schemeClr w14:val="tx1"/>
                  </w14:solidFill>
                </w14:textFill>
              </w:rPr>
              <w:t>0</w:t>
            </w:r>
            <w:r>
              <w:rPr>
                <w:rFonts w:ascii="宋体" w:hAnsi="宋体" w:eastAsia="宋体"/>
                <w:color w:val="000000" w:themeColor="text1"/>
                <w:kern w:val="0"/>
                <w:position w:val="0"/>
                <w:sz w:val="18"/>
                <w:szCs w:val="18"/>
                <w14:textFill>
                  <w14:solidFill>
                    <w14:schemeClr w14:val="tx1"/>
                  </w14:solidFill>
                </w14:textFill>
              </w:rPr>
              <w:t>mg/m</w:t>
            </w:r>
            <w:r>
              <w:rPr>
                <w:rFonts w:ascii="宋体" w:hAnsi="宋体" w:eastAsia="宋体"/>
                <w:color w:val="000000" w:themeColor="text1"/>
                <w:kern w:val="0"/>
                <w:position w:val="0"/>
                <w:sz w:val="18"/>
                <w:szCs w:val="18"/>
                <w:vertAlign w:val="superscript"/>
                <w14:textFill>
                  <w14:solidFill>
                    <w14:schemeClr w14:val="tx1"/>
                  </w14:solidFill>
                </w14:textFill>
              </w:rPr>
              <w:t>3</w:t>
            </w:r>
            <w:r>
              <w:rPr>
                <w:rFonts w:ascii="宋体" w:hAnsi="宋体" w:eastAsia="宋体"/>
                <w:color w:val="000000" w:themeColor="text1"/>
                <w:kern w:val="0"/>
                <w:position w:val="0"/>
                <w:sz w:val="18"/>
                <w:szCs w:val="18"/>
                <w14:textFill>
                  <w14:solidFill>
                    <w14:schemeClr w14:val="tx1"/>
                  </w14:solidFill>
                </w14:textFill>
              </w:rPr>
              <w:t>、</w:t>
            </w:r>
            <w:r>
              <w:rPr>
                <w:rFonts w:ascii="宋体" w:hAnsi="宋体" w:eastAsia="宋体"/>
                <w:color w:val="000000" w:themeColor="text1"/>
                <w:position w:val="0"/>
                <w:sz w:val="18"/>
                <w:szCs w:val="18"/>
                <w14:textFill>
                  <w14:solidFill>
                    <w14:schemeClr w14:val="tx1"/>
                  </w14:solidFill>
                </w14:textFill>
              </w:rPr>
              <w:t>SO</w:t>
            </w:r>
            <w:r>
              <w:rPr>
                <w:rFonts w:ascii="宋体" w:hAnsi="宋体" w:eastAsia="宋体"/>
                <w:color w:val="000000" w:themeColor="text1"/>
                <w:position w:val="0"/>
                <w:sz w:val="18"/>
                <w:szCs w:val="18"/>
                <w:vertAlign w:val="subscript"/>
                <w14:textFill>
                  <w14:solidFill>
                    <w14:schemeClr w14:val="tx1"/>
                  </w14:solidFill>
                </w14:textFill>
              </w:rPr>
              <w:t>2</w:t>
            </w:r>
            <w:r>
              <w:rPr>
                <w:rFonts w:hint="eastAsia" w:ascii="宋体" w:hAnsi="宋体" w:eastAsia="宋体"/>
                <w:color w:val="000000" w:themeColor="text1"/>
                <w:position w:val="0"/>
                <w:sz w:val="18"/>
                <w:szCs w:val="18"/>
                <w:lang w:eastAsia="zh-CN"/>
                <w14:textFill>
                  <w14:solidFill>
                    <w14:schemeClr w14:val="tx1"/>
                  </w14:solidFill>
                </w14:textFill>
              </w:rPr>
              <w:t>35</w:t>
            </w:r>
            <w:r>
              <w:rPr>
                <w:rFonts w:ascii="宋体" w:hAnsi="宋体" w:eastAsia="宋体"/>
                <w:color w:val="000000" w:themeColor="text1"/>
                <w:kern w:val="0"/>
                <w:position w:val="0"/>
                <w:sz w:val="18"/>
                <w:szCs w:val="18"/>
                <w14:textFill>
                  <w14:solidFill>
                    <w14:schemeClr w14:val="tx1"/>
                  </w14:solidFill>
                </w14:textFill>
              </w:rPr>
              <w:t>mg/m</w:t>
            </w:r>
            <w:r>
              <w:rPr>
                <w:rFonts w:ascii="宋体" w:hAnsi="宋体" w:eastAsia="宋体"/>
                <w:color w:val="000000" w:themeColor="text1"/>
                <w:kern w:val="0"/>
                <w:position w:val="0"/>
                <w:sz w:val="18"/>
                <w:szCs w:val="18"/>
                <w:vertAlign w:val="superscript"/>
                <w14:textFill>
                  <w14:solidFill>
                    <w14:schemeClr w14:val="tx1"/>
                  </w14:solidFill>
                </w14:textFill>
              </w:rPr>
              <w:t>3</w:t>
            </w:r>
            <w:r>
              <w:rPr>
                <w:rFonts w:ascii="宋体" w:hAnsi="宋体" w:eastAsia="宋体"/>
                <w:color w:val="000000" w:themeColor="text1"/>
                <w:kern w:val="0"/>
                <w:position w:val="0"/>
                <w:sz w:val="18"/>
                <w:szCs w:val="18"/>
                <w14:textFill>
                  <w14:solidFill>
                    <w14:schemeClr w14:val="tx1"/>
                  </w14:solidFill>
                </w14:textFill>
              </w:rPr>
              <w:t>、NO</w:t>
            </w:r>
            <w:r>
              <w:rPr>
                <w:rFonts w:ascii="宋体" w:hAnsi="宋体" w:eastAsia="宋体"/>
                <w:color w:val="000000" w:themeColor="text1"/>
                <w:kern w:val="0"/>
                <w:position w:val="0"/>
                <w:sz w:val="18"/>
                <w:szCs w:val="18"/>
                <w:vertAlign w:val="subscript"/>
                <w14:textFill>
                  <w14:solidFill>
                    <w14:schemeClr w14:val="tx1"/>
                  </w14:solidFill>
                </w14:textFill>
              </w:rPr>
              <w:t>X</w:t>
            </w:r>
            <w:r>
              <w:rPr>
                <w:rFonts w:hint="eastAsia" w:ascii="宋体" w:hAnsi="宋体" w:eastAsia="宋体"/>
                <w:color w:val="000000" w:themeColor="text1"/>
                <w:kern w:val="0"/>
                <w:position w:val="0"/>
                <w:sz w:val="18"/>
                <w:szCs w:val="18"/>
                <w:lang w:eastAsia="zh-CN"/>
                <w14:textFill>
                  <w14:solidFill>
                    <w14:schemeClr w14:val="tx1"/>
                  </w14:solidFill>
                </w14:textFill>
              </w:rPr>
              <w:t>5</w:t>
            </w:r>
            <w:r>
              <w:rPr>
                <w:rFonts w:ascii="宋体" w:hAnsi="宋体" w:eastAsia="宋体"/>
                <w:color w:val="000000" w:themeColor="text1"/>
                <w:kern w:val="0"/>
                <w:position w:val="0"/>
                <w:sz w:val="18"/>
                <w:szCs w:val="18"/>
                <w14:textFill>
                  <w14:solidFill>
                    <w14:schemeClr w14:val="tx1"/>
                  </w14:solidFill>
                </w14:textFill>
              </w:rPr>
              <w:t>0mg/m</w:t>
            </w:r>
            <w:r>
              <w:rPr>
                <w:rFonts w:ascii="宋体" w:hAnsi="宋体" w:eastAsia="宋体"/>
                <w:color w:val="000000" w:themeColor="text1"/>
                <w:kern w:val="0"/>
                <w:position w:val="0"/>
                <w:sz w:val="18"/>
                <w:szCs w:val="18"/>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2254" w:type="dxa"/>
            <w:gridSpan w:val="3"/>
            <w:tcBorders>
              <w:bottom w:val="single" w:color="auto" w:sz="4" w:space="0"/>
            </w:tcBorders>
            <w:noWrap w:val="0"/>
            <w:vAlign w:val="center"/>
          </w:tcPr>
          <w:p>
            <w:pPr>
              <w:pStyle w:val="152"/>
              <w:rPr>
                <w:rFonts w:hint="eastAsia" w:ascii="宋体" w:hAnsi="宋体" w:eastAsia="宋体"/>
                <w:color w:val="000000" w:themeColor="text1"/>
                <w:position w:val="0"/>
                <w:sz w:val="18"/>
                <w:szCs w:val="18"/>
                <w:lang w:eastAsia="zh-CN"/>
                <w14:textFill>
                  <w14:solidFill>
                    <w14:schemeClr w14:val="tx1"/>
                  </w14:solidFill>
                </w14:textFill>
              </w:rPr>
            </w:pPr>
            <w:r>
              <w:rPr>
                <w:rFonts w:hint="eastAsia" w:ascii="宋体" w:hAnsi="宋体" w:eastAsia="宋体"/>
                <w:color w:val="000000" w:themeColor="text1"/>
                <w:position w:val="0"/>
                <w:sz w:val="18"/>
                <w:szCs w:val="18"/>
                <w:lang w:eastAsia="zh-CN"/>
                <w14:textFill>
                  <w14:solidFill>
                    <w14:schemeClr w14:val="tx1"/>
                  </w14:solidFill>
                </w14:textFill>
              </w:rPr>
              <w:t>灰仓</w:t>
            </w:r>
          </w:p>
        </w:tc>
        <w:tc>
          <w:tcPr>
            <w:tcW w:w="1122" w:type="dxa"/>
            <w:noWrap w:val="0"/>
            <w:vAlign w:val="center"/>
          </w:tcPr>
          <w:p>
            <w:pPr>
              <w:pStyle w:val="152"/>
              <w:rPr>
                <w:rFonts w:ascii="宋体" w:hAnsi="宋体" w:eastAsia="宋体"/>
                <w:color w:val="000000" w:themeColor="text1"/>
                <w:position w:val="0"/>
                <w:sz w:val="18"/>
                <w:szCs w:val="18"/>
                <w:lang w:val="en-US" w:eastAsia="zh-CN"/>
                <w14:textFill>
                  <w14:solidFill>
                    <w14:schemeClr w14:val="tx1"/>
                  </w14:solidFill>
                </w14:textFill>
              </w:rPr>
            </w:pPr>
            <w:r>
              <w:rPr>
                <w:rFonts w:hint="eastAsia" w:ascii="宋体" w:hAnsi="宋体" w:eastAsia="宋体"/>
                <w:color w:val="000000" w:themeColor="text1"/>
                <w:position w:val="0"/>
                <w:sz w:val="18"/>
                <w:szCs w:val="18"/>
                <w:lang w:val="en-US" w:eastAsia="zh-CN"/>
                <w14:textFill>
                  <w14:solidFill>
                    <w14:schemeClr w14:val="tx1"/>
                  </w14:solidFill>
                </w14:textFill>
              </w:rPr>
              <w:t>粉尘</w:t>
            </w:r>
          </w:p>
        </w:tc>
        <w:tc>
          <w:tcPr>
            <w:tcW w:w="2438" w:type="dxa"/>
            <w:noWrap w:val="0"/>
            <w:vAlign w:val="center"/>
          </w:tcPr>
          <w:p>
            <w:pPr>
              <w:pStyle w:val="152"/>
              <w:snapToGrid w:val="0"/>
              <w:rPr>
                <w:rFonts w:hint="eastAsia" w:ascii="宋体" w:hAnsi="宋体" w:eastAsia="宋体"/>
                <w:color w:val="000000" w:themeColor="text1"/>
                <w:position w:val="0"/>
                <w:sz w:val="18"/>
                <w:szCs w:val="18"/>
                <w:lang w:val="en-US"/>
                <w14:textFill>
                  <w14:solidFill>
                    <w14:schemeClr w14:val="tx1"/>
                  </w14:solidFill>
                </w14:textFill>
              </w:rPr>
            </w:pPr>
            <w:r>
              <w:rPr>
                <w:rFonts w:hint="eastAsia" w:ascii="宋体" w:hAnsi="宋体" w:eastAsia="宋体"/>
                <w:color w:val="000000" w:themeColor="text1"/>
                <w:position w:val="0"/>
                <w:sz w:val="18"/>
                <w:szCs w:val="18"/>
                <w:lang w:val="en-US"/>
                <w14:textFill>
                  <w14:solidFill>
                    <w14:schemeClr w14:val="tx1"/>
                  </w14:solidFill>
                </w14:textFill>
              </w:rPr>
              <w:t>布袋除尘器</w:t>
            </w:r>
            <w:r>
              <w:rPr>
                <w:rFonts w:hint="eastAsia" w:ascii="宋体" w:hAnsi="宋体" w:eastAsia="宋体"/>
                <w:color w:val="000000" w:themeColor="text1"/>
                <w:position w:val="0"/>
                <w:sz w:val="18"/>
                <w:szCs w:val="18"/>
                <w:lang w:val="en-US" w:eastAsia="zh-CN"/>
                <w14:textFill>
                  <w14:solidFill>
                    <w14:schemeClr w14:val="tx1"/>
                  </w14:solidFill>
                </w14:textFill>
              </w:rPr>
              <w:t>（2套）</w:t>
            </w:r>
          </w:p>
        </w:tc>
        <w:tc>
          <w:tcPr>
            <w:tcW w:w="2195" w:type="dxa"/>
            <w:vMerge w:val="restart"/>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lang w:val="en-US"/>
                <w14:textFill>
                  <w14:solidFill>
                    <w14:schemeClr w14:val="tx1"/>
                  </w14:solidFill>
                </w14:textFill>
              </w:rPr>
              <w:t>《大气污染物综合排放标准》（</w:t>
            </w:r>
            <w:r>
              <w:rPr>
                <w:rFonts w:ascii="宋体" w:hAnsi="宋体" w:eastAsia="宋体"/>
                <w:color w:val="000000" w:themeColor="text1"/>
                <w:position w:val="0"/>
                <w:sz w:val="18"/>
                <w:szCs w:val="18"/>
                <w:lang w:val="en-US"/>
                <w14:textFill>
                  <w14:solidFill>
                    <w14:schemeClr w14:val="tx1"/>
                  </w14:solidFill>
                </w14:textFill>
              </w:rPr>
              <w:t>GB16297-1996</w:t>
            </w:r>
            <w:r>
              <w:rPr>
                <w:rFonts w:hint="eastAsia" w:ascii="宋体" w:hAnsi="宋体" w:eastAsia="宋体"/>
                <w:color w:val="000000" w:themeColor="text1"/>
                <w:position w:val="0"/>
                <w:sz w:val="18"/>
                <w:szCs w:val="18"/>
                <w:lang w:val="en-US"/>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2254" w:type="dxa"/>
            <w:gridSpan w:val="3"/>
            <w:tcBorders>
              <w:bottom w:val="single" w:color="auto" w:sz="4" w:space="0"/>
            </w:tcBorders>
            <w:noWrap w:val="0"/>
            <w:vAlign w:val="center"/>
          </w:tcPr>
          <w:p>
            <w:pPr>
              <w:pStyle w:val="152"/>
              <w:rPr>
                <w:rFonts w:hint="eastAsia" w:ascii="宋体" w:hAnsi="宋体" w:eastAsia="宋体"/>
                <w:color w:val="000000" w:themeColor="text1"/>
                <w:position w:val="0"/>
                <w:sz w:val="18"/>
                <w:szCs w:val="18"/>
                <w:lang w:eastAsia="zh-CN"/>
                <w14:textFill>
                  <w14:solidFill>
                    <w14:schemeClr w14:val="tx1"/>
                  </w14:solidFill>
                </w14:textFill>
              </w:rPr>
            </w:pPr>
            <w:r>
              <w:rPr>
                <w:rFonts w:hint="eastAsia" w:ascii="宋体" w:hAnsi="宋体" w:eastAsia="宋体"/>
                <w:color w:val="000000" w:themeColor="text1"/>
                <w:position w:val="0"/>
                <w:sz w:val="18"/>
                <w:szCs w:val="18"/>
                <w:lang w:eastAsia="zh-CN"/>
                <w14:textFill>
                  <w14:solidFill>
                    <w14:schemeClr w14:val="tx1"/>
                  </w14:solidFill>
                </w14:textFill>
              </w:rPr>
              <w:t>石灰石仓</w:t>
            </w:r>
          </w:p>
        </w:tc>
        <w:tc>
          <w:tcPr>
            <w:tcW w:w="1122" w:type="dxa"/>
            <w:noWrap w:val="0"/>
            <w:vAlign w:val="center"/>
          </w:tcPr>
          <w:p>
            <w:pPr>
              <w:pStyle w:val="152"/>
              <w:rPr>
                <w:rFonts w:ascii="宋体" w:hAnsi="宋体" w:eastAsia="宋体"/>
                <w:color w:val="000000" w:themeColor="text1"/>
                <w:position w:val="0"/>
                <w:sz w:val="18"/>
                <w:szCs w:val="18"/>
                <w:lang w:val="en-US" w:eastAsia="zh-CN"/>
                <w14:textFill>
                  <w14:solidFill>
                    <w14:schemeClr w14:val="tx1"/>
                  </w14:solidFill>
                </w14:textFill>
              </w:rPr>
            </w:pPr>
            <w:r>
              <w:rPr>
                <w:rFonts w:hint="eastAsia" w:ascii="宋体" w:hAnsi="宋体" w:eastAsia="宋体"/>
                <w:color w:val="000000" w:themeColor="text1"/>
                <w:position w:val="0"/>
                <w:sz w:val="18"/>
                <w:szCs w:val="18"/>
                <w:lang w:val="en-US" w:eastAsia="zh-CN"/>
                <w14:textFill>
                  <w14:solidFill>
                    <w14:schemeClr w14:val="tx1"/>
                  </w14:solidFill>
                </w14:textFill>
              </w:rPr>
              <w:t>粉尘</w:t>
            </w:r>
          </w:p>
        </w:tc>
        <w:tc>
          <w:tcPr>
            <w:tcW w:w="2438" w:type="dxa"/>
            <w:noWrap w:val="0"/>
            <w:vAlign w:val="center"/>
          </w:tcPr>
          <w:p>
            <w:pPr>
              <w:pStyle w:val="152"/>
              <w:snapToGrid w:val="0"/>
              <w:rPr>
                <w:rFonts w:hint="eastAsia" w:ascii="宋体" w:hAnsi="宋体" w:eastAsia="宋体"/>
                <w:color w:val="000000" w:themeColor="text1"/>
                <w:position w:val="0"/>
                <w:sz w:val="18"/>
                <w:szCs w:val="18"/>
                <w:lang w:val="en-US"/>
                <w14:textFill>
                  <w14:solidFill>
                    <w14:schemeClr w14:val="tx1"/>
                  </w14:solidFill>
                </w14:textFill>
              </w:rPr>
            </w:pPr>
            <w:r>
              <w:rPr>
                <w:rFonts w:hint="eastAsia" w:ascii="宋体" w:hAnsi="宋体" w:eastAsia="宋体"/>
                <w:color w:val="000000" w:themeColor="text1"/>
                <w:position w:val="0"/>
                <w:sz w:val="18"/>
                <w:szCs w:val="18"/>
                <w:lang w:val="en-US"/>
                <w14:textFill>
                  <w14:solidFill>
                    <w14:schemeClr w14:val="tx1"/>
                  </w14:solidFill>
                </w14:textFill>
              </w:rPr>
              <w:t>布袋除尘器</w:t>
            </w:r>
            <w:r>
              <w:rPr>
                <w:rFonts w:hint="eastAsia" w:ascii="宋体" w:hAnsi="宋体" w:eastAsia="宋体"/>
                <w:color w:val="000000" w:themeColor="text1"/>
                <w:position w:val="0"/>
                <w:sz w:val="18"/>
                <w:szCs w:val="18"/>
                <w:lang w:val="en-US" w:eastAsia="zh-CN"/>
                <w14:textFill>
                  <w14:solidFill>
                    <w14:schemeClr w14:val="tx1"/>
                  </w14:solidFill>
                </w14:textFill>
              </w:rPr>
              <w:t>（2套）</w:t>
            </w:r>
          </w:p>
        </w:tc>
        <w:tc>
          <w:tcPr>
            <w:tcW w:w="2195"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2254" w:type="dxa"/>
            <w:gridSpan w:val="3"/>
            <w:tcBorders>
              <w:bottom w:val="single" w:color="auto" w:sz="4" w:space="0"/>
            </w:tcBorders>
            <w:noWrap w:val="0"/>
            <w:vAlign w:val="center"/>
          </w:tcPr>
          <w:p>
            <w:pPr>
              <w:pStyle w:val="152"/>
              <w:rPr>
                <w:rFonts w:hint="eastAsia" w:ascii="宋体" w:hAnsi="宋体" w:eastAsia="宋体"/>
                <w:color w:val="000000" w:themeColor="text1"/>
                <w:position w:val="0"/>
                <w:sz w:val="18"/>
                <w:szCs w:val="18"/>
                <w:lang w:eastAsia="zh-CN"/>
                <w14:textFill>
                  <w14:solidFill>
                    <w14:schemeClr w14:val="tx1"/>
                  </w14:solidFill>
                </w14:textFill>
              </w:rPr>
            </w:pPr>
            <w:r>
              <w:rPr>
                <w:rFonts w:hint="eastAsia" w:ascii="宋体" w:hAnsi="宋体" w:eastAsia="宋体"/>
                <w:color w:val="000000" w:themeColor="text1"/>
                <w:position w:val="0"/>
                <w:sz w:val="18"/>
                <w:szCs w:val="18"/>
                <w:lang w:eastAsia="zh-CN"/>
                <w14:textFill>
                  <w14:solidFill>
                    <w14:schemeClr w14:val="tx1"/>
                  </w14:solidFill>
                </w14:textFill>
              </w:rPr>
              <w:t>消石灰仓</w:t>
            </w:r>
          </w:p>
        </w:tc>
        <w:tc>
          <w:tcPr>
            <w:tcW w:w="1122" w:type="dxa"/>
            <w:noWrap w:val="0"/>
            <w:vAlign w:val="center"/>
          </w:tcPr>
          <w:p>
            <w:pPr>
              <w:pStyle w:val="152"/>
              <w:rPr>
                <w:rFonts w:ascii="宋体" w:hAnsi="宋体" w:eastAsia="宋体"/>
                <w:color w:val="000000" w:themeColor="text1"/>
                <w:position w:val="0"/>
                <w:sz w:val="18"/>
                <w:szCs w:val="18"/>
                <w:lang w:val="en-US" w:eastAsia="zh-CN"/>
                <w14:textFill>
                  <w14:solidFill>
                    <w14:schemeClr w14:val="tx1"/>
                  </w14:solidFill>
                </w14:textFill>
              </w:rPr>
            </w:pPr>
            <w:r>
              <w:rPr>
                <w:rFonts w:hint="eastAsia" w:ascii="宋体" w:hAnsi="宋体" w:eastAsia="宋体"/>
                <w:color w:val="000000" w:themeColor="text1"/>
                <w:position w:val="0"/>
                <w:sz w:val="18"/>
                <w:szCs w:val="18"/>
                <w:lang w:val="en-US" w:eastAsia="zh-CN"/>
                <w14:textFill>
                  <w14:solidFill>
                    <w14:schemeClr w14:val="tx1"/>
                  </w14:solidFill>
                </w14:textFill>
              </w:rPr>
              <w:t>粉尘</w:t>
            </w:r>
          </w:p>
        </w:tc>
        <w:tc>
          <w:tcPr>
            <w:tcW w:w="2438" w:type="dxa"/>
            <w:noWrap w:val="0"/>
            <w:vAlign w:val="center"/>
          </w:tcPr>
          <w:p>
            <w:pPr>
              <w:pStyle w:val="152"/>
              <w:snapToGrid w:val="0"/>
              <w:rPr>
                <w:rFonts w:hint="eastAsia" w:ascii="宋体" w:hAnsi="宋体" w:eastAsia="宋体"/>
                <w:color w:val="000000" w:themeColor="text1"/>
                <w:position w:val="0"/>
                <w:sz w:val="18"/>
                <w:szCs w:val="18"/>
                <w:lang w:val="en-US"/>
                <w14:textFill>
                  <w14:solidFill>
                    <w14:schemeClr w14:val="tx1"/>
                  </w14:solidFill>
                </w14:textFill>
              </w:rPr>
            </w:pPr>
            <w:r>
              <w:rPr>
                <w:rFonts w:hint="eastAsia" w:ascii="宋体" w:hAnsi="宋体" w:eastAsia="宋体"/>
                <w:color w:val="000000" w:themeColor="text1"/>
                <w:position w:val="0"/>
                <w:sz w:val="18"/>
                <w:szCs w:val="18"/>
                <w:lang w:val="en-US"/>
                <w14:textFill>
                  <w14:solidFill>
                    <w14:schemeClr w14:val="tx1"/>
                  </w14:solidFill>
                </w14:textFill>
              </w:rPr>
              <w:t>布袋除尘器</w:t>
            </w:r>
            <w:r>
              <w:rPr>
                <w:rFonts w:hint="eastAsia" w:ascii="宋体" w:hAnsi="宋体" w:eastAsia="宋体"/>
                <w:color w:val="000000" w:themeColor="text1"/>
                <w:position w:val="0"/>
                <w:sz w:val="18"/>
                <w:szCs w:val="18"/>
                <w:lang w:val="en-US" w:eastAsia="zh-CN"/>
                <w14:textFill>
                  <w14:solidFill>
                    <w14:schemeClr w14:val="tx1"/>
                  </w14:solidFill>
                </w14:textFill>
              </w:rPr>
              <w:t>（1套）</w:t>
            </w:r>
          </w:p>
        </w:tc>
        <w:tc>
          <w:tcPr>
            <w:tcW w:w="2195"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continue"/>
            <w:tcBorders>
              <w:bottom w:val="single" w:color="auto" w:sz="4" w:space="0"/>
            </w:tcBorders>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2254" w:type="dxa"/>
            <w:gridSpan w:val="3"/>
            <w:tcBorders>
              <w:bottom w:val="single" w:color="auto" w:sz="4" w:space="0"/>
            </w:tcBorders>
            <w:noWrap w:val="0"/>
            <w:vAlign w:val="center"/>
          </w:tcPr>
          <w:p>
            <w:pPr>
              <w:pStyle w:val="152"/>
              <w:rPr>
                <w:rFonts w:hint="eastAsia" w:ascii="宋体" w:hAnsi="宋体" w:eastAsia="宋体"/>
                <w:color w:val="000000" w:themeColor="text1"/>
                <w:position w:val="0"/>
                <w:sz w:val="18"/>
                <w:szCs w:val="18"/>
                <w:lang w:eastAsia="zh-CN"/>
                <w14:textFill>
                  <w14:solidFill>
                    <w14:schemeClr w14:val="tx1"/>
                  </w14:solidFill>
                </w14:textFill>
              </w:rPr>
            </w:pPr>
            <w:r>
              <w:rPr>
                <w:rFonts w:hint="eastAsia" w:ascii="宋体" w:hAnsi="宋体" w:eastAsia="宋体"/>
                <w:color w:val="000000" w:themeColor="text1"/>
                <w:position w:val="0"/>
                <w:sz w:val="18"/>
                <w:szCs w:val="18"/>
                <w:lang w:eastAsia="zh-CN"/>
                <w14:textFill>
                  <w14:solidFill>
                    <w14:schemeClr w14:val="tx1"/>
                  </w14:solidFill>
                </w14:textFill>
              </w:rPr>
              <w:t>氨水储罐和装置区</w:t>
            </w:r>
          </w:p>
        </w:tc>
        <w:tc>
          <w:tcPr>
            <w:tcW w:w="1122" w:type="dxa"/>
            <w:noWrap w:val="0"/>
            <w:vAlign w:val="center"/>
          </w:tcPr>
          <w:p>
            <w:pPr>
              <w:pStyle w:val="152"/>
              <w:rPr>
                <w:rFonts w:ascii="宋体" w:hAnsi="宋体" w:eastAsia="宋体"/>
                <w:color w:val="000000" w:themeColor="text1"/>
                <w:position w:val="0"/>
                <w:sz w:val="18"/>
                <w:szCs w:val="18"/>
                <w:lang w:val="en-US" w:eastAsia="zh-CN"/>
                <w14:textFill>
                  <w14:solidFill>
                    <w14:schemeClr w14:val="tx1"/>
                  </w14:solidFill>
                </w14:textFill>
              </w:rPr>
            </w:pPr>
            <w:r>
              <w:rPr>
                <w:rFonts w:hint="eastAsia" w:ascii="宋体" w:hAnsi="宋体" w:eastAsia="宋体"/>
                <w:color w:val="000000" w:themeColor="text1"/>
                <w:position w:val="0"/>
                <w:sz w:val="18"/>
                <w:szCs w:val="18"/>
                <w:lang w:val="en-US" w:eastAsia="zh-CN"/>
                <w14:textFill>
                  <w14:solidFill>
                    <w14:schemeClr w14:val="tx1"/>
                  </w14:solidFill>
                </w14:textFill>
              </w:rPr>
              <w:t>氨</w:t>
            </w:r>
          </w:p>
        </w:tc>
        <w:tc>
          <w:tcPr>
            <w:tcW w:w="2438" w:type="dxa"/>
            <w:noWrap w:val="0"/>
            <w:vAlign w:val="center"/>
          </w:tcPr>
          <w:p>
            <w:pPr>
              <w:pStyle w:val="152"/>
              <w:snapToGrid w:val="0"/>
              <w:rPr>
                <w:rFonts w:hint="eastAsia" w:ascii="宋体" w:hAnsi="宋体" w:eastAsia="宋体"/>
                <w:color w:val="000000" w:themeColor="text1"/>
                <w:position w:val="0"/>
                <w:sz w:val="18"/>
                <w:szCs w:val="18"/>
                <w:lang w:val="en-US"/>
                <w14:textFill>
                  <w14:solidFill>
                    <w14:schemeClr w14:val="tx1"/>
                  </w14:solidFill>
                </w14:textFill>
              </w:rPr>
            </w:pPr>
            <w:r>
              <w:rPr>
                <w:rFonts w:hint="eastAsia" w:ascii="宋体" w:hAnsi="宋体" w:eastAsia="宋体"/>
                <w:color w:val="000000" w:themeColor="text1"/>
                <w:position w:val="0"/>
                <w:sz w:val="18"/>
                <w:szCs w:val="18"/>
                <w:lang w:val="en-US" w:eastAsia="zh-CN"/>
                <w14:textFill>
                  <w14:solidFill>
                    <w14:schemeClr w14:val="tx1"/>
                  </w14:solidFill>
                </w14:textFill>
              </w:rPr>
              <w:t>无组织排放</w:t>
            </w:r>
          </w:p>
        </w:tc>
        <w:tc>
          <w:tcPr>
            <w:tcW w:w="2195"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lang w:val="en-US"/>
                <w14:textFill>
                  <w14:solidFill>
                    <w14:schemeClr w14:val="tx1"/>
                  </w14:solidFill>
                </w14:textFill>
              </w:rPr>
              <w:t>《恶臭污染物排放标准》（</w:t>
            </w:r>
            <w:r>
              <w:rPr>
                <w:rFonts w:ascii="宋体" w:hAnsi="宋体" w:eastAsia="宋体"/>
                <w:color w:val="000000" w:themeColor="text1"/>
                <w:position w:val="0"/>
                <w:sz w:val="18"/>
                <w:szCs w:val="18"/>
                <w:lang w:val="en-US"/>
                <w14:textFill>
                  <w14:solidFill>
                    <w14:schemeClr w14:val="tx1"/>
                  </w14:solidFill>
                </w14:textFill>
              </w:rPr>
              <w:t>GB14554-93</w:t>
            </w:r>
            <w:r>
              <w:rPr>
                <w:rFonts w:hint="eastAsia" w:ascii="宋体" w:hAnsi="宋体" w:eastAsia="宋体"/>
                <w:color w:val="000000" w:themeColor="text1"/>
                <w:position w:val="0"/>
                <w:sz w:val="18"/>
                <w:szCs w:val="18"/>
                <w:lang w:val="en-US"/>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restart"/>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水环境</w:t>
            </w:r>
          </w:p>
        </w:tc>
        <w:tc>
          <w:tcPr>
            <w:tcW w:w="1219" w:type="dxa"/>
            <w:gridSpan w:val="2"/>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职工生活</w:t>
            </w:r>
          </w:p>
        </w:tc>
        <w:tc>
          <w:tcPr>
            <w:tcW w:w="1035"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生活污水</w:t>
            </w:r>
          </w:p>
        </w:tc>
        <w:tc>
          <w:tcPr>
            <w:tcW w:w="1122"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CODcr</w:t>
            </w:r>
            <w:r>
              <w:rPr>
                <w:rFonts w:hint="eastAsia" w:ascii="宋体" w:hAnsi="宋体" w:eastAsia="宋体"/>
                <w:color w:val="000000" w:themeColor="text1"/>
                <w:position w:val="0"/>
                <w:sz w:val="18"/>
                <w:szCs w:val="18"/>
                <w:lang w:eastAsia="zh-CN"/>
                <w14:textFill>
                  <w14:solidFill>
                    <w14:schemeClr w14:val="tx1"/>
                  </w14:solidFill>
                </w14:textFill>
              </w:rPr>
              <w:t>、</w:t>
            </w:r>
            <w:r>
              <w:rPr>
                <w:rFonts w:ascii="宋体" w:hAnsi="宋体" w:eastAsia="宋体"/>
                <w:color w:val="000000" w:themeColor="text1"/>
                <w:position w:val="0"/>
                <w:sz w:val="18"/>
                <w:szCs w:val="18"/>
                <w14:textFill>
                  <w14:solidFill>
                    <w14:schemeClr w14:val="tx1"/>
                  </w14:solidFill>
                </w14:textFill>
              </w:rPr>
              <w:t>BOD</w:t>
            </w:r>
            <w:r>
              <w:rPr>
                <w:rFonts w:ascii="宋体" w:hAnsi="宋体" w:eastAsia="宋体"/>
                <w:color w:val="000000" w:themeColor="text1"/>
                <w:position w:val="0"/>
                <w:sz w:val="18"/>
                <w:szCs w:val="18"/>
                <w:vertAlign w:val="subscript"/>
                <w14:textFill>
                  <w14:solidFill>
                    <w14:schemeClr w14:val="tx1"/>
                  </w14:solidFill>
                </w14:textFill>
              </w:rPr>
              <w:t>5</w:t>
            </w:r>
          </w:p>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SS</w:t>
            </w:r>
            <w:r>
              <w:rPr>
                <w:rFonts w:hint="eastAsia" w:ascii="宋体" w:hAnsi="宋体" w:eastAsia="宋体"/>
                <w:color w:val="000000" w:themeColor="text1"/>
                <w:position w:val="0"/>
                <w:sz w:val="18"/>
                <w:szCs w:val="18"/>
                <w:lang w:eastAsia="zh-CN"/>
                <w14:textFill>
                  <w14:solidFill>
                    <w14:schemeClr w14:val="tx1"/>
                  </w14:solidFill>
                </w14:textFill>
              </w:rPr>
              <w:t>、</w:t>
            </w:r>
            <w:r>
              <w:rPr>
                <w:rFonts w:ascii="宋体" w:hAnsi="宋体" w:eastAsia="宋体"/>
                <w:color w:val="000000" w:themeColor="text1"/>
                <w:position w:val="0"/>
                <w:sz w:val="18"/>
                <w:szCs w:val="18"/>
                <w14:textFill>
                  <w14:solidFill>
                    <w14:schemeClr w14:val="tx1"/>
                  </w14:solidFill>
                </w14:textFill>
              </w:rPr>
              <w:t>氨氮</w:t>
            </w:r>
          </w:p>
        </w:tc>
        <w:tc>
          <w:tcPr>
            <w:tcW w:w="2438" w:type="dxa"/>
            <w:noWrap w:val="0"/>
            <w:vAlign w:val="center"/>
          </w:tcPr>
          <w:p>
            <w:pPr>
              <w:pStyle w:val="152"/>
              <w:rPr>
                <w:rFonts w:hint="eastAsia"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14:textFill>
                  <w14:solidFill>
                    <w14:schemeClr w14:val="tx1"/>
                  </w14:solidFill>
                </w14:textFill>
              </w:rPr>
              <w:t>排入</w:t>
            </w:r>
            <w:r>
              <w:rPr>
                <w:rFonts w:hint="eastAsia" w:ascii="宋体" w:hAnsi="宋体" w:eastAsia="宋体"/>
                <w:color w:val="000000" w:themeColor="text1"/>
                <w:position w:val="0"/>
                <w:sz w:val="18"/>
                <w:szCs w:val="18"/>
                <w:lang w:eastAsia="zh-CN"/>
                <w14:textFill>
                  <w14:solidFill>
                    <w14:schemeClr w14:val="tx1"/>
                  </w14:solidFill>
                </w14:textFill>
              </w:rPr>
              <w:t>开发区污</w:t>
            </w:r>
            <w:r>
              <w:rPr>
                <w:rFonts w:hint="eastAsia" w:ascii="宋体" w:hAnsi="宋体" w:eastAsia="宋体"/>
                <w:color w:val="000000" w:themeColor="text1"/>
                <w:position w:val="0"/>
                <w:sz w:val="18"/>
                <w:szCs w:val="18"/>
                <w14:textFill>
                  <w14:solidFill>
                    <w14:schemeClr w14:val="tx1"/>
                  </w14:solidFill>
                </w14:textFill>
              </w:rPr>
              <w:t>水管网</w:t>
            </w:r>
          </w:p>
        </w:tc>
        <w:tc>
          <w:tcPr>
            <w:tcW w:w="2195"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1219" w:type="dxa"/>
            <w:gridSpan w:val="2"/>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14:textFill>
                  <w14:solidFill>
                    <w14:schemeClr w14:val="tx1"/>
                  </w14:solidFill>
                </w14:textFill>
              </w:rPr>
              <w:t>超滤反洗废水</w:t>
            </w:r>
          </w:p>
        </w:tc>
        <w:tc>
          <w:tcPr>
            <w:tcW w:w="1035" w:type="dxa"/>
            <w:vMerge w:val="restart"/>
            <w:noWrap w:val="0"/>
            <w:vAlign w:val="center"/>
          </w:tcPr>
          <w:p>
            <w:pPr>
              <w:pStyle w:val="152"/>
              <w:ind w:left="-122" w:leftChars="-51" w:right="-118" w:rightChars="-49"/>
              <w:rPr>
                <w:rFonts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14:textFill>
                  <w14:solidFill>
                    <w14:schemeClr w14:val="tx1"/>
                  </w14:solidFill>
                </w14:textFill>
              </w:rPr>
              <w:t>化学水处理</w:t>
            </w:r>
          </w:p>
          <w:p>
            <w:pPr>
              <w:pStyle w:val="152"/>
              <w:rPr>
                <w:rFonts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14:textFill>
                  <w14:solidFill>
                    <w14:schemeClr w14:val="tx1"/>
                  </w14:solidFill>
                </w14:textFill>
              </w:rPr>
              <w:t>车间</w:t>
            </w:r>
          </w:p>
        </w:tc>
        <w:tc>
          <w:tcPr>
            <w:tcW w:w="1122"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盐类</w:t>
            </w:r>
            <w:r>
              <w:rPr>
                <w:rFonts w:hint="eastAsia" w:ascii="宋体" w:hAnsi="宋体" w:eastAsia="宋体"/>
                <w:color w:val="000000" w:themeColor="text1"/>
                <w:position w:val="0"/>
                <w:sz w:val="18"/>
                <w:szCs w:val="18"/>
                <w:lang w:eastAsia="zh-CN"/>
                <w14:textFill>
                  <w14:solidFill>
                    <w14:schemeClr w14:val="tx1"/>
                  </w14:solidFill>
                </w14:textFill>
              </w:rPr>
              <w:t>、</w:t>
            </w:r>
            <w:r>
              <w:rPr>
                <w:rFonts w:ascii="宋体" w:hAnsi="宋体" w:eastAsia="宋体"/>
                <w:color w:val="000000" w:themeColor="text1"/>
                <w:position w:val="0"/>
                <w:sz w:val="18"/>
                <w:szCs w:val="18"/>
                <w14:textFill>
                  <w14:solidFill>
                    <w14:schemeClr w14:val="tx1"/>
                  </w14:solidFill>
                </w14:textFill>
              </w:rPr>
              <w:t>SS</w:t>
            </w:r>
          </w:p>
        </w:tc>
        <w:tc>
          <w:tcPr>
            <w:tcW w:w="2438"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14:textFill>
                  <w14:solidFill>
                    <w14:schemeClr w14:val="tx1"/>
                  </w14:solidFill>
                </w14:textFill>
              </w:rPr>
              <w:t>回用</w:t>
            </w:r>
            <w:r>
              <w:rPr>
                <w:rFonts w:ascii="宋体" w:hAnsi="宋体" w:eastAsia="宋体"/>
                <w:color w:val="000000" w:themeColor="text1"/>
                <w:position w:val="0"/>
                <w:sz w:val="18"/>
                <w:szCs w:val="18"/>
                <w14:textFill>
                  <w14:solidFill>
                    <w14:schemeClr w14:val="tx1"/>
                  </w14:solidFill>
                </w14:textFill>
              </w:rPr>
              <w:t>于</w:t>
            </w:r>
            <w:r>
              <w:rPr>
                <w:rFonts w:hint="eastAsia" w:ascii="宋体" w:hAnsi="宋体" w:eastAsia="宋体"/>
                <w:color w:val="000000" w:themeColor="text1"/>
                <w:position w:val="0"/>
                <w:sz w:val="18"/>
                <w:szCs w:val="18"/>
                <w14:textFill>
                  <w14:solidFill>
                    <w14:schemeClr w14:val="tx1"/>
                  </w14:solidFill>
                </w14:textFill>
              </w:rPr>
              <w:t>脱硫塔降温喷水和干灰调湿用水</w:t>
            </w:r>
          </w:p>
        </w:tc>
        <w:tc>
          <w:tcPr>
            <w:tcW w:w="2195"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1219" w:type="dxa"/>
            <w:gridSpan w:val="2"/>
            <w:noWrap w:val="0"/>
            <w:vAlign w:val="center"/>
          </w:tcPr>
          <w:p>
            <w:pPr>
              <w:pStyle w:val="152"/>
              <w:ind w:left="-77" w:leftChars="-32" w:right="-122" w:rightChars="-51"/>
              <w:rPr>
                <w:rFonts w:ascii="宋体" w:hAnsi="宋体" w:eastAsia="宋体"/>
                <w:color w:val="000000" w:themeColor="text1"/>
                <w:spacing w:val="-6"/>
                <w:position w:val="0"/>
                <w:sz w:val="18"/>
                <w:szCs w:val="18"/>
                <w14:textFill>
                  <w14:solidFill>
                    <w14:schemeClr w14:val="tx1"/>
                  </w14:solidFill>
                </w14:textFill>
              </w:rPr>
            </w:pPr>
            <w:r>
              <w:rPr>
                <w:rFonts w:hint="eastAsia" w:ascii="宋体" w:hAnsi="宋体" w:eastAsia="宋体"/>
                <w:color w:val="000000" w:themeColor="text1"/>
                <w:spacing w:val="-6"/>
                <w:position w:val="0"/>
                <w:sz w:val="18"/>
                <w:szCs w:val="18"/>
                <w14:textFill>
                  <w14:solidFill>
                    <w14:schemeClr w14:val="tx1"/>
                  </w14:solidFill>
                </w14:textFill>
              </w:rPr>
              <w:t>反渗透浓水和混床再生废水</w:t>
            </w:r>
          </w:p>
        </w:tc>
        <w:tc>
          <w:tcPr>
            <w:tcW w:w="1035"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1122"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盐类</w:t>
            </w:r>
            <w:r>
              <w:rPr>
                <w:rFonts w:hint="eastAsia" w:ascii="宋体" w:hAnsi="宋体" w:eastAsia="宋体"/>
                <w:color w:val="000000" w:themeColor="text1"/>
                <w:position w:val="0"/>
                <w:sz w:val="18"/>
                <w:szCs w:val="18"/>
                <w:lang w:eastAsia="zh-CN"/>
                <w14:textFill>
                  <w14:solidFill>
                    <w14:schemeClr w14:val="tx1"/>
                  </w14:solidFill>
                </w14:textFill>
              </w:rPr>
              <w:t>、</w:t>
            </w:r>
            <w:r>
              <w:rPr>
                <w:rFonts w:ascii="宋体" w:hAnsi="宋体" w:eastAsia="宋体"/>
                <w:color w:val="000000" w:themeColor="text1"/>
                <w:position w:val="0"/>
                <w:sz w:val="18"/>
                <w:szCs w:val="18"/>
                <w14:textFill>
                  <w14:solidFill>
                    <w14:schemeClr w14:val="tx1"/>
                  </w14:solidFill>
                </w14:textFill>
              </w:rPr>
              <w:t>SS</w:t>
            </w:r>
          </w:p>
        </w:tc>
        <w:tc>
          <w:tcPr>
            <w:tcW w:w="2438" w:type="dxa"/>
            <w:vMerge w:val="restart"/>
            <w:noWrap w:val="0"/>
            <w:vAlign w:val="center"/>
          </w:tcPr>
          <w:p>
            <w:pPr>
              <w:pStyle w:val="152"/>
              <w:rPr>
                <w:rFonts w:hint="eastAsia" w:ascii="宋体" w:hAnsi="宋体" w:eastAsia="宋体"/>
                <w:color w:val="000000" w:themeColor="text1"/>
                <w:position w:val="0"/>
                <w:sz w:val="18"/>
                <w:szCs w:val="18"/>
                <w:lang w:eastAsia="zh-CN"/>
                <w14:textFill>
                  <w14:solidFill>
                    <w14:schemeClr w14:val="tx1"/>
                  </w14:solidFill>
                </w14:textFill>
              </w:rPr>
            </w:pPr>
            <w:r>
              <w:rPr>
                <w:rFonts w:hint="eastAsia" w:ascii="宋体" w:hAnsi="宋体" w:eastAsia="宋体"/>
                <w:color w:val="000000" w:themeColor="text1"/>
                <w:position w:val="0"/>
                <w:sz w:val="18"/>
                <w:szCs w:val="18"/>
                <w:lang w:eastAsia="zh-CN"/>
                <w14:textFill>
                  <w14:solidFill>
                    <w14:schemeClr w14:val="tx1"/>
                  </w14:solidFill>
                </w14:textFill>
              </w:rPr>
              <w:t>部分输送到水煤浆生产基地回用，剩余</w:t>
            </w:r>
            <w:r>
              <w:rPr>
                <w:rFonts w:hint="eastAsia" w:ascii="宋体" w:hAnsi="宋体" w:eastAsia="宋体"/>
                <w:color w:val="000000" w:themeColor="text1"/>
                <w:position w:val="0"/>
                <w:sz w:val="18"/>
                <w:szCs w:val="18"/>
                <w14:textFill>
                  <w14:solidFill>
                    <w14:schemeClr w14:val="tx1"/>
                  </w14:solidFill>
                </w14:textFill>
              </w:rPr>
              <w:t>排入</w:t>
            </w:r>
            <w:r>
              <w:rPr>
                <w:rFonts w:hint="eastAsia" w:ascii="宋体" w:hAnsi="宋体" w:eastAsia="宋体"/>
                <w:color w:val="000000" w:themeColor="text1"/>
                <w:position w:val="0"/>
                <w:sz w:val="18"/>
                <w:szCs w:val="18"/>
                <w:lang w:eastAsia="zh-CN"/>
                <w14:textFill>
                  <w14:solidFill>
                    <w14:schemeClr w14:val="tx1"/>
                  </w14:solidFill>
                </w14:textFill>
              </w:rPr>
              <w:t>开发区污</w:t>
            </w:r>
            <w:r>
              <w:rPr>
                <w:rFonts w:hint="eastAsia" w:ascii="宋体" w:hAnsi="宋体" w:eastAsia="宋体"/>
                <w:color w:val="000000" w:themeColor="text1"/>
                <w:position w:val="0"/>
                <w:sz w:val="18"/>
                <w:szCs w:val="18"/>
                <w14:textFill>
                  <w14:solidFill>
                    <w14:schemeClr w14:val="tx1"/>
                  </w14:solidFill>
                </w14:textFill>
              </w:rPr>
              <w:t>水管网</w:t>
            </w:r>
            <w:r>
              <w:rPr>
                <w:rFonts w:hint="eastAsia" w:ascii="宋体" w:hAnsi="宋体" w:eastAsia="宋体"/>
                <w:color w:val="000000" w:themeColor="text1"/>
                <w:position w:val="0"/>
                <w:sz w:val="18"/>
                <w:szCs w:val="18"/>
                <w:lang w:eastAsia="zh-CN"/>
                <w14:textFill>
                  <w14:solidFill>
                    <w14:schemeClr w14:val="tx1"/>
                  </w14:solidFill>
                </w14:textFill>
              </w:rPr>
              <w:t>中</w:t>
            </w:r>
          </w:p>
        </w:tc>
        <w:tc>
          <w:tcPr>
            <w:tcW w:w="2195" w:type="dxa"/>
            <w:vMerge w:val="restart"/>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1219" w:type="dxa"/>
            <w:gridSpan w:val="2"/>
            <w:noWrap w:val="0"/>
            <w:vAlign w:val="center"/>
          </w:tcPr>
          <w:p>
            <w:pPr>
              <w:pStyle w:val="152"/>
              <w:rPr>
                <w:rFonts w:ascii="宋体" w:hAnsi="宋体" w:eastAsia="宋体"/>
                <w:color w:val="000000" w:themeColor="text1"/>
                <w:position w:val="0"/>
                <w:sz w:val="18"/>
                <w:szCs w:val="18"/>
                <w:lang w:val="en-US"/>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锅炉排污水</w:t>
            </w:r>
          </w:p>
        </w:tc>
        <w:tc>
          <w:tcPr>
            <w:tcW w:w="1035"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锅炉</w:t>
            </w:r>
          </w:p>
        </w:tc>
        <w:tc>
          <w:tcPr>
            <w:tcW w:w="1122"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盐类</w:t>
            </w:r>
            <w:r>
              <w:rPr>
                <w:rFonts w:hint="eastAsia" w:ascii="宋体" w:hAnsi="宋体" w:eastAsia="宋体"/>
                <w:color w:val="000000" w:themeColor="text1"/>
                <w:position w:val="0"/>
                <w:sz w:val="18"/>
                <w:szCs w:val="18"/>
                <w:lang w:eastAsia="zh-CN"/>
                <w14:textFill>
                  <w14:solidFill>
                    <w14:schemeClr w14:val="tx1"/>
                  </w14:solidFill>
                </w14:textFill>
              </w:rPr>
              <w:t>、</w:t>
            </w:r>
            <w:r>
              <w:rPr>
                <w:rFonts w:ascii="宋体" w:hAnsi="宋体" w:eastAsia="宋体"/>
                <w:color w:val="000000" w:themeColor="text1"/>
                <w:position w:val="0"/>
                <w:sz w:val="18"/>
                <w:szCs w:val="18"/>
                <w14:textFill>
                  <w14:solidFill>
                    <w14:schemeClr w14:val="tx1"/>
                  </w14:solidFill>
                </w14:textFill>
              </w:rPr>
              <w:t>SS</w:t>
            </w:r>
          </w:p>
        </w:tc>
        <w:tc>
          <w:tcPr>
            <w:tcW w:w="2438"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2195"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8009" w:type="dxa"/>
            <w:gridSpan w:val="6"/>
            <w:noWrap w:val="0"/>
            <w:vAlign w:val="center"/>
          </w:tcPr>
          <w:p>
            <w:pPr>
              <w:pStyle w:val="152"/>
              <w:jc w:val="both"/>
              <w:rPr>
                <w:rFonts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lang w:val="en-US"/>
                <w14:textFill>
                  <w14:solidFill>
                    <w14:schemeClr w14:val="tx1"/>
                  </w14:solidFill>
                </w14:textFill>
              </w:rPr>
              <w:t>地下水保护措施：污水管道等设施必须采取防渗漏措施。</w:t>
            </w:r>
            <w:r>
              <w:rPr>
                <w:rFonts w:hint="eastAsia" w:ascii="宋体" w:hAnsi="宋体" w:eastAsia="宋体"/>
                <w:color w:val="000000" w:themeColor="text1"/>
                <w:position w:val="0"/>
                <w:sz w:val="18"/>
                <w:szCs w:val="18"/>
                <w:lang w:val="en-US" w:eastAsia="zh-CN"/>
                <w14:textFill>
                  <w14:solidFill>
                    <w14:schemeClr w14:val="tx1"/>
                  </w14:solidFill>
                </w14:textFill>
              </w:rPr>
              <w:t>建设全封闭式灰仓</w:t>
            </w:r>
            <w:r>
              <w:rPr>
                <w:rFonts w:ascii="宋体" w:hAnsi="宋体" w:eastAsia="宋体"/>
                <w:color w:val="000000" w:themeColor="text1"/>
                <w:position w:val="0"/>
                <w:sz w:val="18"/>
                <w:szCs w:val="18"/>
                <w:lang w:val="en-US"/>
                <w14:textFill>
                  <w14:solidFill>
                    <w14:schemeClr w14:val="tx1"/>
                  </w14:solidFill>
                </w14:textFill>
              </w:rPr>
              <w:t>，并</w:t>
            </w:r>
            <w:r>
              <w:rPr>
                <w:rFonts w:hint="eastAsia" w:ascii="宋体" w:hAnsi="宋体" w:eastAsia="宋体"/>
                <w:color w:val="000000" w:themeColor="text1"/>
                <w:position w:val="0"/>
                <w:sz w:val="18"/>
                <w:szCs w:val="18"/>
                <w:lang w:val="en-US" w:eastAsia="zh-CN"/>
                <w14:textFill>
                  <w14:solidFill>
                    <w14:schemeClr w14:val="tx1"/>
                  </w14:solidFill>
                </w14:textFill>
              </w:rPr>
              <w:t>对其底部</w:t>
            </w:r>
            <w:r>
              <w:rPr>
                <w:rFonts w:ascii="宋体" w:hAnsi="宋体" w:eastAsia="宋体"/>
                <w:color w:val="000000" w:themeColor="text1"/>
                <w:position w:val="0"/>
                <w:sz w:val="18"/>
                <w:szCs w:val="18"/>
                <w:lang w:val="en-US"/>
                <w14:textFill>
                  <w14:solidFill>
                    <w14:schemeClr w14:val="tx1"/>
                  </w14:solidFill>
                </w14:textFill>
              </w:rPr>
              <w:t>进行防渗处理</w:t>
            </w:r>
            <w:r>
              <w:rPr>
                <w:rFonts w:hint="eastAsia" w:ascii="宋体" w:hAnsi="宋体" w:eastAsia="宋体"/>
                <w:color w:val="000000" w:themeColor="text1"/>
                <w:position w:val="0"/>
                <w:sz w:val="18"/>
                <w:szCs w:val="18"/>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restart"/>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声环境</w:t>
            </w:r>
          </w:p>
        </w:tc>
        <w:tc>
          <w:tcPr>
            <w:tcW w:w="924"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水泵</w:t>
            </w:r>
          </w:p>
        </w:tc>
        <w:tc>
          <w:tcPr>
            <w:tcW w:w="1330" w:type="dxa"/>
            <w:gridSpan w:val="2"/>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水泵</w:t>
            </w:r>
          </w:p>
        </w:tc>
        <w:tc>
          <w:tcPr>
            <w:tcW w:w="1122"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振动噪声</w:t>
            </w:r>
          </w:p>
        </w:tc>
        <w:tc>
          <w:tcPr>
            <w:tcW w:w="2438"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减振基础</w:t>
            </w:r>
          </w:p>
        </w:tc>
        <w:tc>
          <w:tcPr>
            <w:tcW w:w="2195"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减振、减噪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924"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风机</w:t>
            </w:r>
            <w:r>
              <w:rPr>
                <w:rFonts w:hint="eastAsia" w:ascii="宋体" w:hAnsi="宋体" w:eastAsia="宋体"/>
                <w:color w:val="000000" w:themeColor="text1"/>
                <w:position w:val="0"/>
                <w:sz w:val="18"/>
                <w:szCs w:val="18"/>
                <w:lang w:eastAsia="zh-CN"/>
                <w14:textFill>
                  <w14:solidFill>
                    <w14:schemeClr w14:val="tx1"/>
                  </w14:solidFill>
                </w14:textFill>
              </w:rPr>
              <w:t>房</w:t>
            </w:r>
          </w:p>
        </w:tc>
        <w:tc>
          <w:tcPr>
            <w:tcW w:w="1330" w:type="dxa"/>
            <w:gridSpan w:val="2"/>
            <w:noWrap w:val="0"/>
            <w:vAlign w:val="center"/>
          </w:tcPr>
          <w:p>
            <w:pPr>
              <w:pStyle w:val="152"/>
              <w:ind w:left="-122" w:leftChars="-51" w:right="-118" w:rightChars="-49"/>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鼓风机、引风机</w:t>
            </w:r>
          </w:p>
        </w:tc>
        <w:tc>
          <w:tcPr>
            <w:tcW w:w="1122"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气动噪声</w:t>
            </w:r>
          </w:p>
        </w:tc>
        <w:tc>
          <w:tcPr>
            <w:tcW w:w="2438"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进气消音器、减振基础</w:t>
            </w:r>
          </w:p>
        </w:tc>
        <w:tc>
          <w:tcPr>
            <w:tcW w:w="2195"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减噪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continue"/>
            <w:tcBorders>
              <w:bottom w:val="single" w:color="auto" w:sz="4" w:space="0"/>
            </w:tcBorders>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924" w:type="dxa"/>
            <w:tcBorders>
              <w:bottom w:val="single" w:color="auto" w:sz="4" w:space="0"/>
            </w:tcBorders>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连管</w:t>
            </w:r>
          </w:p>
        </w:tc>
        <w:tc>
          <w:tcPr>
            <w:tcW w:w="1330" w:type="dxa"/>
            <w:gridSpan w:val="2"/>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连接管</w:t>
            </w:r>
          </w:p>
        </w:tc>
        <w:tc>
          <w:tcPr>
            <w:tcW w:w="1122"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共振噪声</w:t>
            </w:r>
          </w:p>
        </w:tc>
        <w:tc>
          <w:tcPr>
            <w:tcW w:w="2438"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软连接管避震喉</w:t>
            </w:r>
          </w:p>
        </w:tc>
        <w:tc>
          <w:tcPr>
            <w:tcW w:w="2195"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减噪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restart"/>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固废</w:t>
            </w:r>
          </w:p>
        </w:tc>
        <w:tc>
          <w:tcPr>
            <w:tcW w:w="924" w:type="dxa"/>
            <w:noWrap w:val="0"/>
            <w:vAlign w:val="center"/>
          </w:tcPr>
          <w:p>
            <w:pPr>
              <w:pStyle w:val="152"/>
              <w:rPr>
                <w:rFonts w:hint="eastAsia" w:ascii="宋体" w:hAnsi="宋体" w:eastAsia="宋体"/>
                <w:color w:val="000000" w:themeColor="text1"/>
                <w:position w:val="0"/>
                <w:sz w:val="18"/>
                <w:szCs w:val="18"/>
                <w:lang w:eastAsia="zh-CN"/>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炉灰</w:t>
            </w:r>
          </w:p>
        </w:tc>
        <w:tc>
          <w:tcPr>
            <w:tcW w:w="1330" w:type="dxa"/>
            <w:gridSpan w:val="2"/>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锅炉</w:t>
            </w:r>
          </w:p>
        </w:tc>
        <w:tc>
          <w:tcPr>
            <w:tcW w:w="1122"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炉</w:t>
            </w:r>
            <w:r>
              <w:rPr>
                <w:rFonts w:hint="eastAsia" w:ascii="宋体" w:hAnsi="宋体" w:eastAsia="宋体"/>
                <w:color w:val="000000" w:themeColor="text1"/>
                <w:position w:val="0"/>
                <w:sz w:val="18"/>
                <w:szCs w:val="18"/>
                <w:lang w:eastAsia="zh-CN"/>
                <w14:textFill>
                  <w14:solidFill>
                    <w14:schemeClr w14:val="tx1"/>
                  </w14:solidFill>
                </w14:textFill>
              </w:rPr>
              <w:t>灰</w:t>
            </w:r>
          </w:p>
        </w:tc>
        <w:tc>
          <w:tcPr>
            <w:tcW w:w="2438" w:type="dxa"/>
            <w:vMerge w:val="restart"/>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lang w:eastAsia="zh-CN"/>
                <w14:textFill>
                  <w14:solidFill>
                    <w14:schemeClr w14:val="tx1"/>
                  </w14:solidFill>
                </w14:textFill>
              </w:rPr>
              <w:t>贮灰仓暂存，</w:t>
            </w:r>
            <w:r>
              <w:rPr>
                <w:rFonts w:ascii="宋体" w:hAnsi="宋体" w:eastAsia="宋体"/>
                <w:color w:val="000000" w:themeColor="text1"/>
                <w:position w:val="0"/>
                <w:sz w:val="18"/>
                <w:szCs w:val="18"/>
                <w14:textFill>
                  <w14:solidFill>
                    <w14:schemeClr w14:val="tx1"/>
                  </w14:solidFill>
                </w14:textFill>
              </w:rPr>
              <w:t>外销用于建筑材料</w:t>
            </w:r>
          </w:p>
        </w:tc>
        <w:tc>
          <w:tcPr>
            <w:tcW w:w="2195" w:type="dxa"/>
            <w:vMerge w:val="restart"/>
            <w:noWrap w:val="0"/>
            <w:vAlign w:val="center"/>
          </w:tcPr>
          <w:p>
            <w:pPr>
              <w:pStyle w:val="152"/>
              <w:rPr>
                <w:rFonts w:hint="eastAsia" w:ascii="宋体" w:hAnsi="宋体" w:eastAsia="宋体"/>
                <w:color w:val="000000" w:themeColor="text1"/>
                <w:position w:val="0"/>
                <w:sz w:val="18"/>
                <w:szCs w:val="18"/>
                <w:lang w:eastAsia="zh-CN"/>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100</w:t>
            </w:r>
            <w:r>
              <w:rPr>
                <w:rFonts w:hint="eastAsia" w:ascii="宋体" w:hAnsi="宋体" w:eastAsia="宋体"/>
                <w:color w:val="000000" w:themeColor="text1"/>
                <w:position w:val="0"/>
                <w:sz w:val="18"/>
                <w:szCs w:val="18"/>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924"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lang w:eastAsia="zh-CN"/>
                <w14:textFill>
                  <w14:solidFill>
                    <w14:schemeClr w14:val="tx1"/>
                  </w14:solidFill>
                </w14:textFill>
              </w:rPr>
              <w:t>除尘灰</w:t>
            </w:r>
          </w:p>
        </w:tc>
        <w:tc>
          <w:tcPr>
            <w:tcW w:w="1330" w:type="dxa"/>
            <w:gridSpan w:val="2"/>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lang w:eastAsia="zh-CN"/>
                <w14:textFill>
                  <w14:solidFill>
                    <w14:schemeClr w14:val="tx1"/>
                  </w14:solidFill>
                </w14:textFill>
              </w:rPr>
              <w:t>布袋除尘器</w:t>
            </w:r>
          </w:p>
        </w:tc>
        <w:tc>
          <w:tcPr>
            <w:tcW w:w="1122"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lang w:eastAsia="zh-CN"/>
                <w14:textFill>
                  <w14:solidFill>
                    <w14:schemeClr w14:val="tx1"/>
                  </w14:solidFill>
                </w14:textFill>
              </w:rPr>
              <w:t>除尘灰</w:t>
            </w:r>
          </w:p>
        </w:tc>
        <w:tc>
          <w:tcPr>
            <w:tcW w:w="2438"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2195"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924" w:type="dxa"/>
            <w:noWrap w:val="0"/>
            <w:vAlign w:val="center"/>
          </w:tcPr>
          <w:p>
            <w:pPr>
              <w:pStyle w:val="152"/>
              <w:rPr>
                <w:rFonts w:hint="eastAsia"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lang w:eastAsia="zh-CN"/>
                <w14:textFill>
                  <w14:solidFill>
                    <w14:schemeClr w14:val="tx1"/>
                  </w14:solidFill>
                </w14:textFill>
              </w:rPr>
              <w:t>脱硫灰</w:t>
            </w:r>
          </w:p>
        </w:tc>
        <w:tc>
          <w:tcPr>
            <w:tcW w:w="1330" w:type="dxa"/>
            <w:gridSpan w:val="2"/>
            <w:noWrap w:val="0"/>
            <w:vAlign w:val="center"/>
          </w:tcPr>
          <w:p>
            <w:pPr>
              <w:pStyle w:val="152"/>
              <w:rPr>
                <w:rFonts w:hint="eastAsia"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lang w:eastAsia="zh-CN"/>
                <w14:textFill>
                  <w14:solidFill>
                    <w14:schemeClr w14:val="tx1"/>
                  </w14:solidFill>
                </w14:textFill>
              </w:rPr>
              <w:t>脱硫塔</w:t>
            </w:r>
          </w:p>
        </w:tc>
        <w:tc>
          <w:tcPr>
            <w:tcW w:w="1122" w:type="dxa"/>
            <w:noWrap w:val="0"/>
            <w:vAlign w:val="center"/>
          </w:tcPr>
          <w:p>
            <w:pPr>
              <w:pStyle w:val="152"/>
              <w:rPr>
                <w:rFonts w:hint="eastAsia"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脱硫灰</w:t>
            </w:r>
          </w:p>
        </w:tc>
        <w:tc>
          <w:tcPr>
            <w:tcW w:w="2438" w:type="dxa"/>
            <w:vMerge w:val="continue"/>
            <w:noWrap w:val="0"/>
            <w:vAlign w:val="center"/>
          </w:tcPr>
          <w:p>
            <w:pPr>
              <w:pStyle w:val="152"/>
              <w:rPr>
                <w:rFonts w:hint="eastAsia" w:ascii="宋体" w:hAnsi="宋体" w:eastAsia="宋体"/>
                <w:color w:val="000000" w:themeColor="text1"/>
                <w:position w:val="0"/>
                <w:sz w:val="18"/>
                <w:szCs w:val="18"/>
                <w14:textFill>
                  <w14:solidFill>
                    <w14:schemeClr w14:val="tx1"/>
                  </w14:solidFill>
                </w14:textFill>
              </w:rPr>
            </w:pPr>
          </w:p>
        </w:tc>
        <w:tc>
          <w:tcPr>
            <w:tcW w:w="2195" w:type="dxa"/>
            <w:vMerge w:val="continue"/>
            <w:noWrap w:val="0"/>
            <w:vAlign w:val="center"/>
          </w:tcPr>
          <w:p>
            <w:pPr>
              <w:pStyle w:val="152"/>
              <w:rPr>
                <w:rFonts w:hint="eastAsia" w:ascii="宋体" w:hAnsi="宋体" w:eastAsia="宋体"/>
                <w:color w:val="000000" w:themeColor="text1"/>
                <w:position w:val="0"/>
                <w:sz w:val="18"/>
                <w:szCs w:val="18"/>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924" w:type="dxa"/>
            <w:noWrap w:val="0"/>
            <w:vAlign w:val="center"/>
          </w:tcPr>
          <w:p>
            <w:pPr>
              <w:pStyle w:val="152"/>
              <w:snapToGrid w:val="0"/>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职工生活</w:t>
            </w:r>
          </w:p>
        </w:tc>
        <w:tc>
          <w:tcPr>
            <w:tcW w:w="1330" w:type="dxa"/>
            <w:gridSpan w:val="2"/>
            <w:noWrap w:val="0"/>
            <w:vAlign w:val="center"/>
          </w:tcPr>
          <w:p>
            <w:pPr>
              <w:pStyle w:val="152"/>
              <w:snapToGrid w:val="0"/>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全厂</w:t>
            </w:r>
          </w:p>
        </w:tc>
        <w:tc>
          <w:tcPr>
            <w:tcW w:w="1122" w:type="dxa"/>
            <w:noWrap w:val="0"/>
            <w:vAlign w:val="center"/>
          </w:tcPr>
          <w:p>
            <w:pPr>
              <w:pStyle w:val="152"/>
              <w:snapToGrid w:val="0"/>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生活垃圾</w:t>
            </w:r>
          </w:p>
        </w:tc>
        <w:tc>
          <w:tcPr>
            <w:tcW w:w="2438" w:type="dxa"/>
            <w:noWrap w:val="0"/>
            <w:vAlign w:val="center"/>
          </w:tcPr>
          <w:p>
            <w:pPr>
              <w:pStyle w:val="152"/>
              <w:snapToGrid w:val="0"/>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收集于垃圾箱，再由环卫部门统一处理</w:t>
            </w:r>
          </w:p>
        </w:tc>
        <w:tc>
          <w:tcPr>
            <w:tcW w:w="2195" w:type="dxa"/>
            <w:noWrap w:val="0"/>
            <w:vAlign w:val="center"/>
          </w:tcPr>
          <w:p>
            <w:pPr>
              <w:pStyle w:val="152"/>
              <w:rPr>
                <w:rFonts w:hint="eastAsia" w:ascii="宋体" w:hAnsi="宋体" w:eastAsia="宋体"/>
                <w:color w:val="000000" w:themeColor="text1"/>
                <w:position w:val="0"/>
                <w:sz w:val="18"/>
                <w:szCs w:val="18"/>
                <w:lang w:eastAsia="zh-CN"/>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100</w:t>
            </w:r>
            <w:r>
              <w:rPr>
                <w:rFonts w:hint="eastAsia" w:ascii="宋体" w:hAnsi="宋体" w:eastAsia="宋体"/>
                <w:color w:val="000000" w:themeColor="text1"/>
                <w:position w:val="0"/>
                <w:sz w:val="18"/>
                <w:szCs w:val="18"/>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vMerge w:val="continue"/>
            <w:noWrap w:val="0"/>
            <w:vAlign w:val="center"/>
          </w:tcPr>
          <w:p>
            <w:pPr>
              <w:pStyle w:val="152"/>
              <w:rPr>
                <w:rFonts w:ascii="宋体" w:hAnsi="宋体" w:eastAsia="宋体"/>
                <w:color w:val="000000" w:themeColor="text1"/>
                <w:position w:val="0"/>
                <w:sz w:val="18"/>
                <w:szCs w:val="18"/>
                <w14:textFill>
                  <w14:solidFill>
                    <w14:schemeClr w14:val="tx1"/>
                  </w14:solidFill>
                </w14:textFill>
              </w:rPr>
            </w:pPr>
          </w:p>
        </w:tc>
        <w:tc>
          <w:tcPr>
            <w:tcW w:w="8009" w:type="dxa"/>
            <w:gridSpan w:val="6"/>
            <w:noWrap w:val="0"/>
            <w:vAlign w:val="center"/>
          </w:tcPr>
          <w:p>
            <w:pPr>
              <w:pStyle w:val="152"/>
              <w:jc w:val="both"/>
              <w:rPr>
                <w:rFonts w:ascii="宋体" w:hAnsi="宋体" w:eastAsia="宋体"/>
                <w:color w:val="000000" w:themeColor="text1"/>
                <w:position w:val="0"/>
                <w:sz w:val="18"/>
                <w:szCs w:val="18"/>
                <w14:textFill>
                  <w14:solidFill>
                    <w14:schemeClr w14:val="tx1"/>
                  </w14:solidFill>
                </w14:textFill>
              </w:rPr>
            </w:pPr>
            <w:r>
              <w:rPr>
                <w:rFonts w:hint="eastAsia" w:ascii="宋体" w:hAnsi="宋体" w:eastAsia="宋体"/>
                <w:color w:val="000000" w:themeColor="text1"/>
                <w:position w:val="0"/>
                <w:sz w:val="18"/>
                <w:szCs w:val="18"/>
                <w:lang w:val="en-US"/>
                <w14:textFill>
                  <w14:solidFill>
                    <w14:schemeClr w14:val="tx1"/>
                  </w14:solidFill>
                </w14:textFill>
              </w:rPr>
              <w:t>厂内固废</w:t>
            </w:r>
            <w:r>
              <w:rPr>
                <w:rFonts w:hint="eastAsia" w:ascii="宋体" w:hAnsi="宋体" w:eastAsia="宋体"/>
                <w:color w:val="000000" w:themeColor="text1"/>
                <w:position w:val="0"/>
                <w:sz w:val="18"/>
                <w:szCs w:val="18"/>
                <w:lang w:val="en-US" w:eastAsia="zh-CN"/>
                <w14:textFill>
                  <w14:solidFill>
                    <w14:schemeClr w14:val="tx1"/>
                  </w14:solidFill>
                </w14:textFill>
              </w:rPr>
              <w:t>临时</w:t>
            </w:r>
            <w:r>
              <w:rPr>
                <w:rFonts w:hint="eastAsia" w:ascii="宋体" w:hAnsi="宋体" w:eastAsia="宋体"/>
                <w:color w:val="000000" w:themeColor="text1"/>
                <w:position w:val="0"/>
                <w:sz w:val="18"/>
                <w:szCs w:val="18"/>
                <w:lang w:val="en-US"/>
                <w14:textFill>
                  <w14:solidFill>
                    <w14:schemeClr w14:val="tx1"/>
                  </w14:solidFill>
                </w14:textFill>
              </w:rPr>
              <w:t>贮存</w:t>
            </w:r>
            <w:r>
              <w:rPr>
                <w:rFonts w:hint="eastAsia" w:ascii="宋体" w:hAnsi="宋体" w:eastAsia="宋体"/>
                <w:color w:val="000000" w:themeColor="text1"/>
                <w:position w:val="0"/>
                <w:sz w:val="18"/>
                <w:szCs w:val="18"/>
                <w:lang w:val="en-US" w:eastAsia="zh-CN"/>
                <w14:textFill>
                  <w14:solidFill>
                    <w14:schemeClr w14:val="tx1"/>
                  </w14:solidFill>
                </w14:textFill>
              </w:rPr>
              <w:t>应满足</w:t>
            </w:r>
            <w:r>
              <w:rPr>
                <w:rFonts w:ascii="宋体" w:hAnsi="宋体" w:eastAsia="宋体"/>
                <w:color w:val="000000" w:themeColor="text1"/>
                <w:position w:val="0"/>
                <w:sz w:val="18"/>
                <w:szCs w:val="18"/>
                <w:lang w:val="en-US" w:eastAsia="zh-CN"/>
                <w14:textFill>
                  <w14:solidFill>
                    <w14:schemeClr w14:val="tx1"/>
                  </w14:solidFill>
                </w14:textFill>
              </w:rPr>
              <w:t>《一般工业固体废物贮存、处置场污染控制标准》（GB18599-2001）（2013年修改版）有关规定。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13" w:type="dxa"/>
            <w:noWrap w:val="0"/>
            <w:vAlign w:val="center"/>
          </w:tcPr>
          <w:p>
            <w:pPr>
              <w:pStyle w:val="152"/>
              <w:snapToGrid w:val="0"/>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绿化</w:t>
            </w:r>
          </w:p>
        </w:tc>
        <w:tc>
          <w:tcPr>
            <w:tcW w:w="2254" w:type="dxa"/>
            <w:gridSpan w:val="3"/>
            <w:noWrap w:val="0"/>
            <w:vAlign w:val="center"/>
          </w:tcPr>
          <w:p>
            <w:pPr>
              <w:pStyle w:val="152"/>
              <w:snapToGrid w:val="0"/>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热源厂</w:t>
            </w:r>
          </w:p>
        </w:tc>
        <w:tc>
          <w:tcPr>
            <w:tcW w:w="3560" w:type="dxa"/>
            <w:gridSpan w:val="2"/>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种植乔木、灌木及草坪</w:t>
            </w:r>
          </w:p>
        </w:tc>
        <w:tc>
          <w:tcPr>
            <w:tcW w:w="2195" w:type="dxa"/>
            <w:noWrap w:val="0"/>
            <w:vAlign w:val="center"/>
          </w:tcPr>
          <w:p>
            <w:pPr>
              <w:pStyle w:val="152"/>
              <w:rPr>
                <w:rFonts w:ascii="宋体" w:hAnsi="宋体" w:eastAsia="宋体"/>
                <w:color w:val="000000" w:themeColor="text1"/>
                <w:position w:val="0"/>
                <w:sz w:val="18"/>
                <w:szCs w:val="18"/>
                <w14:textFill>
                  <w14:solidFill>
                    <w14:schemeClr w14:val="tx1"/>
                  </w14:solidFill>
                </w14:textFill>
              </w:rPr>
            </w:pPr>
            <w:r>
              <w:rPr>
                <w:rFonts w:ascii="宋体" w:hAnsi="宋体" w:eastAsia="宋体"/>
                <w:color w:val="000000" w:themeColor="text1"/>
                <w:position w:val="0"/>
                <w:sz w:val="18"/>
                <w:szCs w:val="18"/>
                <w14:textFill>
                  <w14:solidFill>
                    <w14:schemeClr w14:val="tx1"/>
                  </w14:solidFill>
                </w14:textFill>
              </w:rPr>
              <w:t>绿化率15％</w:t>
            </w:r>
          </w:p>
        </w:tc>
      </w:tr>
    </w:tbl>
    <w:p>
      <w:pPr>
        <w:pStyle w:val="146"/>
        <w:keepNext w:val="0"/>
        <w:keepLines w:val="0"/>
        <w:pageBreakBefore w:val="0"/>
        <w:widowControl w:val="0"/>
        <w:numPr>
          <w:ilvl w:val="2"/>
          <w:numId w:val="0"/>
        </w:numPr>
        <w:kinsoku/>
        <w:wordWrap/>
        <w:overflowPunct/>
        <w:topLinePunct w:val="0"/>
        <w:autoSpaceDE/>
        <w:autoSpaceDN/>
        <w:bidi w:val="0"/>
        <w:adjustRightInd w:val="0"/>
        <w:snapToGrid w:val="0"/>
        <w:spacing w:before="313" w:beforeLines="100"/>
        <w:ind w:left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9.2.6和排污许可制度衔接</w:t>
      </w:r>
      <w:bookmarkEnd w:id="512"/>
      <w:bookmarkEnd w:id="513"/>
    </w:p>
    <w:p>
      <w:pPr>
        <w:pStyle w:val="147"/>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排污许可制是企事业单位生产运营期排污的法律依据，是确保环境影响评价提出的污染防治设施和措施落实落地的重要保障。</w:t>
      </w:r>
    </w:p>
    <w:p>
      <w:pPr>
        <w:pStyle w:val="147"/>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建设单位在报批本项目环境影响报告书时，应当登陆建设项目环评审批信息申报系统，在线填报相关信息并对信息的真实性、准确性和完整性负责。</w:t>
      </w:r>
    </w:p>
    <w:p>
      <w:pPr>
        <w:pStyle w:val="147"/>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本项目发生实际排污行为之前，建设单位应当按照国家环境保护相关法律法规以及排污许可证申请与核发技术规范要求申请排污许可证，不得无证排污或不按证排污。</w:t>
      </w:r>
    </w:p>
    <w:p>
      <w:pPr>
        <w:pStyle w:val="129"/>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pPr>
    </w:p>
    <w:p>
      <w:pPr>
        <w:pStyle w:val="147"/>
        <w:keepNext w:val="0"/>
        <w:keepLines w:val="0"/>
        <w:pageBreakBefore w:val="0"/>
        <w:widowControl w:val="0"/>
        <w:shd w:val="clear" w:color="auto" w:fill="auto"/>
        <w:kinsoku/>
        <w:wordWrap/>
        <w:overflowPunct/>
        <w:topLinePunct w:val="0"/>
        <w:autoSpaceDE/>
        <w:autoSpaceDN/>
        <w:bidi w:val="0"/>
        <w:adjustRightInd/>
        <w:snapToGrid/>
        <w:ind w:firstLine="48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pPr>
        <w:shd w:val="clear" w:color="auto" w:fill="auto"/>
        <w:spacing w:line="360" w:lineRule="auto"/>
        <w:outlineLvl w:val="0"/>
        <w:rPr>
          <w:rStyle w:val="75"/>
          <w:rFonts w:hint="eastAsia" w:ascii="Times New Roman" w:hAnsi="Times New Roman" w:cs="Times New Roman"/>
          <w:color w:val="000000" w:themeColor="text1"/>
          <w:sz w:val="44"/>
          <w:szCs w:val="44"/>
          <w:lang w:val="en-US" w:eastAsia="zh-CN"/>
          <w14:textFill>
            <w14:solidFill>
              <w14:schemeClr w14:val="tx1"/>
            </w14:solidFill>
          </w14:textFill>
        </w:rPr>
      </w:pPr>
      <w:bookmarkStart w:id="514" w:name="bookmark67"/>
      <w:bookmarkStart w:id="515" w:name="_Toc20595"/>
      <w:r>
        <w:rPr>
          <w:rStyle w:val="75"/>
          <w:rFonts w:hint="eastAsia" w:ascii="Times New Roman" w:hAnsi="Times New Roman" w:cs="Times New Roman"/>
          <w:color w:val="000000" w:themeColor="text1"/>
          <w:sz w:val="44"/>
          <w:szCs w:val="44"/>
          <w:lang w:val="en-US" w:eastAsia="zh-CN"/>
          <w14:textFill>
            <w14:solidFill>
              <w14:schemeClr w14:val="tx1"/>
            </w14:solidFill>
          </w14:textFill>
        </w:rPr>
        <w:t>9</w:t>
      </w:r>
      <w:r>
        <w:rPr>
          <w:rStyle w:val="75"/>
          <w:rFonts w:hint="eastAsia" w:ascii="Times New Roman" w:hAnsi="Times New Roman" w:cs="Times New Roman"/>
          <w:color w:val="000000" w:themeColor="text1"/>
          <w:sz w:val="44"/>
          <w:szCs w:val="44"/>
          <w:lang w:val="zh-CN" w:eastAsia="zh-CN"/>
          <w14:textFill>
            <w14:solidFill>
              <w14:schemeClr w14:val="tx1"/>
            </w14:solidFill>
          </w14:textFill>
        </w:rPr>
        <w:t>环境影响评价结论</w:t>
      </w:r>
      <w:bookmarkEnd w:id="514"/>
      <w:bookmarkEnd w:id="515"/>
    </w:p>
    <w:p>
      <w:pPr>
        <w:pStyle w:val="39"/>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pPr>
      <w:bookmarkStart w:id="516" w:name="_Toc26079"/>
      <w:bookmarkStart w:id="517" w:name="bookmark68"/>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9.1评价结论</w:t>
      </w:r>
      <w:bookmarkEnd w:id="516"/>
    </w:p>
    <w:p>
      <w:pPr>
        <w:pStyle w:val="39"/>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宋体" w:hAnsi="宋体" w:eastAsia="宋体" w:cs="宋体"/>
          <w:color w:val="000000" w:themeColor="text1"/>
          <w:sz w:val="28"/>
          <w:szCs w:val="28"/>
          <w14:textFill>
            <w14:solidFill>
              <w14:schemeClr w14:val="tx1"/>
            </w14:solidFill>
          </w14:textFill>
        </w:rPr>
      </w:pPr>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9.1.1项目概况</w:t>
      </w:r>
      <w:bookmarkEnd w:id="517"/>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本项目厂址位于克拉玛依</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高新技术产业开发区内</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，厂址西距克拉玛依市建成区中心约11km。本工程建设2</w:t>
      </w:r>
      <w:r>
        <w:rPr>
          <w:rFonts w:hint="default" w:ascii="Arial" w:hAnsi="Arial" w:eastAsia="宋体" w:cs="Arial"/>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130t/h 水煤浆锅炉+1</w:t>
      </w:r>
      <w:r>
        <w:rPr>
          <w:rFonts w:hint="default" w:ascii="Arial" w:hAnsi="Arial" w:eastAsia="宋体" w:cs="Arial"/>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25</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MW</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高温高压背压汽轮机组及l</w:t>
      </w:r>
      <w:r>
        <w:rPr>
          <w:rFonts w:hint="default" w:ascii="Arial" w:hAnsi="Arial" w:eastAsia="宋体" w:cs="Arial"/>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220t/h水煤浆锅炉+1</w:t>
      </w:r>
      <w:r>
        <w:rPr>
          <w:rFonts w:hint="default" w:ascii="Arial" w:hAnsi="Arial" w:eastAsia="宋体" w:cs="Arial"/>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25MW高温高压背压汽轮机组，预留l</w:t>
      </w:r>
      <w:r>
        <w:rPr>
          <w:rFonts w:hint="default" w:ascii="Arial" w:hAnsi="Arial" w:eastAsia="宋体" w:cs="Arial"/>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220t/h水煤浆锅炉建设用地。项目</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占</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地约</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6.2</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hm</w:t>
      </w:r>
      <w:r>
        <w:rPr>
          <w:rFonts w:hint="default"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2</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。施工生产、生活区租地</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w:t>
      </w: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hm</w:t>
      </w:r>
      <w:r>
        <w:rPr>
          <w:rFonts w:hint="default"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2</w:t>
      </w:r>
      <w:r>
        <w:rPr>
          <w:rFonts w:hint="eastAsia" w:ascii="Times New Roman" w:hAnsi="Times New Roman" w:eastAsia="宋体" w:cs="Times New Roman"/>
          <w:snapToGrid w:val="0"/>
          <w:color w:val="000000" w:themeColor="text1"/>
          <w:spacing w:val="0"/>
          <w:w w:val="100"/>
          <w:kern w:val="0"/>
          <w:position w:val="0"/>
          <w:sz w:val="24"/>
          <w:szCs w:val="24"/>
          <w:u w:val="none"/>
          <w:vertAlign w:val="baseline"/>
          <w:lang w:val="en-US" w:eastAsia="en-US" w:bidi="zh-CN"/>
          <w14:textFill>
            <w14:solidFill>
              <w14:schemeClr w14:val="tx1"/>
            </w14:solidFill>
          </w14:textFill>
        </w:rPr>
        <w:t>。</w:t>
      </w:r>
    </w:p>
    <w:p>
      <w:pPr>
        <w:pStyle w:val="39"/>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518" w:name="bookmark69"/>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9.1.2区域环境质量现状</w:t>
      </w:r>
      <w:bookmarkEnd w:id="518"/>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（1）大气环境质量现状</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52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en-US"/>
          <w14:textFill>
            <w14:solidFill>
              <w14:schemeClr w14:val="tx1"/>
            </w14:solidFill>
          </w14:textFill>
        </w:rPr>
        <w:t>厂址区域氨未超过</w:t>
      </w:r>
      <w:r>
        <w:rPr>
          <w:rFonts w:hint="default" w:ascii="Times New Roman" w:hAnsi="Times New Roman" w:eastAsia="宋体" w:cs="Times New Roman"/>
          <w:color w:val="000000" w:themeColor="text1"/>
          <w:kern w:val="18"/>
          <w:sz w:val="24"/>
          <w:szCs w:val="24"/>
          <w14:textFill>
            <w14:solidFill>
              <w14:schemeClr w14:val="tx1"/>
            </w14:solidFill>
          </w14:textFill>
        </w:rPr>
        <w:t>《环境影响评价技术导则 大气环境》</w:t>
      </w:r>
      <w:r>
        <w:rPr>
          <w:rFonts w:hint="default" w:ascii="Times New Roman" w:hAnsi="Times New Roman" w:eastAsia="宋体" w:cs="Times New Roman"/>
          <w:color w:val="000000" w:themeColor="text1"/>
          <w:spacing w:val="-6"/>
          <w:sz w:val="24"/>
          <w:szCs w:val="24"/>
          <w14:textFill>
            <w14:solidFill>
              <w14:schemeClr w14:val="tx1"/>
            </w14:solidFill>
          </w14:textFill>
        </w:rPr>
        <w:t>(HJ2.2-2018)附录D“其他污染物空气质量浓度参考限值”</w:t>
      </w:r>
      <w:r>
        <w:rPr>
          <w:rFonts w:hint="default" w:ascii="Times New Roman" w:hAnsi="Times New Roman" w:eastAsia="宋体" w:cs="Times New Roman"/>
          <w:color w:val="000000" w:themeColor="text1"/>
          <w:spacing w:val="-6"/>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en-US"/>
          <w14:textFill>
            <w14:solidFill>
              <w14:schemeClr w14:val="tx1"/>
            </w14:solidFill>
          </w14:textFill>
        </w:rPr>
        <w:t>汞未超过</w:t>
      </w:r>
      <w:r>
        <w:rPr>
          <w:rFonts w:hint="default" w:ascii="Times New Roman" w:hAnsi="Times New Roman" w:eastAsia="宋体" w:cs="Times New Roman"/>
          <w:color w:val="000000" w:themeColor="text1"/>
          <w:sz w:val="24"/>
          <w:szCs w:val="24"/>
          <w:lang w:eastAsia="zh-CN"/>
          <w14:textFill>
            <w14:solidFill>
              <w14:schemeClr w14:val="tx1"/>
            </w14:solidFill>
          </w14:textFill>
        </w:rPr>
        <w:t>《大气污染物综合排放标准》（</w:t>
      </w:r>
      <w:r>
        <w:rPr>
          <w:rFonts w:hint="default" w:ascii="Times New Roman" w:hAnsi="Times New Roman" w:eastAsia="宋体" w:cs="Times New Roman"/>
          <w:color w:val="000000" w:themeColor="text1"/>
          <w:sz w:val="24"/>
          <w:szCs w:val="24"/>
          <w14:textFill>
            <w14:solidFill>
              <w14:schemeClr w14:val="tx1"/>
            </w14:solidFill>
          </w14:textFill>
        </w:rPr>
        <w:t>GB</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16297-1996</w:t>
      </w:r>
      <w:r>
        <w:rPr>
          <w:rFonts w:hint="default" w:ascii="Times New Roman" w:hAnsi="Times New Roman" w:eastAsia="宋体" w:cs="Times New Roman"/>
          <w:color w:val="000000" w:themeColor="text1"/>
          <w:sz w:val="24"/>
          <w:szCs w:val="24"/>
          <w:lang w:eastAsia="zh-CN"/>
          <w14:textFill>
            <w14:solidFill>
              <w14:schemeClr w14:val="tx1"/>
            </w14:solidFill>
          </w14:textFill>
        </w:rPr>
        <w:t>）表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1标准</w:t>
      </w:r>
      <w:r>
        <w:rPr>
          <w:rFonts w:hint="default" w:ascii="Times New Roman" w:hAnsi="Times New Roman" w:eastAsia="宋体" w:cs="Times New Roman"/>
          <w:color w:val="000000" w:themeColor="text1"/>
          <w:sz w:val="24"/>
          <w:szCs w:val="24"/>
          <w:lang w:val="en-US" w:eastAsia="en-US"/>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项目区空气中各项常规监测因子选用克拉玛依白碱滩区环境空气监测站监测数据，SO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、CO、O</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最大占标率分别为9.3%、16.8%、96.7%、88.9%、37.0%、76.9%，均达标。</w:t>
      </w:r>
      <w:r>
        <w:rPr>
          <w:rFonts w:hint="default" w:ascii="Times New Roman" w:hAnsi="Times New Roman" w:eastAsia="宋体" w:cs="Times New Roman"/>
          <w:color w:val="000000" w:themeColor="text1"/>
          <w:sz w:val="24"/>
          <w:szCs w:val="24"/>
          <w:lang w:val="en-US" w:eastAsia="en-US"/>
          <w14:textFill>
            <w14:solidFill>
              <w14:schemeClr w14:val="tx1"/>
            </w14:solidFill>
          </w14:textFill>
        </w:rPr>
        <w:t>项目区域环境空气质量状况较好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（2）地下水环境质量现状</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color w:val="000000" w:themeColor="text1"/>
          <w:sz w:val="24"/>
          <w:szCs w:val="26"/>
          <w:lang w:val="zh-CN"/>
          <w14:textFill>
            <w14:solidFill>
              <w14:schemeClr w14:val="tx1"/>
            </w14:solidFill>
          </w14:textFill>
        </w:rPr>
      </w:pPr>
      <w:r>
        <w:rPr>
          <w:color w:val="000000" w:themeColor="text1"/>
          <w:sz w:val="24"/>
          <w:szCs w:val="26"/>
          <w14:textFill>
            <w14:solidFill>
              <w14:schemeClr w14:val="tx1"/>
            </w14:solidFill>
          </w14:textFill>
        </w:rPr>
        <w:t>项目区域地下水单项污染指数均小于1，符合</w:t>
      </w:r>
      <w:r>
        <w:rPr>
          <w:color w:val="000000" w:themeColor="text1"/>
          <w:sz w:val="24"/>
          <w:szCs w:val="26"/>
          <w:lang w:val="zh-CN"/>
          <w14:textFill>
            <w14:solidFill>
              <w14:schemeClr w14:val="tx1"/>
            </w14:solidFill>
          </w14:textFill>
        </w:rPr>
        <w:t>《地下水质量标准》（GB/T14848-</w:t>
      </w:r>
      <w:r>
        <w:rPr>
          <w:color w:val="000000" w:themeColor="text1"/>
          <w:sz w:val="24"/>
          <w:szCs w:val="26"/>
          <w14:textFill>
            <w14:solidFill>
              <w14:schemeClr w14:val="tx1"/>
            </w14:solidFill>
          </w14:textFill>
        </w:rPr>
        <w:t>2017</w:t>
      </w:r>
      <w:r>
        <w:rPr>
          <w:color w:val="000000" w:themeColor="text1"/>
          <w:sz w:val="24"/>
          <w:szCs w:val="26"/>
          <w:lang w:val="zh-CN"/>
          <w14:textFill>
            <w14:solidFill>
              <w14:schemeClr w14:val="tx1"/>
            </w14:solidFill>
          </w14:textFill>
        </w:rPr>
        <w:t>）Ⅲ类标准限值。</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（3）声环境质量现状</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拟建厂址厂界四周声环境质量现状监测结果均满足《声环境质量标准》 (GB3096-2008)中的3类标准要求，表明项目拟建地及其周围区域声环境质量现状较 好。</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（4）生态环境质量现状</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本项目区域生态环境比较脆弱，生态系统的稳定性主要取决于植被、土壤及其复合 体的稳定性。在现有水资源条件下，荒漠环境的地表和植被对人为破坏等外界干扰敏感， 并易于演变为生物量减少、生产能力降低的次一级脆弱类型。</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本项目在园区空地进行建设，受人为活动影响，项目区植被以荒漠植被和人工栽种 树种为主，无大型野生动物分布。</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200" w:right="0" w:rightChars="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（5）土壤环境质量现状</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zh-CN" w:eastAsia="en-US" w:bidi="zh-CN"/>
          <w14:textFill>
            <w14:solidFill>
              <w14:schemeClr w14:val="tx1"/>
            </w14:solidFill>
          </w14:textFill>
        </w:rPr>
        <w:t>评价区土壤45项基本项目含量均低于《土壤环境质量建设用地土壤污染风险管控标准（试行）》(GB36600</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zh-CN"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zh-CN" w:eastAsia="en-US" w:bidi="zh-CN"/>
          <w14:textFill>
            <w14:solidFill>
              <w14:schemeClr w14:val="tx1"/>
            </w14:solidFill>
          </w14:textFill>
        </w:rPr>
        <w:t>2018)低于第二类用地筛选值，说明项目区的土地未受到人类生产活动的影响。</w:t>
      </w:r>
    </w:p>
    <w:p>
      <w:pPr>
        <w:pStyle w:val="39"/>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519" w:name="bookmark70"/>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9.1.3污染防治措施及影响分析</w:t>
      </w:r>
      <w:bookmarkEnd w:id="519"/>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（1）环境空气防治措施及影响分析</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工程三台锅炉共用一座高度80m，出口直径为4.5m的双套筒烟囱，经预测，本工程建成投运后，污染物排放最大落地浓度均较低，大气环境质量能够满足《环境空气质量标准》(GB3095-2012)中二级标准要求，说明本工程烟囱高度设置合理可行。</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本工程为循环流化床锅炉，炉内已进行了脱硫处理，从锅炉适应性、吸收剂易得、系统简单可靠、技术经济合理等方面考虑，本工程2</w:t>
      </w:r>
      <w:r>
        <w:rPr>
          <w:rFonts w:hint="default" w:ascii="Arial" w:hAnsi="Arial" w:eastAsia="宋体" w:cs="Arial"/>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130t/h+l</w:t>
      </w:r>
      <w:r>
        <w:rPr>
          <w:rFonts w:hint="default" w:ascii="Arial" w:hAnsi="Arial" w:eastAsia="宋体" w:cs="Arial"/>
          <w:snapToGrid w:val="0"/>
          <w:color w:val="000000" w:themeColor="text1"/>
          <w:spacing w:val="0"/>
          <w:w w:val="100"/>
          <w:kern w:val="0"/>
          <w:position w:val="0"/>
          <w:sz w:val="24"/>
          <w:szCs w:val="24"/>
          <w:u w:val="none"/>
          <w:lang w:val="en-US" w:eastAsia="en-US" w:bidi="zh-CN"/>
          <w14:textFill>
            <w14:solidFill>
              <w14:schemeClr w14:val="tx1"/>
            </w14:solidFill>
          </w14:textFill>
        </w:rPr>
        <w:t>×</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220t/h水煤浆锅炉炉外烟气脱硫采用循环流化床半干法脱硫工艺。</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本工程烟气脱硝推荐采用SNCR工艺，装置效率不小于60%。</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本工程采用低压旋转脉冲布袋除尘器，采用上进风方式，降低入口浓度，提高滤袋的使用寿命，采用经特殊表面处理的进口PPS改性滤料，除尘效率可达99.98%，满足烟尘排放浓度不高于5mg/Nm</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的要求。</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本工程完工后，SO</w:t>
      </w:r>
      <w:r>
        <w:rPr>
          <w:rFonts w:hint="eastAsia" w:ascii="Times New Roman" w:hAnsi="Times New Roman" w:eastAsia="宋体" w:cs="Times New Roman"/>
          <w:snapToGrid w:val="0"/>
          <w:color w:val="000000" w:themeColor="text1"/>
          <w:spacing w:val="0"/>
          <w:w w:val="100"/>
          <w:kern w:val="0"/>
          <w:position w:val="0"/>
          <w:sz w:val="24"/>
          <w:szCs w:val="24"/>
          <w:u w:val="none"/>
          <w:vertAlign w:val="subscript"/>
          <w:lang w:val="en-US" w:eastAsia="en-US" w:bidi="zh-CN"/>
          <w14:textFill>
            <w14:solidFill>
              <w14:schemeClr w14:val="tx1"/>
            </w14:solidFill>
          </w14:textFill>
        </w:rPr>
        <w:t>2</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、PM</w:t>
      </w:r>
      <w:r>
        <w:rPr>
          <w:rFonts w:hint="eastAsia" w:ascii="Times New Roman" w:hAnsi="Times New Roman" w:eastAsia="宋体" w:cs="Times New Roman"/>
          <w:snapToGrid w:val="0"/>
          <w:color w:val="000000" w:themeColor="text1"/>
          <w:spacing w:val="0"/>
          <w:w w:val="100"/>
          <w:kern w:val="0"/>
          <w:position w:val="0"/>
          <w:sz w:val="24"/>
          <w:szCs w:val="24"/>
          <w:u w:val="none"/>
          <w:vertAlign w:val="subscript"/>
          <w:lang w:val="en-US" w:eastAsia="en-US" w:bidi="zh-CN"/>
          <w14:textFill>
            <w14:solidFill>
              <w14:schemeClr w14:val="tx1"/>
            </w14:solidFill>
          </w14:textFill>
        </w:rPr>
        <w:t>2.5</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在各预测点的小时均值、日均贡献值与现状值叠加后均不超过《环境空气质量标准》(GB3095-2012)二级标准的限值，贡献值较现状监测 值明显偏小。</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（2）地下水防治措施及影响分析</w:t>
      </w: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both"/>
        <w:textAlignment w:val="auto"/>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对地下水的污染途径主要来自厂区内跑、冒、滴、漏的污水经土层渗透，污染地水以及原辅材料、产品、固废等临时贮存场地污染物下渗影响。为防止浅层地下水的污染，评价要求，厂区生产区和储运设施区，包括废水沟管、循环水池、固废临时贮存设施等设施均应按规范做防渗处理。采取以上措施后，正常生产情况下，本项目对厂区及附近地下水环境的影响小。</w:t>
      </w:r>
    </w:p>
    <w:p>
      <w:pPr>
        <w:pStyle w:val="33"/>
        <w:keepNext w:val="0"/>
        <w:keepLines w:val="0"/>
        <w:widowControl w:val="0"/>
        <w:shd w:val="clear" w:color="auto" w:fill="auto"/>
        <w:bidi w:val="0"/>
        <w:spacing w:before="0" w:after="0" w:line="456" w:lineRule="exact"/>
        <w:ind w:left="0" w:right="0" w:firstLine="500"/>
        <w:jc w:val="both"/>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事故情况下，对地下水可能造成影响因素为生产废水和污水管网等的泄漏事故。废水主要含有氨氮、SS等，污染因子为非持续性，由厂区的包气带岩性可以看出，废水首先进入地表以下的包气带中，该区域的包气带岩性主要为棕漠土夹砾石。地下水水位埋深大，其对氨氮、SS等的吸附能力强，可有效减少废水的入渗量。但考虑到地下水自净能力较差，评价认为，为避免事故状态对地下水污染，要采取必要的措施，最大限度预防事故，降低发生概率；建立完善的地下水监测网络，发生水质异常，立即启动应急机制，解决问题。</w:t>
      </w:r>
    </w:p>
    <w:p>
      <w:pPr>
        <w:pStyle w:val="33"/>
        <w:keepNext w:val="0"/>
        <w:keepLines w:val="0"/>
        <w:widowControl w:val="0"/>
        <w:shd w:val="clear" w:color="auto" w:fill="auto"/>
        <w:bidi w:val="0"/>
        <w:spacing w:before="0" w:after="0" w:line="456" w:lineRule="exact"/>
        <w:ind w:left="0" w:right="0" w:firstLine="500"/>
        <w:jc w:val="both"/>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（3）声环境防治措施及影响分析</w:t>
      </w:r>
    </w:p>
    <w:p>
      <w:pPr>
        <w:pStyle w:val="33"/>
        <w:keepNext w:val="0"/>
        <w:keepLines w:val="0"/>
        <w:widowControl w:val="0"/>
        <w:shd w:val="clear" w:color="auto" w:fill="auto"/>
        <w:bidi w:val="0"/>
        <w:spacing w:before="0" w:after="0" w:line="456" w:lineRule="exact"/>
        <w:ind w:left="0" w:right="0" w:firstLine="500"/>
        <w:jc w:val="both"/>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本工程厂界噪声主要受主厂房的影响，并以主厂房为中心向四周辐射，即主 厂房内的锅炉、汽轮机组、高压流化风机、引风机等为本工程主要噪声源。本工 程厂界昼间、夜间东、南、西、北四侧均达标，最大值出现在东厂界，为49.6dB(A)， 主要原因是东侧厂界受主厂房作用的结果，厂界四周噪声贡献值均满足《工业企 业厂界环境噪声排放标准》(GB12348-2008)中3类标准要求。</w:t>
      </w:r>
    </w:p>
    <w:p>
      <w:pPr>
        <w:pStyle w:val="33"/>
        <w:keepNext w:val="0"/>
        <w:keepLines w:val="0"/>
        <w:widowControl w:val="0"/>
        <w:shd w:val="clear" w:color="auto" w:fill="auto"/>
        <w:bidi w:val="0"/>
        <w:spacing w:before="0" w:after="0" w:line="456" w:lineRule="exact"/>
        <w:ind w:left="0" w:right="0" w:firstLine="500"/>
        <w:jc w:val="both"/>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（4）固体废物防治措施及影响分析</w:t>
      </w:r>
    </w:p>
    <w:p>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default"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工程运行产生的固体废弃物（除尘灰及脱硫灰）既是污染源又是资源，具有潜在的利用价值，业主已与相关企业签订了除尘灰、脱硫灰综合利用协议。因此，正常工况下本工程固体废物均变废为宝，不会对周围环境产生不良影响。</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本项目在运营中产生的固体废物还有少量的生活垃圾，产生量约为90kg/d、27t/a。在站内办公生活区设垃圾箱，集中收集后，生活垃圾交由环卫部门统一清运。</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通过落实各项固废处置方法，固废对周围环境基本没有影响。</w:t>
      </w:r>
    </w:p>
    <w:p>
      <w:pPr>
        <w:pStyle w:val="39"/>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520" w:name="bookmark71"/>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9.1.4环境风险分析</w:t>
      </w:r>
      <w:bookmarkEnd w:id="520"/>
    </w:p>
    <w:p>
      <w:pPr>
        <w:pStyle w:val="33"/>
        <w:keepNext w:val="0"/>
        <w:keepLines w:val="0"/>
        <w:widowControl w:val="0"/>
        <w:shd w:val="clear" w:color="auto" w:fill="auto"/>
        <w:bidi w:val="0"/>
        <w:spacing w:before="0" w:after="0" w:line="456" w:lineRule="exact"/>
        <w:ind w:left="0" w:right="0" w:firstLine="500"/>
        <w:jc w:val="both"/>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脱硝使用的液氨贮存应选用加压卧式贮槽，置于露天通风遮阳棚内，防止阳 光直射，夏季要有降温措施；为减少压力升高引起事故风险，液氨贮槽应安两个 安全阀，泄压引出管线应通入空罐临时贮存，不能排放。储罐装入容积85%，留 有汽化空间；液氨贮槽应设置降温设施，如水冷换热盘管甚至冰机制冷降温；液 氨使用时场地周围有围栏防止人员进入，围栏上应有警告标志，场地内设有自动 监测氨气装置和报警装置，四周设有围堰，并采取防渗措施，围堰容积50m</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、水喷淋系统和冲洗设施，设置2座50m</w:t>
      </w:r>
      <w:r>
        <w:rPr>
          <w:rFonts w:hint="eastAsia" w:ascii="Times New Roman" w:hAnsi="Times New Roman" w:eastAsia="宋体" w:cs="Times New Roman"/>
          <w:snapToGrid w:val="0"/>
          <w:color w:val="000000" w:themeColor="text1"/>
          <w:spacing w:val="0"/>
          <w:w w:val="100"/>
          <w:kern w:val="0"/>
          <w:position w:val="0"/>
          <w:sz w:val="24"/>
          <w:szCs w:val="24"/>
          <w:u w:val="none"/>
          <w:vertAlign w:val="superscript"/>
          <w:lang w:val="en-US" w:eastAsia="en-US" w:bidi="zh-CN"/>
          <w14:textFill>
            <w14:solidFill>
              <w14:schemeClr w14:val="tx1"/>
            </w14:solidFill>
          </w14:textFill>
        </w:rPr>
        <w:t>3</w:t>
      </w: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事故水池；需要切实加强贮存设备日常检查、维修，防止滴漏。液氨加压卧式贮槽附近提供安全淋浴和洗眼设备；在氨浓度可能超过标准的场所，工人必须配备有氨滤毒罐的防毒面具、戴化学安全防护眼镜、戴橡胶手套、穿防静电工作服方可进行工作，保护工人的呼吸道、眼和皮肤，并在附近提供安全淋浴和洗眼设备；液氨输送管道应有良好的接地装置，防止静电电荷聚集引发事故；液氨压缩机房内的设备均需做静电接地处理，防止静电积累；在液氨贮罐区、管线周围必须设置消防栓、排水沟渠和事故池，液氨外泄时，可立即喷洒水幕以稀释空气中的氨浓度，阻止有毒气体扩散，氨水则通过排水沟直接进入事故池，减少事故下氨水外泄对外环境的影响范围；保持液氨站及压缩机房附近道路通畅，场地宽松，以便于抢险；储罐要远离热源、火源；对管道、阀门、接口及零件进行日常的检查与更换，保持设备完好，防止跑冒滴漏；液氨贮罐和管线附近设置危险标志。配备紧急医疗箱，配备防毒面具和防护服 以便事故下紧急逃生和紧急抢修之用。</w:t>
      </w:r>
    </w:p>
    <w:p>
      <w:pPr>
        <w:pStyle w:val="33"/>
        <w:keepNext w:val="0"/>
        <w:keepLines w:val="0"/>
        <w:widowControl w:val="0"/>
        <w:shd w:val="clear" w:color="auto" w:fill="auto"/>
        <w:bidi w:val="0"/>
        <w:spacing w:before="0" w:after="0" w:line="456" w:lineRule="exact"/>
        <w:ind w:left="0" w:right="0" w:firstLine="500"/>
        <w:jc w:val="both"/>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本次评价针对本工程存在的风险因素，提出相应的风险防范措施，并针对可 能存在的风险事故拟定风险事故应急预案的主要内容架，从而减少风险事故发生 的可能的事故发生后的影响。</w:t>
      </w:r>
    </w:p>
    <w:p>
      <w:pPr>
        <w:pStyle w:val="33"/>
        <w:keepNext w:val="0"/>
        <w:keepLines w:val="0"/>
        <w:widowControl w:val="0"/>
        <w:shd w:val="clear" w:color="auto" w:fill="auto"/>
        <w:bidi w:val="0"/>
        <w:spacing w:before="0" w:after="0" w:line="456" w:lineRule="exact"/>
        <w:ind w:left="0" w:right="0" w:firstLine="500"/>
        <w:jc w:val="both"/>
        <w:rPr>
          <w:rFonts w:hint="eastAsia" w:ascii="宋体" w:hAnsi="宋体" w:eastAsia="宋体" w:cs="宋体"/>
          <w:color w:val="000000" w:themeColor="text1"/>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综上所述，本工程虽然存在一定风险因素，但通过加强风险防范措施，制定详细的应急预案，其影响可以接受。</w:t>
      </w:r>
    </w:p>
    <w:p>
      <w:pPr>
        <w:pStyle w:val="39"/>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521" w:name="bookmark72"/>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9.1.5环境管理与监控计划</w:t>
      </w:r>
      <w:bookmarkEnd w:id="521"/>
    </w:p>
    <w:p>
      <w:pPr>
        <w:pStyle w:val="33"/>
        <w:keepNext w:val="0"/>
        <w:keepLines w:val="0"/>
        <w:widowControl w:val="0"/>
        <w:shd w:val="clear" w:color="auto" w:fill="auto"/>
        <w:bidi w:val="0"/>
        <w:spacing w:before="0" w:after="0" w:line="456" w:lineRule="exact"/>
        <w:ind w:left="0" w:right="0" w:firstLine="500"/>
        <w:jc w:val="both"/>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在项目实施和运行期间必须在环境保护部门的宏观管理下，利用本厂内部的 环境管理机构进行规范化监督管理，防止该项目建设和运行中一些不规范的建 设和操作造成事故或误差，从而对环境造成不利影响，确保生产车间正常运行 和环保治理设施安全有效地运行。</w:t>
      </w:r>
    </w:p>
    <w:p>
      <w:pPr>
        <w:pStyle w:val="33"/>
        <w:keepNext w:val="0"/>
        <w:keepLines w:val="0"/>
        <w:widowControl w:val="0"/>
        <w:shd w:val="clear" w:color="auto" w:fill="auto"/>
        <w:bidi w:val="0"/>
        <w:spacing w:before="0" w:after="0" w:line="456" w:lineRule="exact"/>
        <w:ind w:left="0" w:right="0" w:firstLine="500"/>
        <w:jc w:val="both"/>
        <w:rPr>
          <w:rFonts w:hint="eastAsia" w:ascii="宋体" w:hAnsi="宋体" w:eastAsia="宋体" w:cs="宋体"/>
          <w:color w:val="000000" w:themeColor="text1"/>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建设单位可委托有资质的环境监测机构对项目排放的废气、噪声、固废及周 围的环境质量按照报告中提出的监测计划进行监测。同时，企业应建立健全污染 源监控和环境监测技术档案，并接受当地环保部门的业务指导、监督和检查。建 设单位在工程投产后正常生产工况下达到设计规模75%以上时，应按照《建设项 目环境保护设施竣工验收管理规定》中的有关要求，及时最大限度预 防事故，降低发生概率；建立完善的地下水监测网络，发生水质异常，立即启动应急机 制，解决问题。</w:t>
      </w:r>
    </w:p>
    <w:p>
      <w:pPr>
        <w:pStyle w:val="39"/>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522" w:name="bookmark73"/>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9.1.6公众参与结论</w:t>
      </w:r>
      <w:bookmarkEnd w:id="522"/>
    </w:p>
    <w:p>
      <w:pPr>
        <w:pStyle w:val="33"/>
        <w:keepNext w:val="0"/>
        <w:keepLines w:val="0"/>
        <w:widowControl w:val="0"/>
        <w:shd w:val="clear" w:color="auto" w:fill="auto"/>
        <w:bidi w:val="0"/>
        <w:spacing w:before="0" w:after="0" w:line="456" w:lineRule="exact"/>
        <w:ind w:left="0" w:right="0" w:firstLine="500"/>
        <w:jc w:val="both"/>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根据《中华人民共和国环境影响评价法》：“对环境可能造成重大影响、应当编制环境影响报告书的建设项目，建设单位应当在报批建设项目环境影响报告书前，举行论证会、听证会，或者采取其他形式，征求有关单位、专家和公众的意见。”</w:t>
      </w:r>
    </w:p>
    <w:p>
      <w:pPr>
        <w:pStyle w:val="33"/>
        <w:keepNext w:val="0"/>
        <w:keepLines w:val="0"/>
        <w:widowControl w:val="0"/>
        <w:shd w:val="clear" w:color="auto" w:fill="auto"/>
        <w:bidi w:val="0"/>
        <w:spacing w:before="0" w:after="0" w:line="456" w:lineRule="exact"/>
        <w:ind w:left="0" w:right="0" w:firstLine="500"/>
        <w:jc w:val="both"/>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根据环评结论，本项目影响不大，通过在自治区环保厅网站网络发布公示、 发放公众参与调查表的方案，向公众告知本项目的建设情况。公示期间及回收调查表均未收到公众提出反馈意见。</w:t>
      </w:r>
    </w:p>
    <w:p>
      <w:pPr>
        <w:pStyle w:val="39"/>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2"/>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pPr>
      <w:bookmarkStart w:id="523" w:name="bookmark74"/>
      <w:r>
        <w:rPr>
          <w:rFonts w:hint="eastAsia" w:ascii="Times New Roman" w:hAnsi="Times New Roman" w:eastAsia="宋体" w:cs="Times New Roman"/>
          <w:b/>
          <w:bCs/>
          <w:color w:val="000000" w:themeColor="text1"/>
          <w:spacing w:val="0"/>
          <w:w w:val="100"/>
          <w:position w:val="0"/>
          <w:sz w:val="28"/>
          <w:szCs w:val="28"/>
          <w:u w:val="none"/>
          <w:lang w:val="en-US" w:eastAsia="en-US" w:bidi="zh-CN"/>
          <w14:textFill>
            <w14:solidFill>
              <w14:schemeClr w14:val="tx1"/>
            </w14:solidFill>
          </w14:textFill>
        </w:rPr>
        <w:t>9.1.7总体评价结论</w:t>
      </w:r>
      <w:bookmarkEnd w:id="523"/>
    </w:p>
    <w:p>
      <w:pPr>
        <w:pStyle w:val="33"/>
        <w:keepNext w:val="0"/>
        <w:keepLines w:val="0"/>
        <w:widowControl w:val="0"/>
        <w:shd w:val="clear" w:color="auto" w:fill="auto"/>
        <w:bidi w:val="0"/>
        <w:spacing w:before="0" w:after="0" w:line="456" w:lineRule="exact"/>
        <w:ind w:left="0" w:right="0" w:firstLine="500"/>
        <w:jc w:val="both"/>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通过对厂址区域环境现状及环境影响评价，本项目属国家政策鼓励的背压热电联产工程；选址合理；工艺选择符合清洁生产要求；各项污染物能够达标排放；工程运行后对周围环境影响较轻；环境风险水平在可接受程度内；项目建成后对当地经济起到促进作用，项目建设可以实现“达标排放”和“风险控制”的目标。</w:t>
      </w:r>
    </w:p>
    <w:p>
      <w:pPr>
        <w:pStyle w:val="33"/>
        <w:keepNext w:val="0"/>
        <w:keepLines w:val="0"/>
        <w:widowControl w:val="0"/>
        <w:shd w:val="clear" w:color="auto" w:fill="auto"/>
        <w:bidi w:val="0"/>
        <w:spacing w:before="0" w:after="0" w:line="456" w:lineRule="exact"/>
        <w:ind w:left="0" w:right="0" w:firstLine="500"/>
        <w:jc w:val="both"/>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根据建设单位编制的《公众参与说明书》：工程公众参与调查采取多种形式，使工程所在区域相关部门、公众能够充分了解本工程建设对环境及个人的影响情况并反映其意愿，避免在工程实施过程中对公众利益构成危害或威胁。结果表明，社会各界公众均支持本工程的建设，认为工程的建设将会给当地带来有利的一面。</w:t>
      </w:r>
    </w:p>
    <w:p>
      <w:pPr>
        <w:pStyle w:val="33"/>
        <w:keepNext w:val="0"/>
        <w:keepLines w:val="0"/>
        <w:widowControl w:val="0"/>
        <w:shd w:val="clear" w:color="auto" w:fill="auto"/>
        <w:bidi w:val="0"/>
        <w:spacing w:before="0" w:after="0" w:line="456" w:lineRule="exact"/>
        <w:ind w:left="0" w:right="0" w:firstLine="500"/>
        <w:jc w:val="both"/>
        <w:rPr>
          <w:rFonts w:hint="eastAsia" w:ascii="宋体" w:hAnsi="宋体" w:eastAsia="宋体" w:cs="宋体"/>
          <w:color w:val="000000" w:themeColor="text1"/>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建设单位应严格落实设计和环评报告提出的污染防治措施和环境保护措施，并加强环保设施的运行维护和管理，保证各种环保设施的正常运行和污染物长期稳定达标排放。在落实并保证以上条件实施的前提下，从环保角度分析，在符合当地热电联产规划的前提下，本项目建设是可行的。</w:t>
      </w:r>
    </w:p>
    <w:p>
      <w:pPr>
        <w:pStyle w:val="39"/>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outlineLvl w:val="1"/>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pPr>
      <w:bookmarkStart w:id="524" w:name="bookmark75"/>
      <w:bookmarkStart w:id="525" w:name="_Toc22934"/>
      <w:r>
        <w:rPr>
          <w:rFonts w:hint="eastAsia" w:ascii="Times New Roman" w:hAnsi="Times New Roman" w:eastAsia="宋体" w:cs="Times New Roman"/>
          <w:b/>
          <w:bCs/>
          <w:color w:val="000000" w:themeColor="text1"/>
          <w:spacing w:val="0"/>
          <w:w w:val="100"/>
          <w:position w:val="0"/>
          <w:sz w:val="32"/>
          <w:szCs w:val="32"/>
          <w:u w:val="none"/>
          <w:lang w:val="en-US" w:eastAsia="en-US" w:bidi="zh-CN"/>
          <w14:textFill>
            <w14:solidFill>
              <w14:schemeClr w14:val="tx1"/>
            </w14:solidFill>
          </w14:textFill>
        </w:rPr>
        <w:t>9.2</w:t>
      </w:r>
      <w:r>
        <w:rPr>
          <w:rFonts w:hint="eastAsia" w:ascii="Times New Roman" w:hAnsi="Times New Roman" w:eastAsia="宋体" w:cs="Times New Roman"/>
          <w:b/>
          <w:bCs/>
          <w:color w:val="000000" w:themeColor="text1"/>
          <w:spacing w:val="0"/>
          <w:w w:val="100"/>
          <w:position w:val="0"/>
          <w:sz w:val="32"/>
          <w:szCs w:val="32"/>
          <w:u w:val="none"/>
          <w:lang w:val="zh-CN" w:eastAsia="zh-CN" w:bidi="zh-CN"/>
          <w14:textFill>
            <w14:solidFill>
              <w14:schemeClr w14:val="tx1"/>
            </w14:solidFill>
          </w14:textFill>
        </w:rPr>
        <w:t>要求和建议</w:t>
      </w:r>
      <w:bookmarkEnd w:id="524"/>
      <w:bookmarkEnd w:id="525"/>
    </w:p>
    <w:p>
      <w:pPr>
        <w:pStyle w:val="33"/>
        <w:keepNext w:val="0"/>
        <w:keepLines w:val="0"/>
        <w:widowControl w:val="0"/>
        <w:shd w:val="clear" w:color="auto" w:fill="auto"/>
        <w:bidi w:val="0"/>
        <w:spacing w:before="0" w:after="0" w:line="456" w:lineRule="exact"/>
        <w:ind w:left="0" w:right="0" w:firstLine="500"/>
        <w:jc w:val="both"/>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（1）加强本工程施工期环境管理。</w:t>
      </w:r>
    </w:p>
    <w:p>
      <w:pPr>
        <w:pStyle w:val="33"/>
        <w:keepNext w:val="0"/>
        <w:keepLines w:val="0"/>
        <w:widowControl w:val="0"/>
        <w:shd w:val="clear" w:color="auto" w:fill="auto"/>
        <w:bidi w:val="0"/>
        <w:spacing w:before="0" w:after="0" w:line="456" w:lineRule="exact"/>
        <w:ind w:left="0" w:right="0" w:firstLine="500"/>
        <w:jc w:val="both"/>
        <w:rPr>
          <w:rFonts w:hint="eastAsia" w:ascii="宋体" w:hAnsi="宋体" w:eastAsia="宋体" w:cs="宋体"/>
          <w:color w:val="000000" w:themeColor="text1"/>
          <w14:textFill>
            <w14:solidFill>
              <w14:schemeClr w14:val="tx1"/>
            </w14:solidFill>
          </w14:textFill>
        </w:rPr>
      </w:pPr>
      <w:r>
        <w:rPr>
          <w:rFonts w:hint="eastAsia" w:ascii="Times New Roman" w:hAnsi="Times New Roman" w:eastAsia="宋体" w:cs="Times New Roman"/>
          <w:snapToGrid w:val="0"/>
          <w:color w:val="000000" w:themeColor="text1"/>
          <w:spacing w:val="0"/>
          <w:w w:val="100"/>
          <w:kern w:val="0"/>
          <w:position w:val="0"/>
          <w:sz w:val="24"/>
          <w:szCs w:val="24"/>
          <w:u w:val="none"/>
          <w:lang w:val="en-US" w:eastAsia="en-US" w:bidi="zh-CN"/>
          <w14:textFill>
            <w14:solidFill>
              <w14:schemeClr w14:val="tx1"/>
            </w14:solidFill>
          </w14:textFill>
        </w:rPr>
        <w:t>（2）在本工程施工前委托有资质的单位对施工过程实施环境监理，以确保施工期间各项施工组织措施按规划的方案进行。同时，对本工程中各类环保设施的安装、调试等进行监督，使环保设施的建设达到“三同时”的要求。</w:t>
      </w:r>
      <w:bookmarkStart w:id="526" w:name="_GoBack"/>
      <w:bookmarkEnd w:id="526"/>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0" w:firstLineChars="0"/>
        <w:jc w:val="both"/>
        <w:textAlignment w:val="auto"/>
        <w:outlineLvl w:val="9"/>
        <w:rPr>
          <w:rFonts w:hint="eastAsia"/>
          <w:color w:val="000000" w:themeColor="text1"/>
          <w:lang w:val="en-US" w:eastAsia="zh-CN"/>
          <w14:textFill>
            <w14:solidFill>
              <w14:schemeClr w14:val="tx1"/>
            </w14:solidFill>
          </w14:textFill>
        </w:rPr>
      </w:pPr>
    </w:p>
    <w:p>
      <w:pPr>
        <w:pStyle w:val="3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0" w:firstLineChars="0"/>
        <w:jc w:val="both"/>
        <w:textAlignment w:val="auto"/>
        <w:outlineLvl w:val="9"/>
        <w:rPr>
          <w:rFonts w:hint="default"/>
          <w:color w:val="000000" w:themeColor="text1"/>
          <w:lang w:val="en-US" w:eastAsia="zh-CN"/>
          <w14:textFill>
            <w14:solidFill>
              <w14:schemeClr w14:val="tx1"/>
            </w14:solidFill>
          </w14:textFill>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 w:name="楷体_GB2312">
    <w:altName w:val="楷体"/>
    <w:panose1 w:val="02010609030101010101"/>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Cambria Math">
    <w:panose1 w:val="02040503050406030204"/>
    <w:charset w:val="00"/>
    <w:family w:val="roman"/>
    <w:pitch w:val="default"/>
    <w:sig w:usb0="E00002FF" w:usb1="420024FF" w:usb2="00000000" w:usb3="00000000" w:csb0="2000019F" w:csb1="00000000"/>
  </w:font>
  <w:font w:name="Wingdings 2">
    <w:altName w:val="Wingdings"/>
    <w:panose1 w:val="05020102010507070707"/>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rPr>
        <w:sz w:val="2"/>
      </w:rPr>
      <mc:AlternateContent>
        <mc:Choice Requires="wps">
          <w:drawing>
            <wp:anchor distT="0" distB="0" distL="114300" distR="114300" simplePos="0" relativeHeight="252061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61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Abn8UAgAAFQQAAA4AAABkcnMvZTJvRG9jLnhtbK1Ty47TMBTdI/EP&#10;lvc0aRGl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OIBufxQCAAAVBAAADgAAAAAAAAAB&#10;ACAAAAAfAQAAZHJzL2Uyb0RvYy54bWxQSwUGAAAAAAYABgBZAQAApQ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w:t>
                    </w:r>
                    <w:r>
                      <w:rPr>
                        <w:rFonts w:hint="eastAsia" w:eastAsia="宋体"/>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w:rPr>
        <w:sz w:val="18"/>
      </w:rPr>
      <mc:AlternateContent>
        <mc:Choice Requires="wps">
          <w:drawing>
            <wp:anchor distT="0" distB="0" distL="114300" distR="114300" simplePos="0" relativeHeight="252060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fldChar w:fldCharType="begin"/>
                          </w:r>
                          <w:r>
                            <w:rPr>
                              <w:rFonts w:hint="default" w:ascii="Times New Roman" w:hAnsi="Times New Roman" w:cs="Times New Roman"/>
                              <w:sz w:val="21"/>
                              <w:szCs w:val="21"/>
                              <w:lang w:eastAsia="zh-CN"/>
                            </w:rPr>
                            <w:instrText xml:space="preserve"> PAGE  \* MERGEFORMAT </w:instrText>
                          </w:r>
                          <w:r>
                            <w:rPr>
                              <w:rFonts w:hint="default" w:ascii="Times New Roman" w:hAnsi="Times New Roman" w:cs="Times New Roman"/>
                              <w:sz w:val="21"/>
                              <w:szCs w:val="21"/>
                              <w:lang w:eastAsia="zh-CN"/>
                            </w:rPr>
                            <w:fldChar w:fldCharType="separate"/>
                          </w:r>
                          <w:r>
                            <w:rPr>
                              <w:rFonts w:hint="default" w:ascii="Times New Roman" w:hAnsi="Times New Roman" w:cs="Times New Roman"/>
                              <w:sz w:val="21"/>
                              <w:szCs w:val="21"/>
                              <w:lang w:eastAsia="zh-CN"/>
                            </w:rPr>
                            <w:t>113</w:t>
                          </w:r>
                          <w:r>
                            <w:rPr>
                              <w:rFonts w:hint="default" w:ascii="Times New Roman" w:hAnsi="Times New Roman" w:cs="Times New Roman"/>
                              <w:sz w:val="21"/>
                              <w:szCs w:val="21"/>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60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m4mZOrgEAAE0D&#10;AAAOAAAAAAAAAAEAIAAAAB4BAABkcnMvZTJvRG9jLnhtbFBLBQYAAAAABgAGAFkBAAA+BQAAAAA=&#10;">
              <v:fill on="f" focussize="0,0"/>
              <v:stroke on="f"/>
              <v:imagedata o:title=""/>
              <o:lock v:ext="edit" aspectratio="f"/>
              <v:textbox inset="0mm,0mm,0mm,0mm" style="mso-fit-shape-to-text:t;">
                <w:txbxContent>
                  <w:p>
                    <w:pPr>
                      <w:pStyle w:val="13"/>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fldChar w:fldCharType="begin"/>
                    </w:r>
                    <w:r>
                      <w:rPr>
                        <w:rFonts w:hint="default" w:ascii="Times New Roman" w:hAnsi="Times New Roman" w:cs="Times New Roman"/>
                        <w:sz w:val="21"/>
                        <w:szCs w:val="21"/>
                        <w:lang w:eastAsia="zh-CN"/>
                      </w:rPr>
                      <w:instrText xml:space="preserve"> PAGE  \* MERGEFORMAT </w:instrText>
                    </w:r>
                    <w:r>
                      <w:rPr>
                        <w:rFonts w:hint="default" w:ascii="Times New Roman" w:hAnsi="Times New Roman" w:cs="Times New Roman"/>
                        <w:sz w:val="21"/>
                        <w:szCs w:val="21"/>
                        <w:lang w:eastAsia="zh-CN"/>
                      </w:rPr>
                      <w:fldChar w:fldCharType="separate"/>
                    </w:r>
                    <w:r>
                      <w:rPr>
                        <w:rFonts w:hint="default" w:ascii="Times New Roman" w:hAnsi="Times New Roman" w:cs="Times New Roman"/>
                        <w:sz w:val="21"/>
                        <w:szCs w:val="21"/>
                        <w:lang w:eastAsia="zh-CN"/>
                      </w:rPr>
                      <w:t>113</w:t>
                    </w:r>
                    <w:r>
                      <w:rPr>
                        <w:rFonts w:hint="default" w:ascii="Times New Roman" w:hAnsi="Times New Roman" w:cs="Times New Roman"/>
                        <w:sz w:val="21"/>
                        <w:szCs w:val="21"/>
                        <w:lang w:eastAsia="zh-CN"/>
                      </w:rPr>
                      <w:fldChar w:fldCharType="end"/>
                    </w:r>
                  </w:p>
                </w:txbxContent>
              </v:textbox>
            </v:shape>
          </w:pict>
        </mc:Fallback>
      </mc:AlternateContent>
    </w:r>
    <w:r>
      <mc:AlternateContent>
        <mc:Choice Requires="wps">
          <w:drawing>
            <wp:anchor distT="0" distB="0" distL="114300" distR="114300" simplePos="0" relativeHeight="252054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ind w:firstLine="360"/>
                            <w:rPr>
                              <w:rFonts w:hint="default" w:ascii="Times New Roman" w:hAnsi="Times New Roman" w:cs="Times New Roman"/>
                              <w:sz w:val="21"/>
                              <w:szCs w:val="21"/>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54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6pebnPAAAA&#10;BQEAAA8AAAAAAAAAAQAgAAAAIgAAAGRycy9kb3ducmV2LnhtbFBLAQIUABQAAAAIAIdO4kBRQBRQ&#10;tAEAAF0DAAAOAAAAAAAAAAEAIAAAAB4BAABkcnMvZTJvRG9jLnhtbFBLBQYAAAAABgAGAFkBAABE&#10;BQAAAAA=&#10;">
              <v:fill on="f" focussize="0,0"/>
              <v:stroke on="f"/>
              <v:imagedata o:title=""/>
              <o:lock v:ext="edit" aspectratio="f"/>
              <v:textbox inset="0mm,0mm,0mm,0mm" style="mso-fit-shape-to-text:t;">
                <w:txbxContent>
                  <w:p>
                    <w:pPr>
                      <w:snapToGrid w:val="0"/>
                      <w:ind w:firstLine="360"/>
                      <w:rPr>
                        <w:rFonts w:hint="default" w:ascii="Times New Roman" w:hAnsi="Times New Roman" w:cs="Times New Roman"/>
                        <w:sz w:val="21"/>
                        <w:szCs w:val="21"/>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420"/>
      <w:rPr>
        <w:sz w:val="21"/>
        <w:szCs w:val="21"/>
      </w:rPr>
    </w:pPr>
  </w:p>
  <w:p>
    <w:pPr>
      <w:pStyle w:val="14"/>
      <w:ind w:firstLine="420"/>
      <w:rPr>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E5DEBB"/>
    <w:multiLevelType w:val="singleLevel"/>
    <w:tmpl w:val="87E5DEBB"/>
    <w:lvl w:ilvl="0" w:tentative="0">
      <w:start w:val="1"/>
      <w:numFmt w:val="decimal"/>
      <w:suff w:val="nothing"/>
      <w:lvlText w:val="（%1）"/>
      <w:lvlJc w:val="left"/>
    </w:lvl>
  </w:abstractNum>
  <w:abstractNum w:abstractNumId="1">
    <w:nsid w:val="8BBC3DD9"/>
    <w:multiLevelType w:val="singleLevel"/>
    <w:tmpl w:val="8BBC3DD9"/>
    <w:lvl w:ilvl="0" w:tentative="0">
      <w:start w:val="2"/>
      <w:numFmt w:val="decimal"/>
      <w:suff w:val="nothing"/>
      <w:lvlText w:val="%1）"/>
      <w:lvlJc w:val="left"/>
    </w:lvl>
  </w:abstractNum>
  <w:abstractNum w:abstractNumId="2">
    <w:nsid w:val="B2790E76"/>
    <w:multiLevelType w:val="singleLevel"/>
    <w:tmpl w:val="B2790E76"/>
    <w:lvl w:ilvl="0" w:tentative="0">
      <w:start w:val="1"/>
      <w:numFmt w:val="decimal"/>
      <w:suff w:val="space"/>
      <w:lvlText w:val="%1)"/>
      <w:lvlJc w:val="left"/>
    </w:lvl>
  </w:abstractNum>
  <w:abstractNum w:abstractNumId="3">
    <w:nsid w:val="F046714E"/>
    <w:multiLevelType w:val="singleLevel"/>
    <w:tmpl w:val="F046714E"/>
    <w:lvl w:ilvl="0" w:tentative="0">
      <w:start w:val="1"/>
      <w:numFmt w:val="decimal"/>
      <w:suff w:val="nothing"/>
      <w:lvlText w:val="（%1）"/>
      <w:lvlJc w:val="left"/>
    </w:lvl>
  </w:abstractNum>
  <w:abstractNum w:abstractNumId="4">
    <w:nsid w:val="0346EC03"/>
    <w:multiLevelType w:val="singleLevel"/>
    <w:tmpl w:val="0346EC03"/>
    <w:lvl w:ilvl="0" w:tentative="0">
      <w:start w:val="1"/>
      <w:numFmt w:val="decimal"/>
      <w:suff w:val="nothing"/>
      <w:lvlText w:val="（%1）"/>
      <w:lvlJc w:val="left"/>
    </w:lvl>
  </w:abstractNum>
  <w:abstractNum w:abstractNumId="5">
    <w:nsid w:val="1A862135"/>
    <w:multiLevelType w:val="singleLevel"/>
    <w:tmpl w:val="1A862135"/>
    <w:lvl w:ilvl="0" w:tentative="0">
      <w:start w:val="1"/>
      <w:numFmt w:val="decimal"/>
      <w:suff w:val="space"/>
      <w:lvlText w:val="(%1)"/>
      <w:lvlJc w:val="left"/>
    </w:lvl>
  </w:abstractNum>
  <w:abstractNum w:abstractNumId="6">
    <w:nsid w:val="2D2E713D"/>
    <w:multiLevelType w:val="multilevel"/>
    <w:tmpl w:val="2D2E713D"/>
    <w:lvl w:ilvl="0" w:tentative="0">
      <w:start w:val="1"/>
      <w:numFmt w:val="decimal"/>
      <w:pStyle w:val="19"/>
      <w:lvlText w:val="%1."/>
      <w:lvlJc w:val="left"/>
      <w:pPr>
        <w:ind w:left="3539"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7">
    <w:nsid w:val="529B834D"/>
    <w:multiLevelType w:val="singleLevel"/>
    <w:tmpl w:val="529B834D"/>
    <w:lvl w:ilvl="0" w:tentative="0">
      <w:start w:val="1"/>
      <w:numFmt w:val="decimal"/>
      <w:suff w:val="space"/>
      <w:lvlText w:val="(%1)"/>
      <w:lvlJc w:val="left"/>
    </w:lvl>
  </w:abstractNum>
  <w:abstractNum w:abstractNumId="8">
    <w:nsid w:val="5A2D4632"/>
    <w:multiLevelType w:val="singleLevel"/>
    <w:tmpl w:val="5A2D4632"/>
    <w:lvl w:ilvl="0" w:tentative="0">
      <w:start w:val="1"/>
      <w:numFmt w:val="decimal"/>
      <w:suff w:val="nothing"/>
      <w:lvlText w:val="（%1）"/>
      <w:lvlJc w:val="left"/>
    </w:lvl>
  </w:abstractNum>
  <w:abstractNum w:abstractNumId="9">
    <w:nsid w:val="5BC1402C"/>
    <w:multiLevelType w:val="multilevel"/>
    <w:tmpl w:val="5BC1402C"/>
    <w:lvl w:ilvl="0" w:tentative="0">
      <w:start w:val="1"/>
      <w:numFmt w:val="decimal"/>
      <w:suff w:val="space"/>
      <w:lvlText w:val="第%1章"/>
      <w:lvlJc w:val="left"/>
      <w:pPr>
        <w:ind w:left="0" w:firstLine="0"/>
      </w:pPr>
      <w:rPr>
        <w:rFonts w:hint="eastAsia" w:ascii="隶书" w:eastAsia="隶书"/>
        <w:b/>
        <w:bCs/>
        <w:i w:val="0"/>
        <w:iCs w:val="0"/>
        <w:sz w:val="44"/>
        <w:szCs w:val="44"/>
        <w:lang w:val="en-US"/>
      </w:rPr>
    </w:lvl>
    <w:lvl w:ilvl="1" w:tentative="0">
      <w:start w:val="1"/>
      <w:numFmt w:val="decimal"/>
      <w:pStyle w:val="145"/>
      <w:suff w:val="space"/>
      <w:lvlText w:val="%1.%2"/>
      <w:lvlJc w:val="left"/>
      <w:pPr>
        <w:ind w:left="0" w:firstLine="0"/>
      </w:pPr>
      <w:rPr>
        <w:rFonts w:hint="eastAsia" w:ascii="黑体" w:hAnsi="黑体" w:eastAsia="黑体"/>
        <w:b/>
        <w:bCs/>
        <w:i w:val="0"/>
        <w:iCs w:val="0"/>
        <w:sz w:val="30"/>
        <w:szCs w:val="30"/>
      </w:rPr>
    </w:lvl>
    <w:lvl w:ilvl="2" w:tentative="0">
      <w:start w:val="1"/>
      <w:numFmt w:val="decimal"/>
      <w:pStyle w:val="146"/>
      <w:suff w:val="space"/>
      <w:lvlText w:val="%1.%2.%3"/>
      <w:lvlJc w:val="left"/>
      <w:pPr>
        <w:ind w:left="142" w:firstLine="0"/>
      </w:pPr>
      <w:rPr>
        <w:rFonts w:hint="eastAsia" w:ascii="宋体" w:hAnsi="宋体" w:eastAsia="宋体" w:cs="Times New Roman"/>
        <w:i w:val="0"/>
        <w:iCs w:val="0"/>
        <w:caps w:val="0"/>
        <w:smallCaps w:val="0"/>
        <w:spacing w:val="0"/>
      </w:rPr>
    </w:lvl>
    <w:lvl w:ilvl="3" w:tentative="0">
      <w:start w:val="1"/>
      <w:numFmt w:val="decimal"/>
      <w:pStyle w:val="128"/>
      <w:suff w:val="space"/>
      <w:lvlText w:val="%1.%2.%3.%4"/>
      <w:lvlJc w:val="left"/>
      <w:pPr>
        <w:ind w:left="426" w:firstLine="0"/>
      </w:pPr>
      <w:rPr>
        <w:rFonts w:hint="eastAsia" w:ascii="宋体" w:hAnsi="宋体" w:eastAsia="宋体" w:cs="Times New Roman"/>
        <w:i w:val="0"/>
        <w:iCs w:val="0"/>
        <w:caps w:val="0"/>
        <w:smallCaps w:val="0"/>
        <w:spacing w:val="0"/>
      </w:rPr>
    </w:lvl>
    <w:lvl w:ilvl="4" w:tentative="0">
      <w:start w:val="0"/>
      <w:numFmt w:val="decimal"/>
      <w:lvlText w:val="%5."/>
      <w:lvlJc w:val="left"/>
      <w:pPr>
        <w:tabs>
          <w:tab w:val="left" w:pos="3600"/>
        </w:tabs>
        <w:ind w:left="3600" w:hanging="360"/>
      </w:pPr>
    </w:lvl>
    <w:lvl w:ilvl="5" w:tentative="0">
      <w:start w:val="0"/>
      <w:numFmt w:val="decimal"/>
      <w:lvlText w:val="%6."/>
      <w:lvlJc w:val="left"/>
      <w:pPr>
        <w:tabs>
          <w:tab w:val="left" w:pos="4320"/>
        </w:tabs>
        <w:ind w:left="4320" w:hanging="360"/>
      </w:pPr>
    </w:lvl>
    <w:lvl w:ilvl="6" w:tentative="0">
      <w:start w:val="0"/>
      <w:numFmt w:val="decimal"/>
      <w:lvlText w:val="%7."/>
      <w:lvlJc w:val="left"/>
      <w:pPr>
        <w:tabs>
          <w:tab w:val="left" w:pos="5040"/>
        </w:tabs>
        <w:ind w:left="5040" w:hanging="360"/>
      </w:pPr>
    </w:lvl>
    <w:lvl w:ilvl="7" w:tentative="0">
      <w:start w:val="0"/>
      <w:numFmt w:val="decimal"/>
      <w:lvlText w:val="%8."/>
      <w:lvlJc w:val="left"/>
      <w:pPr>
        <w:tabs>
          <w:tab w:val="left" w:pos="5760"/>
        </w:tabs>
        <w:ind w:left="5760" w:hanging="360"/>
      </w:pPr>
    </w:lvl>
    <w:lvl w:ilvl="8" w:tentative="0">
      <w:start w:val="0"/>
      <w:numFmt w:val="decimal"/>
      <w:lvlText w:val="%9."/>
      <w:lvlJc w:val="left"/>
      <w:pPr>
        <w:tabs>
          <w:tab w:val="left" w:pos="6480"/>
        </w:tabs>
        <w:ind w:left="6480" w:hanging="360"/>
      </w:pPr>
    </w:lvl>
  </w:abstractNum>
  <w:num w:numId="1">
    <w:abstractNumId w:val="6"/>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0"/>
    </w:lvlOverride>
    <w:lvlOverride w:ilvl="5">
      <w:startOverride w:val="0"/>
    </w:lvlOverride>
    <w:lvlOverride w:ilvl="6">
      <w:startOverride w:val="0"/>
    </w:lvlOverride>
    <w:lvlOverride w:ilvl="7">
      <w:startOverride w:val="0"/>
    </w:lvlOverride>
    <w:lvlOverride w:ilvl="8">
      <w:startOverride w:val="0"/>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0"/>
    </w:lvlOverride>
    <w:lvlOverride w:ilvl="5">
      <w:startOverride w:val="0"/>
    </w:lvlOverride>
    <w:lvlOverride w:ilvl="6">
      <w:startOverride w:val="0"/>
    </w:lvlOverride>
    <w:lvlOverride w:ilvl="7">
      <w:startOverride w:val="0"/>
    </w:lvlOverride>
    <w:lvlOverride w:ilvl="8">
      <w:startOverride w:val="0"/>
    </w:lvlOverride>
  </w:num>
  <w:num w:numId="4">
    <w:abstractNumId w:val="4"/>
  </w:num>
  <w:num w:numId="5">
    <w:abstractNumId w:val="8"/>
  </w:num>
  <w:num w:numId="6">
    <w:abstractNumId w:val="3"/>
  </w:num>
  <w:num w:numId="7">
    <w:abstractNumId w:val="7"/>
  </w:num>
  <w:num w:numId="8">
    <w:abstractNumId w:val="2"/>
  </w:num>
  <w:num w:numId="9">
    <w:abstractNumId w:val="0"/>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C00910"/>
    <w:rsid w:val="00CA5314"/>
    <w:rsid w:val="01C742E7"/>
    <w:rsid w:val="04195BF0"/>
    <w:rsid w:val="0463378B"/>
    <w:rsid w:val="07275C7E"/>
    <w:rsid w:val="08DA1C7B"/>
    <w:rsid w:val="0D636848"/>
    <w:rsid w:val="0E4A6CCF"/>
    <w:rsid w:val="10BC4CD2"/>
    <w:rsid w:val="10C00910"/>
    <w:rsid w:val="143E33E4"/>
    <w:rsid w:val="14BF2261"/>
    <w:rsid w:val="15BF35B3"/>
    <w:rsid w:val="15D34B5A"/>
    <w:rsid w:val="1C9F7DE6"/>
    <w:rsid w:val="1CF143CB"/>
    <w:rsid w:val="1D927C0D"/>
    <w:rsid w:val="1EB51BCD"/>
    <w:rsid w:val="1FDE4AD9"/>
    <w:rsid w:val="20130F6B"/>
    <w:rsid w:val="210D3804"/>
    <w:rsid w:val="25BC5C3F"/>
    <w:rsid w:val="26242C73"/>
    <w:rsid w:val="26FC5B7E"/>
    <w:rsid w:val="28430818"/>
    <w:rsid w:val="28636E9A"/>
    <w:rsid w:val="28CF4A92"/>
    <w:rsid w:val="29624505"/>
    <w:rsid w:val="2A3E50A7"/>
    <w:rsid w:val="2B811454"/>
    <w:rsid w:val="30623CFB"/>
    <w:rsid w:val="34275D21"/>
    <w:rsid w:val="345E1760"/>
    <w:rsid w:val="3501069E"/>
    <w:rsid w:val="375245F7"/>
    <w:rsid w:val="380C40A0"/>
    <w:rsid w:val="394C4798"/>
    <w:rsid w:val="3AB70AC2"/>
    <w:rsid w:val="3B310F1E"/>
    <w:rsid w:val="3C5A4E00"/>
    <w:rsid w:val="3E2F0E0E"/>
    <w:rsid w:val="3EA40B84"/>
    <w:rsid w:val="3F722DC6"/>
    <w:rsid w:val="406E3621"/>
    <w:rsid w:val="41BD6158"/>
    <w:rsid w:val="42D03A1B"/>
    <w:rsid w:val="441E58BE"/>
    <w:rsid w:val="4557474B"/>
    <w:rsid w:val="45C943BA"/>
    <w:rsid w:val="46A63028"/>
    <w:rsid w:val="481F55F5"/>
    <w:rsid w:val="49156695"/>
    <w:rsid w:val="4A267858"/>
    <w:rsid w:val="4E005D3F"/>
    <w:rsid w:val="4E1552AF"/>
    <w:rsid w:val="4F553698"/>
    <w:rsid w:val="4FB219DA"/>
    <w:rsid w:val="511659C2"/>
    <w:rsid w:val="513B6346"/>
    <w:rsid w:val="5212698E"/>
    <w:rsid w:val="526922E8"/>
    <w:rsid w:val="532B2E0B"/>
    <w:rsid w:val="53BC1AC8"/>
    <w:rsid w:val="57845F96"/>
    <w:rsid w:val="578805CA"/>
    <w:rsid w:val="59E42296"/>
    <w:rsid w:val="5AF01AE8"/>
    <w:rsid w:val="5B7C41F1"/>
    <w:rsid w:val="5DEF6B05"/>
    <w:rsid w:val="5E3E7B13"/>
    <w:rsid w:val="5E472026"/>
    <w:rsid w:val="6315508E"/>
    <w:rsid w:val="637A7B15"/>
    <w:rsid w:val="688C6F0A"/>
    <w:rsid w:val="693A74EC"/>
    <w:rsid w:val="695159BD"/>
    <w:rsid w:val="69CB164F"/>
    <w:rsid w:val="6A1B28E3"/>
    <w:rsid w:val="6BFA6414"/>
    <w:rsid w:val="6C7334BE"/>
    <w:rsid w:val="6E7F63BF"/>
    <w:rsid w:val="711B1553"/>
    <w:rsid w:val="718C2C06"/>
    <w:rsid w:val="71D614BC"/>
    <w:rsid w:val="738E4AC3"/>
    <w:rsid w:val="7459499B"/>
    <w:rsid w:val="76520565"/>
    <w:rsid w:val="78A65499"/>
    <w:rsid w:val="796B4AEC"/>
    <w:rsid w:val="7ACB0ACD"/>
    <w:rsid w:val="7AF54D2B"/>
    <w:rsid w:val="7B53658F"/>
    <w:rsid w:val="7EA41042"/>
    <w:rsid w:val="7FCF06E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lang w:val="zh-CN" w:eastAsia="zh-CN" w:bidi="zh-CN"/>
    </w:rPr>
  </w:style>
  <w:style w:type="paragraph" w:styleId="3">
    <w:name w:val="heading 1"/>
    <w:basedOn w:val="1"/>
    <w:next w:val="1"/>
    <w:link w:val="75"/>
    <w:qFormat/>
    <w:uiPriority w:val="0"/>
    <w:pPr>
      <w:keepNext/>
      <w:keepLines/>
      <w:spacing w:line="360" w:lineRule="auto"/>
      <w:jc w:val="left"/>
      <w:outlineLvl w:val="0"/>
    </w:pPr>
    <w:rPr>
      <w:rFonts w:ascii="Times New Roman" w:hAnsi="Times New Roman" w:eastAsia="宋体"/>
      <w:b/>
      <w:bCs/>
      <w:color w:val="000000"/>
      <w:kern w:val="44"/>
      <w:sz w:val="30"/>
      <w:szCs w:val="44"/>
    </w:rPr>
  </w:style>
  <w:style w:type="paragraph" w:styleId="4">
    <w:name w:val="heading 2"/>
    <w:basedOn w:val="1"/>
    <w:next w:val="1"/>
    <w:qFormat/>
    <w:uiPriority w:val="0"/>
    <w:pPr>
      <w:keepNext/>
      <w:keepLines/>
      <w:spacing w:line="360" w:lineRule="auto"/>
      <w:outlineLvl w:val="1"/>
    </w:pPr>
    <w:rPr>
      <w:rFonts w:ascii="Times New Roman" w:hAnsi="Times New Roman" w:eastAsia="宋体"/>
      <w:b/>
      <w:bCs/>
      <w:sz w:val="28"/>
      <w:szCs w:val="32"/>
    </w:rPr>
  </w:style>
  <w:style w:type="paragraph" w:styleId="5">
    <w:name w:val="heading 3"/>
    <w:basedOn w:val="1"/>
    <w:next w:val="1"/>
    <w:qFormat/>
    <w:uiPriority w:val="0"/>
    <w:pPr>
      <w:keepNext/>
      <w:keepLines/>
      <w:spacing w:line="360" w:lineRule="auto"/>
      <w:outlineLvl w:val="2"/>
    </w:pPr>
    <w:rPr>
      <w:rFonts w:ascii="Times New Roman" w:hAnsi="Times New Roman" w:eastAsia="宋体"/>
      <w:b/>
      <w:bCs/>
      <w:sz w:val="24"/>
      <w:szCs w:val="32"/>
    </w:rPr>
  </w:style>
  <w:style w:type="paragraph" w:styleId="6">
    <w:name w:val="heading 4"/>
    <w:basedOn w:val="1"/>
    <w:next w:val="7"/>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3">
    <w:name w:val="Default Paragraph Font"/>
    <w:semiHidden/>
    <w:qFormat/>
    <w:uiPriority w:val="0"/>
  </w:style>
  <w:style w:type="table" w:default="1" w:styleId="21">
    <w:name w:val="Normal Table"/>
    <w:semiHidden/>
    <w:qFormat/>
    <w:uiPriority w:val="0"/>
    <w:tblPr>
      <w:tblLayout w:type="fixed"/>
      <w:tblCellMar>
        <w:top w:w="0" w:type="dxa"/>
        <w:left w:w="108" w:type="dxa"/>
        <w:bottom w:w="0" w:type="dxa"/>
        <w:right w:w="108" w:type="dxa"/>
      </w:tblCellMar>
    </w:tblPr>
  </w:style>
  <w:style w:type="paragraph" w:customStyle="1" w:styleId="2">
    <w:name w:val="表格内"/>
    <w:basedOn w:val="1"/>
    <w:qFormat/>
    <w:uiPriority w:val="0"/>
    <w:pPr>
      <w:adjustRightInd w:val="0"/>
      <w:snapToGrid w:val="0"/>
      <w:spacing w:line="360" w:lineRule="exact"/>
      <w:jc w:val="center"/>
    </w:pPr>
    <w:rPr>
      <w:rFonts w:ascii="Times New Roman" w:hAnsi="Times New Roman" w:cs="Times New Roman"/>
      <w:snapToGrid w:val="0"/>
      <w:kern w:val="0"/>
      <w:szCs w:val="21"/>
    </w:rPr>
  </w:style>
  <w:style w:type="paragraph" w:styleId="7">
    <w:name w:val="Normal Indent"/>
    <w:basedOn w:val="1"/>
    <w:qFormat/>
    <w:uiPriority w:val="0"/>
    <w:pPr>
      <w:adjustRightInd w:val="0"/>
      <w:spacing w:line="360" w:lineRule="atLeast"/>
      <w:ind w:firstLine="420"/>
      <w:jc w:val="left"/>
      <w:textAlignment w:val="baseline"/>
    </w:pPr>
    <w:rPr>
      <w:kern w:val="0"/>
      <w:sz w:val="24"/>
      <w:szCs w:val="24"/>
    </w:rPr>
  </w:style>
  <w:style w:type="paragraph" w:styleId="8">
    <w:name w:val="caption"/>
    <w:basedOn w:val="1"/>
    <w:next w:val="1"/>
    <w:qFormat/>
    <w:uiPriority w:val="0"/>
    <w:pPr>
      <w:spacing w:line="360" w:lineRule="auto"/>
      <w:ind w:firstLine="200" w:firstLineChars="200"/>
    </w:pPr>
    <w:rPr>
      <w:rFonts w:ascii="Cambria" w:hAnsi="Cambria" w:eastAsia="黑体" w:cs="Times New Roman"/>
      <w:sz w:val="20"/>
      <w:szCs w:val="20"/>
    </w:rPr>
  </w:style>
  <w:style w:type="paragraph" w:styleId="9">
    <w:name w:val="annotation text"/>
    <w:basedOn w:val="1"/>
    <w:qFormat/>
    <w:uiPriority w:val="0"/>
    <w:pPr>
      <w:jc w:val="left"/>
    </w:pPr>
  </w:style>
  <w:style w:type="paragraph" w:styleId="10">
    <w:name w:val="Body Text"/>
    <w:basedOn w:val="1"/>
    <w:qFormat/>
    <w:uiPriority w:val="1"/>
    <w:pPr>
      <w:spacing w:before="157"/>
      <w:ind w:left="589"/>
    </w:pPr>
    <w:rPr>
      <w:rFonts w:ascii="宋体" w:hAnsi="宋体" w:eastAsia="宋体"/>
      <w:sz w:val="24"/>
      <w:szCs w:val="24"/>
    </w:rPr>
  </w:style>
  <w:style w:type="paragraph" w:styleId="11">
    <w:name w:val="Body Text Indent"/>
    <w:basedOn w:val="1"/>
    <w:qFormat/>
    <w:uiPriority w:val="0"/>
    <w:pPr>
      <w:adjustRightInd w:val="0"/>
      <w:spacing w:after="120" w:line="360" w:lineRule="atLeast"/>
      <w:ind w:left="420" w:leftChars="200"/>
      <w:textAlignment w:val="baseline"/>
    </w:pPr>
    <w:rPr>
      <w:rFonts w:ascii="Times New Roman" w:hAnsi="Times New Roman"/>
      <w:szCs w:val="20"/>
    </w:rPr>
  </w:style>
  <w:style w:type="paragraph" w:styleId="12">
    <w:name w:val="Plain Text"/>
    <w:basedOn w:val="1"/>
    <w:qFormat/>
    <w:uiPriority w:val="99"/>
    <w:rPr>
      <w:rFonts w:ascii="宋体" w:hAnsi="Courier New"/>
      <w:szCs w:val="20"/>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List"/>
    <w:basedOn w:val="1"/>
    <w:unhideWhenUsed/>
    <w:qFormat/>
    <w:uiPriority w:val="99"/>
    <w:pPr>
      <w:ind w:left="200" w:hanging="200" w:hangingChars="200"/>
      <w:contextualSpacing/>
    </w:pPr>
  </w:style>
  <w:style w:type="paragraph" w:styleId="17">
    <w:name w:val="toc 2"/>
    <w:basedOn w:val="1"/>
    <w:next w:val="1"/>
    <w:qFormat/>
    <w:uiPriority w:val="0"/>
    <w:pPr>
      <w:ind w:left="420" w:leftChars="200"/>
    </w:pPr>
  </w:style>
  <w:style w:type="paragraph" w:styleId="18">
    <w:name w:val="Body Text 2"/>
    <w:basedOn w:val="1"/>
    <w:qFormat/>
    <w:uiPriority w:val="0"/>
    <w:pPr>
      <w:spacing w:before="60" w:line="520" w:lineRule="exact"/>
    </w:pPr>
    <w:rPr>
      <w:rFonts w:ascii="宋体" w:hAnsi="Times New Roman"/>
      <w:spacing w:val="8"/>
      <w:sz w:val="28"/>
      <w:szCs w:val="20"/>
    </w:rPr>
  </w:style>
  <w:style w:type="paragraph" w:styleId="19">
    <w:name w:val="Title"/>
    <w:basedOn w:val="1"/>
    <w:next w:val="1"/>
    <w:qFormat/>
    <w:uiPriority w:val="10"/>
    <w:pPr>
      <w:widowControl/>
      <w:numPr>
        <w:ilvl w:val="0"/>
        <w:numId w:val="1"/>
      </w:numPr>
      <w:snapToGrid/>
      <w:spacing w:line="360" w:lineRule="auto"/>
      <w:jc w:val="center"/>
      <w:outlineLvl w:val="0"/>
    </w:pPr>
    <w:rPr>
      <w:rFonts w:ascii="Calibri Light" w:hAnsi="Calibri Light" w:eastAsia="黑体"/>
      <w:b/>
      <w:bCs/>
      <w:sz w:val="32"/>
      <w:szCs w:val="32"/>
    </w:rPr>
  </w:style>
  <w:style w:type="paragraph" w:styleId="20">
    <w:name w:val="Body Text First Indent"/>
    <w:basedOn w:val="10"/>
    <w:unhideWhenUsed/>
    <w:qFormat/>
    <w:uiPriority w:val="99"/>
    <w:pPr>
      <w:ind w:firstLine="420" w:firstLineChars="1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4">
    <w:name w:val="Header or footer|11"/>
    <w:basedOn w:val="1"/>
    <w:link w:val="26"/>
    <w:qFormat/>
    <w:uiPriority w:val="0"/>
    <w:pPr>
      <w:widowControl w:val="0"/>
      <w:shd w:val="clear" w:color="auto" w:fill="FFFFFF"/>
      <w:spacing w:line="160" w:lineRule="exact"/>
    </w:pPr>
    <w:rPr>
      <w:rFonts w:ascii="PMingLiU" w:hAnsi="PMingLiU" w:eastAsia="PMingLiU" w:cs="PMingLiU"/>
      <w:b/>
      <w:bCs/>
      <w:spacing w:val="10"/>
      <w:sz w:val="16"/>
      <w:szCs w:val="16"/>
      <w:u w:val="none"/>
    </w:rPr>
  </w:style>
  <w:style w:type="character" w:customStyle="1" w:styleId="25">
    <w:name w:val="Header or footer|1"/>
    <w:basedOn w:val="26"/>
    <w:unhideWhenUsed/>
    <w:qFormat/>
    <w:uiPriority w:val="0"/>
    <w:rPr>
      <w:color w:val="000000"/>
      <w:w w:val="100"/>
      <w:position w:val="0"/>
      <w:lang w:val="zh-CN" w:eastAsia="zh-CN" w:bidi="zh-CN"/>
    </w:rPr>
  </w:style>
  <w:style w:type="character" w:customStyle="1" w:styleId="26">
    <w:name w:val="Header or footer|1_"/>
    <w:basedOn w:val="23"/>
    <w:link w:val="24"/>
    <w:qFormat/>
    <w:uiPriority w:val="0"/>
    <w:rPr>
      <w:rFonts w:ascii="PMingLiU" w:hAnsi="PMingLiU" w:eastAsia="PMingLiU" w:cs="PMingLiU"/>
      <w:b/>
      <w:bCs/>
      <w:spacing w:val="10"/>
      <w:sz w:val="16"/>
      <w:szCs w:val="16"/>
      <w:u w:val="none"/>
    </w:rPr>
  </w:style>
  <w:style w:type="character" w:customStyle="1" w:styleId="27">
    <w:name w:val="Header or footer|1 + Not Bold"/>
    <w:basedOn w:val="26"/>
    <w:unhideWhenUsed/>
    <w:qFormat/>
    <w:uiPriority w:val="0"/>
    <w:rPr>
      <w:color w:val="000000"/>
      <w:w w:val="100"/>
      <w:position w:val="0"/>
      <w:lang w:val="zh-CN" w:eastAsia="zh-CN" w:bidi="zh-CN"/>
    </w:rPr>
  </w:style>
  <w:style w:type="paragraph" w:customStyle="1" w:styleId="28">
    <w:name w:val="图后正文"/>
    <w:basedOn w:val="1"/>
    <w:qFormat/>
    <w:uiPriority w:val="0"/>
    <w:pPr>
      <w:widowControl/>
      <w:spacing w:line="360" w:lineRule="auto"/>
      <w:ind w:firstLine="200" w:firstLineChars="200"/>
      <w:jc w:val="center"/>
    </w:pPr>
    <w:rPr>
      <w:rFonts w:ascii="宋体"/>
      <w:sz w:val="24"/>
      <w:szCs w:val="24"/>
    </w:rPr>
  </w:style>
  <w:style w:type="paragraph" w:customStyle="1" w:styleId="29">
    <w:name w:val="Body text|3"/>
    <w:basedOn w:val="1"/>
    <w:link w:val="31"/>
    <w:qFormat/>
    <w:uiPriority w:val="0"/>
    <w:pPr>
      <w:widowControl w:val="0"/>
      <w:shd w:val="clear" w:color="auto" w:fill="FFFFFF"/>
      <w:spacing w:after="320" w:line="300" w:lineRule="exact"/>
      <w:jc w:val="center"/>
    </w:pPr>
    <w:rPr>
      <w:rFonts w:ascii="PMingLiU" w:hAnsi="PMingLiU" w:eastAsia="PMingLiU" w:cs="PMingLiU"/>
      <w:sz w:val="30"/>
      <w:szCs w:val="30"/>
      <w:u w:val="none"/>
    </w:rPr>
  </w:style>
  <w:style w:type="character" w:customStyle="1" w:styleId="30">
    <w:name w:val="Body text|3 + Spacing 2 pt"/>
    <w:basedOn w:val="31"/>
    <w:unhideWhenUsed/>
    <w:qFormat/>
    <w:uiPriority w:val="0"/>
    <w:rPr>
      <w:color w:val="000000"/>
      <w:spacing w:val="50"/>
      <w:w w:val="100"/>
      <w:position w:val="0"/>
      <w:lang w:val="zh-CN" w:eastAsia="zh-CN" w:bidi="zh-CN"/>
    </w:rPr>
  </w:style>
  <w:style w:type="character" w:customStyle="1" w:styleId="31">
    <w:name w:val="Body text|3_"/>
    <w:basedOn w:val="23"/>
    <w:link w:val="29"/>
    <w:qFormat/>
    <w:uiPriority w:val="0"/>
    <w:rPr>
      <w:rFonts w:ascii="PMingLiU" w:hAnsi="PMingLiU" w:eastAsia="PMingLiU" w:cs="PMingLiU"/>
      <w:sz w:val="30"/>
      <w:szCs w:val="30"/>
      <w:u w:val="none"/>
    </w:rPr>
  </w:style>
  <w:style w:type="paragraph" w:customStyle="1" w:styleId="32">
    <w:name w:val="Heading #5|1"/>
    <w:basedOn w:val="1"/>
    <w:link w:val="60"/>
    <w:qFormat/>
    <w:uiPriority w:val="0"/>
    <w:pPr>
      <w:widowControl w:val="0"/>
      <w:shd w:val="clear" w:color="auto" w:fill="FFFFFF"/>
      <w:spacing w:before="320" w:after="320" w:line="260" w:lineRule="exact"/>
      <w:jc w:val="both"/>
      <w:outlineLvl w:val="4"/>
    </w:pPr>
    <w:rPr>
      <w:rFonts w:ascii="PMingLiU" w:hAnsi="PMingLiU" w:eastAsia="PMingLiU" w:cs="PMingLiU"/>
      <w:spacing w:val="20"/>
      <w:sz w:val="26"/>
      <w:szCs w:val="26"/>
      <w:u w:val="none"/>
    </w:rPr>
  </w:style>
  <w:style w:type="paragraph" w:customStyle="1" w:styleId="33">
    <w:name w:val="Body text|211"/>
    <w:basedOn w:val="1"/>
    <w:link w:val="35"/>
    <w:qFormat/>
    <w:uiPriority w:val="0"/>
    <w:pPr>
      <w:widowControl w:val="0"/>
      <w:shd w:val="clear" w:color="auto" w:fill="FFFFFF"/>
      <w:spacing w:before="320" w:line="461" w:lineRule="exact"/>
      <w:ind w:hanging="540"/>
      <w:jc w:val="distribute"/>
    </w:pPr>
    <w:rPr>
      <w:rFonts w:ascii="PMingLiU" w:hAnsi="PMingLiU" w:eastAsia="PMingLiU" w:cs="PMingLiU"/>
      <w:spacing w:val="10"/>
      <w:sz w:val="22"/>
      <w:szCs w:val="22"/>
      <w:u w:val="none"/>
    </w:rPr>
  </w:style>
  <w:style w:type="character" w:customStyle="1" w:styleId="34">
    <w:name w:val="Body text|2 + SimSun"/>
    <w:basedOn w:val="35"/>
    <w:unhideWhenUsed/>
    <w:qFormat/>
    <w:uiPriority w:val="0"/>
    <w:rPr>
      <w:rFonts w:ascii="宋体" w:hAnsi="宋体" w:eastAsia="宋体" w:cs="宋体"/>
      <w:color w:val="000000"/>
      <w:spacing w:val="0"/>
      <w:w w:val="100"/>
      <w:position w:val="0"/>
      <w:sz w:val="23"/>
      <w:szCs w:val="23"/>
      <w:lang w:val="en-US" w:eastAsia="en-US" w:bidi="en-US"/>
    </w:rPr>
  </w:style>
  <w:style w:type="character" w:customStyle="1" w:styleId="35">
    <w:name w:val="Body text|2_"/>
    <w:basedOn w:val="23"/>
    <w:link w:val="33"/>
    <w:qFormat/>
    <w:uiPriority w:val="0"/>
    <w:rPr>
      <w:rFonts w:ascii="PMingLiU" w:hAnsi="PMingLiU" w:eastAsia="PMingLiU" w:cs="PMingLiU"/>
      <w:spacing w:val="10"/>
      <w:sz w:val="22"/>
      <w:szCs w:val="22"/>
      <w:u w:val="none"/>
    </w:rPr>
  </w:style>
  <w:style w:type="character" w:customStyle="1" w:styleId="36">
    <w:name w:val="Body text|2 + Times New Roman"/>
    <w:basedOn w:val="35"/>
    <w:unhideWhenUsed/>
    <w:qFormat/>
    <w:uiPriority w:val="0"/>
    <w:rPr>
      <w:rFonts w:ascii="Times New Roman" w:hAnsi="Times New Roman" w:eastAsia="Times New Roman" w:cs="Times New Roman"/>
      <w:color w:val="000000"/>
      <w:w w:val="100"/>
      <w:position w:val="0"/>
      <w:sz w:val="24"/>
      <w:szCs w:val="24"/>
      <w:lang w:val="zh-CN" w:eastAsia="zh-CN" w:bidi="zh-CN"/>
    </w:rPr>
  </w:style>
  <w:style w:type="character" w:customStyle="1" w:styleId="37">
    <w:name w:val="Body text|2 + Bold"/>
    <w:basedOn w:val="35"/>
    <w:unhideWhenUsed/>
    <w:qFormat/>
    <w:uiPriority w:val="0"/>
    <w:rPr>
      <w:b/>
      <w:bCs/>
      <w:color w:val="000000"/>
      <w:spacing w:val="0"/>
      <w:w w:val="100"/>
      <w:position w:val="0"/>
      <w:lang w:val="en-US" w:eastAsia="en-US" w:bidi="en-US"/>
    </w:rPr>
  </w:style>
  <w:style w:type="character" w:customStyle="1" w:styleId="38">
    <w:name w:val="Body text|2 + 10 pt"/>
    <w:basedOn w:val="35"/>
    <w:unhideWhenUsed/>
    <w:qFormat/>
    <w:uiPriority w:val="0"/>
    <w:rPr>
      <w:color w:val="000000"/>
      <w:spacing w:val="0"/>
      <w:w w:val="100"/>
      <w:position w:val="0"/>
      <w:sz w:val="20"/>
      <w:szCs w:val="20"/>
      <w:lang w:val="en-US" w:eastAsia="en-US" w:bidi="en-US"/>
    </w:rPr>
  </w:style>
  <w:style w:type="paragraph" w:customStyle="1" w:styleId="39">
    <w:name w:val="Heading #4|1"/>
    <w:basedOn w:val="1"/>
    <w:link w:val="111"/>
    <w:qFormat/>
    <w:uiPriority w:val="0"/>
    <w:pPr>
      <w:widowControl w:val="0"/>
      <w:shd w:val="clear" w:color="auto" w:fill="FFFFFF"/>
      <w:spacing w:before="320" w:after="320" w:line="260" w:lineRule="exact"/>
      <w:outlineLvl w:val="3"/>
    </w:pPr>
    <w:rPr>
      <w:rFonts w:ascii="PMingLiU" w:hAnsi="PMingLiU" w:eastAsia="PMingLiU" w:cs="PMingLiU"/>
      <w:spacing w:val="20"/>
      <w:sz w:val="26"/>
      <w:szCs w:val="26"/>
      <w:u w:val="none"/>
    </w:rPr>
  </w:style>
  <w:style w:type="paragraph" w:customStyle="1" w:styleId="40">
    <w:name w:val="Body text|5"/>
    <w:basedOn w:val="1"/>
    <w:link w:val="64"/>
    <w:qFormat/>
    <w:uiPriority w:val="0"/>
    <w:pPr>
      <w:widowControl w:val="0"/>
      <w:shd w:val="clear" w:color="auto" w:fill="FFFFFF"/>
      <w:spacing w:before="140" w:line="200" w:lineRule="exact"/>
      <w:jc w:val="distribute"/>
    </w:pPr>
    <w:rPr>
      <w:rFonts w:ascii="PMingLiU" w:hAnsi="PMingLiU" w:eastAsia="PMingLiU" w:cs="PMingLiU"/>
      <w:sz w:val="20"/>
      <w:szCs w:val="20"/>
      <w:u w:val="none"/>
    </w:rPr>
  </w:style>
  <w:style w:type="character" w:customStyle="1" w:styleId="41">
    <w:name w:val="Body text|2 + 8.5 pt"/>
    <w:basedOn w:val="35"/>
    <w:unhideWhenUsed/>
    <w:qFormat/>
    <w:uiPriority w:val="0"/>
    <w:rPr>
      <w:color w:val="000000"/>
      <w:spacing w:val="0"/>
      <w:w w:val="100"/>
      <w:position w:val="0"/>
      <w:sz w:val="17"/>
      <w:szCs w:val="17"/>
      <w:lang w:val="zh-CN" w:eastAsia="zh-CN" w:bidi="zh-CN"/>
    </w:rPr>
  </w:style>
  <w:style w:type="paragraph" w:customStyle="1" w:styleId="42">
    <w:name w:val="Table caption|1"/>
    <w:basedOn w:val="1"/>
    <w:link w:val="46"/>
    <w:qFormat/>
    <w:uiPriority w:val="0"/>
    <w:pPr>
      <w:widowControl w:val="0"/>
      <w:shd w:val="clear" w:color="auto" w:fill="FFFFFF"/>
      <w:spacing w:line="220" w:lineRule="exact"/>
      <w:ind w:hanging="500"/>
    </w:pPr>
    <w:rPr>
      <w:rFonts w:ascii="PMingLiU" w:hAnsi="PMingLiU" w:eastAsia="PMingLiU" w:cs="PMingLiU"/>
      <w:spacing w:val="10"/>
      <w:sz w:val="22"/>
      <w:szCs w:val="22"/>
      <w:u w:val="none"/>
    </w:rPr>
  </w:style>
  <w:style w:type="character" w:customStyle="1" w:styleId="43">
    <w:name w:val="Body text|2 + 8 pt"/>
    <w:basedOn w:val="35"/>
    <w:unhideWhenUsed/>
    <w:qFormat/>
    <w:uiPriority w:val="0"/>
    <w:rPr>
      <w:color w:val="000000"/>
      <w:spacing w:val="40"/>
      <w:w w:val="100"/>
      <w:position w:val="0"/>
      <w:sz w:val="16"/>
      <w:szCs w:val="16"/>
      <w:lang w:val="zh-CN" w:eastAsia="zh-CN" w:bidi="zh-CN"/>
    </w:rPr>
  </w:style>
  <w:style w:type="paragraph" w:customStyle="1" w:styleId="44">
    <w:name w:val="Table caption|2"/>
    <w:basedOn w:val="1"/>
    <w:qFormat/>
    <w:uiPriority w:val="0"/>
    <w:pPr>
      <w:widowControl w:val="0"/>
      <w:shd w:val="clear" w:color="auto" w:fill="FFFFFF"/>
      <w:spacing w:line="200" w:lineRule="exact"/>
      <w:jc w:val="distribute"/>
    </w:pPr>
    <w:rPr>
      <w:rFonts w:ascii="PMingLiU" w:hAnsi="PMingLiU" w:eastAsia="PMingLiU" w:cs="PMingLiU"/>
      <w:sz w:val="20"/>
      <w:szCs w:val="20"/>
      <w:u w:val="none"/>
    </w:rPr>
  </w:style>
  <w:style w:type="character" w:customStyle="1" w:styleId="45">
    <w:name w:val="Table caption|1 + SimSun"/>
    <w:basedOn w:val="46"/>
    <w:unhideWhenUsed/>
    <w:qFormat/>
    <w:uiPriority w:val="0"/>
    <w:rPr>
      <w:rFonts w:ascii="宋体" w:hAnsi="宋体" w:eastAsia="宋体" w:cs="宋体"/>
      <w:color w:val="000000"/>
      <w:spacing w:val="0"/>
      <w:w w:val="100"/>
      <w:position w:val="0"/>
      <w:sz w:val="23"/>
      <w:szCs w:val="23"/>
      <w:lang w:val="en-US" w:eastAsia="en-US" w:bidi="en-US"/>
    </w:rPr>
  </w:style>
  <w:style w:type="character" w:customStyle="1" w:styleId="46">
    <w:name w:val="Table caption|1_"/>
    <w:basedOn w:val="23"/>
    <w:link w:val="42"/>
    <w:qFormat/>
    <w:uiPriority w:val="0"/>
    <w:rPr>
      <w:rFonts w:ascii="PMingLiU" w:hAnsi="PMingLiU" w:eastAsia="PMingLiU" w:cs="PMingLiU"/>
      <w:spacing w:val="10"/>
      <w:sz w:val="22"/>
      <w:szCs w:val="22"/>
      <w:u w:val="none"/>
    </w:rPr>
  </w:style>
  <w:style w:type="character" w:customStyle="1" w:styleId="47">
    <w:name w:val="Table caption|1 + 10 pt"/>
    <w:basedOn w:val="46"/>
    <w:unhideWhenUsed/>
    <w:qFormat/>
    <w:uiPriority w:val="0"/>
    <w:rPr>
      <w:color w:val="000000"/>
      <w:spacing w:val="0"/>
      <w:w w:val="100"/>
      <w:position w:val="0"/>
      <w:sz w:val="20"/>
      <w:szCs w:val="20"/>
      <w:lang w:val="zh-CN" w:eastAsia="zh-CN" w:bidi="zh-CN"/>
    </w:rPr>
  </w:style>
  <w:style w:type="paragraph" w:customStyle="1" w:styleId="48">
    <w:name w:val="Table caption|3"/>
    <w:basedOn w:val="1"/>
    <w:qFormat/>
    <w:uiPriority w:val="0"/>
    <w:pPr>
      <w:widowControl w:val="0"/>
      <w:shd w:val="clear" w:color="auto" w:fill="FFFFFF"/>
      <w:spacing w:before="160" w:line="170" w:lineRule="exact"/>
      <w:jc w:val="distribute"/>
    </w:pPr>
    <w:rPr>
      <w:rFonts w:ascii="PMingLiU" w:hAnsi="PMingLiU" w:eastAsia="PMingLiU" w:cs="PMingLiU"/>
      <w:sz w:val="17"/>
      <w:szCs w:val="17"/>
      <w:u w:val="none"/>
    </w:rPr>
  </w:style>
  <w:style w:type="paragraph" w:customStyle="1" w:styleId="49">
    <w:name w:val="正文 楷体"/>
    <w:basedOn w:val="1"/>
    <w:qFormat/>
    <w:uiPriority w:val="0"/>
    <w:pPr>
      <w:spacing w:line="500" w:lineRule="exact"/>
      <w:ind w:firstLine="200" w:firstLineChars="200"/>
    </w:pPr>
    <w:rPr>
      <w:rFonts w:ascii="楷体_GB2312" w:hAnsi="楷体_GB2312" w:eastAsia="楷体_GB2312"/>
      <w:kern w:val="0"/>
      <w:sz w:val="24"/>
      <w:szCs w:val="24"/>
    </w:rPr>
  </w:style>
  <w:style w:type="paragraph" w:customStyle="1" w:styleId="50">
    <w:name w:val="表内文字"/>
    <w:basedOn w:val="1"/>
    <w:qFormat/>
    <w:uiPriority w:val="0"/>
    <w:pPr>
      <w:adjustRightInd w:val="0"/>
      <w:spacing w:line="240" w:lineRule="auto"/>
      <w:ind w:firstLine="0" w:firstLineChars="0"/>
      <w:jc w:val="center"/>
      <w:textAlignment w:val="auto"/>
    </w:pPr>
    <w:rPr>
      <w:rFonts w:cs="Calibri"/>
      <w:sz w:val="21"/>
    </w:rPr>
  </w:style>
  <w:style w:type="paragraph" w:styleId="51">
    <w:name w:val="No Spacing"/>
    <w:basedOn w:val="16"/>
    <w:next w:val="16"/>
    <w:qFormat/>
    <w:uiPriority w:val="1"/>
    <w:pPr>
      <w:spacing w:line="240" w:lineRule="auto"/>
      <w:ind w:left="0" w:firstLine="0" w:firstLineChars="0"/>
      <w:jc w:val="center"/>
    </w:pPr>
    <w:rPr>
      <w:rFonts w:cs="宋体"/>
      <w:sz w:val="21"/>
    </w:rPr>
  </w:style>
  <w:style w:type="paragraph" w:customStyle="1" w:styleId="52">
    <w:name w:val="列出段落1"/>
    <w:basedOn w:val="1"/>
    <w:qFormat/>
    <w:uiPriority w:val="34"/>
    <w:pPr>
      <w:ind w:firstLine="420" w:firstLineChars="200"/>
    </w:pPr>
    <w:rPr>
      <w:rFonts w:cs="黑体"/>
    </w:rPr>
  </w:style>
  <w:style w:type="character" w:customStyle="1" w:styleId="53">
    <w:name w:val="Body text|2 + 4 pt"/>
    <w:basedOn w:val="35"/>
    <w:unhideWhenUsed/>
    <w:qFormat/>
    <w:uiPriority w:val="0"/>
    <w:rPr>
      <w:color w:val="000000"/>
      <w:spacing w:val="0"/>
      <w:w w:val="100"/>
      <w:position w:val="0"/>
      <w:sz w:val="8"/>
      <w:szCs w:val="8"/>
      <w:lang w:val="zh-CN" w:eastAsia="zh-CN" w:bidi="zh-CN"/>
    </w:rPr>
  </w:style>
  <w:style w:type="character" w:customStyle="1" w:styleId="54">
    <w:name w:val="Body text|2 + 6 pt"/>
    <w:basedOn w:val="35"/>
    <w:unhideWhenUsed/>
    <w:qFormat/>
    <w:uiPriority w:val="0"/>
    <w:rPr>
      <w:i/>
      <w:iCs/>
      <w:color w:val="000000"/>
      <w:spacing w:val="0"/>
      <w:w w:val="150"/>
      <w:position w:val="0"/>
      <w:sz w:val="12"/>
      <w:szCs w:val="12"/>
      <w:lang w:val="zh-CN" w:eastAsia="zh-CN" w:bidi="zh-CN"/>
    </w:rPr>
  </w:style>
  <w:style w:type="paragraph" w:customStyle="1" w:styleId="5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6">
    <w:name w:val="Body text|3 + 13 pt"/>
    <w:basedOn w:val="31"/>
    <w:unhideWhenUsed/>
    <w:qFormat/>
    <w:uiPriority w:val="0"/>
    <w:rPr>
      <w:color w:val="000000"/>
      <w:spacing w:val="40"/>
      <w:w w:val="100"/>
      <w:position w:val="0"/>
      <w:sz w:val="26"/>
      <w:szCs w:val="26"/>
      <w:lang w:val="en-US" w:eastAsia="en-US" w:bidi="en-US"/>
    </w:rPr>
  </w:style>
  <w:style w:type="character" w:customStyle="1" w:styleId="57">
    <w:name w:val="Body text|2 + 7 pt"/>
    <w:basedOn w:val="35"/>
    <w:unhideWhenUsed/>
    <w:qFormat/>
    <w:uiPriority w:val="0"/>
    <w:rPr>
      <w:color w:val="000000"/>
      <w:spacing w:val="70"/>
      <w:w w:val="100"/>
      <w:position w:val="0"/>
      <w:sz w:val="14"/>
      <w:szCs w:val="14"/>
      <w:lang w:val="zh-CN" w:eastAsia="zh-CN" w:bidi="zh-CN"/>
    </w:rPr>
  </w:style>
  <w:style w:type="paragraph" w:customStyle="1" w:styleId="58">
    <w:name w:val="Footnote|1"/>
    <w:basedOn w:val="1"/>
    <w:link w:val="66"/>
    <w:qFormat/>
    <w:uiPriority w:val="0"/>
    <w:pPr>
      <w:widowControl w:val="0"/>
      <w:shd w:val="clear" w:color="auto" w:fill="FFFFFF"/>
      <w:spacing w:line="220" w:lineRule="exact"/>
    </w:pPr>
    <w:rPr>
      <w:rFonts w:ascii="PMingLiU" w:hAnsi="PMingLiU" w:eastAsia="PMingLiU" w:cs="PMingLiU"/>
      <w:spacing w:val="10"/>
      <w:sz w:val="22"/>
      <w:szCs w:val="22"/>
      <w:u w:val="none"/>
    </w:rPr>
  </w:style>
  <w:style w:type="character" w:customStyle="1" w:styleId="59">
    <w:name w:val="Heading #5|1 + 11 pt"/>
    <w:basedOn w:val="60"/>
    <w:unhideWhenUsed/>
    <w:qFormat/>
    <w:uiPriority w:val="0"/>
    <w:rPr>
      <w:color w:val="000000"/>
      <w:spacing w:val="10"/>
      <w:w w:val="100"/>
      <w:position w:val="0"/>
      <w:sz w:val="22"/>
      <w:szCs w:val="22"/>
      <w:lang w:val="zh-CN" w:eastAsia="zh-CN" w:bidi="zh-CN"/>
    </w:rPr>
  </w:style>
  <w:style w:type="character" w:customStyle="1" w:styleId="60">
    <w:name w:val="Heading #5|1_"/>
    <w:basedOn w:val="23"/>
    <w:link w:val="32"/>
    <w:qFormat/>
    <w:uiPriority w:val="0"/>
    <w:rPr>
      <w:rFonts w:ascii="PMingLiU" w:hAnsi="PMingLiU" w:eastAsia="PMingLiU" w:cs="PMingLiU"/>
      <w:spacing w:val="20"/>
      <w:sz w:val="26"/>
      <w:szCs w:val="26"/>
      <w:u w:val="none"/>
    </w:rPr>
  </w:style>
  <w:style w:type="character" w:customStyle="1" w:styleId="61">
    <w:name w:val="Body text|2 + 10.5 pt"/>
    <w:basedOn w:val="35"/>
    <w:unhideWhenUsed/>
    <w:qFormat/>
    <w:uiPriority w:val="0"/>
    <w:rPr>
      <w:i/>
      <w:iCs/>
      <w:color w:val="000000"/>
      <w:spacing w:val="0"/>
      <w:w w:val="100"/>
      <w:position w:val="0"/>
      <w:sz w:val="21"/>
      <w:szCs w:val="21"/>
      <w:lang w:val="zh-CN" w:eastAsia="zh-CN" w:bidi="zh-CN"/>
    </w:rPr>
  </w:style>
  <w:style w:type="character" w:customStyle="1" w:styleId="62">
    <w:name w:val="Body text|2 + Spacing 4 pt"/>
    <w:basedOn w:val="35"/>
    <w:unhideWhenUsed/>
    <w:qFormat/>
    <w:uiPriority w:val="0"/>
    <w:rPr>
      <w:color w:val="000000"/>
      <w:spacing w:val="80"/>
      <w:w w:val="100"/>
      <w:position w:val="0"/>
      <w:lang w:val="zh-CN" w:eastAsia="zh-CN" w:bidi="zh-CN"/>
    </w:rPr>
  </w:style>
  <w:style w:type="character" w:customStyle="1" w:styleId="63">
    <w:name w:val="Body text|5 + 11 pt"/>
    <w:basedOn w:val="64"/>
    <w:unhideWhenUsed/>
    <w:qFormat/>
    <w:uiPriority w:val="0"/>
    <w:rPr>
      <w:color w:val="000000"/>
      <w:spacing w:val="10"/>
      <w:w w:val="100"/>
      <w:position w:val="0"/>
      <w:sz w:val="22"/>
      <w:szCs w:val="22"/>
      <w:lang w:val="zh-CN" w:eastAsia="zh-CN" w:bidi="zh-CN"/>
    </w:rPr>
  </w:style>
  <w:style w:type="character" w:customStyle="1" w:styleId="64">
    <w:name w:val="Body text|5_"/>
    <w:basedOn w:val="23"/>
    <w:link w:val="40"/>
    <w:qFormat/>
    <w:uiPriority w:val="0"/>
    <w:rPr>
      <w:rFonts w:ascii="PMingLiU" w:hAnsi="PMingLiU" w:eastAsia="PMingLiU" w:cs="PMingLiU"/>
      <w:sz w:val="20"/>
      <w:szCs w:val="20"/>
      <w:u w:val="none"/>
    </w:rPr>
  </w:style>
  <w:style w:type="character" w:customStyle="1" w:styleId="65">
    <w:name w:val="Footnote|1 + SimSun"/>
    <w:basedOn w:val="66"/>
    <w:unhideWhenUsed/>
    <w:qFormat/>
    <w:uiPriority w:val="0"/>
    <w:rPr>
      <w:rFonts w:ascii="宋体" w:hAnsi="宋体" w:eastAsia="宋体" w:cs="宋体"/>
      <w:color w:val="000000"/>
      <w:spacing w:val="0"/>
      <w:w w:val="100"/>
      <w:position w:val="0"/>
      <w:sz w:val="23"/>
      <w:szCs w:val="23"/>
      <w:lang w:val="en-US" w:eastAsia="en-US" w:bidi="en-US"/>
    </w:rPr>
  </w:style>
  <w:style w:type="character" w:customStyle="1" w:styleId="66">
    <w:name w:val="Footnote|1_"/>
    <w:basedOn w:val="23"/>
    <w:link w:val="58"/>
    <w:qFormat/>
    <w:uiPriority w:val="0"/>
    <w:rPr>
      <w:rFonts w:ascii="PMingLiU" w:hAnsi="PMingLiU" w:eastAsia="PMingLiU" w:cs="PMingLiU"/>
      <w:spacing w:val="10"/>
      <w:sz w:val="22"/>
      <w:szCs w:val="22"/>
      <w:u w:val="none"/>
    </w:rPr>
  </w:style>
  <w:style w:type="character" w:customStyle="1" w:styleId="67">
    <w:name w:val="Body text|2 + 14 pt"/>
    <w:basedOn w:val="35"/>
    <w:unhideWhenUsed/>
    <w:qFormat/>
    <w:uiPriority w:val="0"/>
    <w:rPr>
      <w:color w:val="000000"/>
      <w:spacing w:val="0"/>
      <w:w w:val="100"/>
      <w:position w:val="0"/>
      <w:sz w:val="28"/>
      <w:szCs w:val="28"/>
      <w:lang w:val="en-US" w:eastAsia="en-US" w:bidi="en-US"/>
    </w:rPr>
  </w:style>
  <w:style w:type="character" w:customStyle="1" w:styleId="68">
    <w:name w:val="Body text|2 + 6.5 pt"/>
    <w:basedOn w:val="35"/>
    <w:unhideWhenUsed/>
    <w:qFormat/>
    <w:uiPriority w:val="0"/>
    <w:rPr>
      <w:i/>
      <w:iCs/>
      <w:color w:val="000000"/>
      <w:spacing w:val="0"/>
      <w:w w:val="100"/>
      <w:position w:val="0"/>
      <w:sz w:val="13"/>
      <w:szCs w:val="13"/>
      <w:lang w:val="en-US" w:eastAsia="en-US" w:bidi="en-US"/>
    </w:rPr>
  </w:style>
  <w:style w:type="paragraph" w:customStyle="1" w:styleId="69">
    <w:name w:val="Body text|4"/>
    <w:basedOn w:val="1"/>
    <w:qFormat/>
    <w:uiPriority w:val="0"/>
    <w:pPr>
      <w:widowControl w:val="0"/>
      <w:shd w:val="clear" w:color="auto" w:fill="FFFFFF"/>
      <w:spacing w:line="170" w:lineRule="exact"/>
      <w:jc w:val="distribute"/>
    </w:pPr>
    <w:rPr>
      <w:rFonts w:ascii="PMingLiU" w:hAnsi="PMingLiU" w:eastAsia="PMingLiU" w:cs="PMingLiU"/>
      <w:sz w:val="17"/>
      <w:szCs w:val="17"/>
      <w:u w:val="none"/>
    </w:rPr>
  </w:style>
  <w:style w:type="character" w:customStyle="1" w:styleId="70">
    <w:name w:val="Body text|2 + 9.5 pt"/>
    <w:basedOn w:val="35"/>
    <w:unhideWhenUsed/>
    <w:qFormat/>
    <w:uiPriority w:val="0"/>
    <w:rPr>
      <w:color w:val="000000"/>
      <w:spacing w:val="110"/>
      <w:w w:val="100"/>
      <w:position w:val="0"/>
      <w:sz w:val="19"/>
      <w:szCs w:val="19"/>
      <w:lang w:val="zh-CN" w:eastAsia="zh-CN" w:bidi="zh-CN"/>
    </w:rPr>
  </w:style>
  <w:style w:type="character" w:customStyle="1" w:styleId="71">
    <w:name w:val="Body text|2 + 7.5 pt"/>
    <w:basedOn w:val="35"/>
    <w:unhideWhenUsed/>
    <w:qFormat/>
    <w:uiPriority w:val="0"/>
    <w:rPr>
      <w:color w:val="000000"/>
      <w:w w:val="150"/>
      <w:position w:val="0"/>
      <w:sz w:val="15"/>
      <w:szCs w:val="15"/>
      <w:lang w:val="zh-CN" w:eastAsia="zh-CN" w:bidi="zh-CN"/>
    </w:rPr>
  </w:style>
  <w:style w:type="character" w:customStyle="1" w:styleId="72">
    <w:name w:val="Body text|2 + 4.5 pt"/>
    <w:basedOn w:val="35"/>
    <w:unhideWhenUsed/>
    <w:qFormat/>
    <w:uiPriority w:val="0"/>
    <w:rPr>
      <w:color w:val="000000"/>
      <w:spacing w:val="0"/>
      <w:w w:val="90"/>
      <w:position w:val="0"/>
      <w:sz w:val="9"/>
      <w:szCs w:val="9"/>
      <w:lang w:val="en-US" w:eastAsia="en-US" w:bidi="en-US"/>
    </w:rPr>
  </w:style>
  <w:style w:type="character" w:customStyle="1" w:styleId="73">
    <w:name w:val="Body text|2"/>
    <w:basedOn w:val="35"/>
    <w:unhideWhenUsed/>
    <w:qFormat/>
    <w:uiPriority w:val="0"/>
    <w:rPr>
      <w:color w:val="000000"/>
      <w:w w:val="100"/>
      <w:position w:val="0"/>
      <w:lang w:val="zh-CN" w:eastAsia="zh-CN" w:bidi="zh-CN"/>
    </w:rPr>
  </w:style>
  <w:style w:type="paragraph" w:customStyle="1" w:styleId="74">
    <w:name w:val="Body text|14"/>
    <w:basedOn w:val="1"/>
    <w:qFormat/>
    <w:uiPriority w:val="0"/>
    <w:pPr>
      <w:widowControl w:val="0"/>
      <w:shd w:val="clear" w:color="auto" w:fill="FFFFFF"/>
      <w:spacing w:line="80" w:lineRule="exact"/>
    </w:pPr>
    <w:rPr>
      <w:rFonts w:ascii="PMingLiU" w:hAnsi="PMingLiU" w:eastAsia="PMingLiU" w:cs="PMingLiU"/>
      <w:b/>
      <w:bCs/>
      <w:i/>
      <w:iCs/>
      <w:sz w:val="8"/>
      <w:szCs w:val="8"/>
      <w:u w:val="none"/>
      <w:lang w:val="en-US" w:eastAsia="en-US" w:bidi="en-US"/>
    </w:rPr>
  </w:style>
  <w:style w:type="character" w:customStyle="1" w:styleId="75">
    <w:name w:val="标题 1 Char"/>
    <w:basedOn w:val="23"/>
    <w:link w:val="3"/>
    <w:qFormat/>
    <w:uiPriority w:val="0"/>
    <w:rPr>
      <w:rFonts w:ascii="Times New Roman" w:hAnsi="Times New Roman" w:eastAsia="宋体"/>
      <w:b/>
      <w:bCs/>
      <w:color w:val="000000"/>
      <w:kern w:val="44"/>
      <w:sz w:val="30"/>
      <w:szCs w:val="44"/>
    </w:rPr>
  </w:style>
  <w:style w:type="paragraph" w:customStyle="1" w:styleId="76">
    <w:name w:val="样式 正文(首行缩进) + (中文) 楷体_GB2312 自动设置"/>
    <w:basedOn w:val="77"/>
    <w:qFormat/>
    <w:uiPriority w:val="0"/>
    <w:pPr>
      <w:spacing w:line="288" w:lineRule="auto"/>
      <w:ind w:firstLine="225"/>
    </w:pPr>
    <w:rPr>
      <w:rFonts w:eastAsia="楷体_GB2312"/>
      <w:color w:val="auto"/>
    </w:rPr>
  </w:style>
  <w:style w:type="paragraph" w:customStyle="1" w:styleId="77">
    <w:name w:val="正文(首行缩进)"/>
    <w:basedOn w:val="1"/>
    <w:qFormat/>
    <w:uiPriority w:val="0"/>
    <w:pPr>
      <w:adjustRightInd/>
      <w:spacing w:line="360" w:lineRule="auto"/>
      <w:ind w:firstLine="540" w:firstLineChars="225"/>
      <w:textAlignment w:val="auto"/>
    </w:pPr>
    <w:rPr>
      <w:snapToGrid w:val="0"/>
      <w:color w:val="000000"/>
      <w:sz w:val="24"/>
      <w:szCs w:val="24"/>
    </w:rPr>
  </w:style>
  <w:style w:type="paragraph" w:customStyle="1" w:styleId="78">
    <w:name w:val="5"/>
    <w:basedOn w:val="1"/>
    <w:qFormat/>
    <w:uiPriority w:val="0"/>
    <w:pPr>
      <w:ind w:firstLine="200" w:firstLineChars="200"/>
      <w:jc w:val="left"/>
    </w:pPr>
    <w:rPr>
      <w:rFonts w:ascii="Calibri" w:hAnsi="Calibri"/>
      <w:szCs w:val="24"/>
    </w:rPr>
  </w:style>
  <w:style w:type="character" w:customStyle="1" w:styleId="79">
    <w:name w:val="Body text|2 + Spacing 0 pt"/>
    <w:basedOn w:val="35"/>
    <w:unhideWhenUsed/>
    <w:qFormat/>
    <w:uiPriority w:val="0"/>
    <w:rPr>
      <w:color w:val="000000"/>
      <w:spacing w:val="0"/>
      <w:w w:val="100"/>
      <w:position w:val="0"/>
      <w:lang w:val="zh-CN" w:eastAsia="zh-CN" w:bidi="zh-CN"/>
    </w:rPr>
  </w:style>
  <w:style w:type="character" w:customStyle="1" w:styleId="80">
    <w:name w:val="Body text|2 + Spacing 1 pt"/>
    <w:basedOn w:val="35"/>
    <w:unhideWhenUsed/>
    <w:qFormat/>
    <w:uiPriority w:val="0"/>
    <w:rPr>
      <w:color w:val="000000"/>
      <w:spacing w:val="30"/>
      <w:w w:val="100"/>
      <w:position w:val="0"/>
      <w:lang w:val="zh-CN" w:eastAsia="zh-CN" w:bidi="zh-CN"/>
    </w:rPr>
  </w:style>
  <w:style w:type="character" w:customStyle="1" w:styleId="81">
    <w:name w:val="Body text|2 + Spacing 1 pt Exact"/>
    <w:basedOn w:val="35"/>
    <w:unhideWhenUsed/>
    <w:qFormat/>
    <w:uiPriority w:val="0"/>
    <w:rPr>
      <w:color w:val="000000"/>
      <w:spacing w:val="30"/>
      <w:w w:val="100"/>
      <w:position w:val="0"/>
      <w:lang w:val="zh-CN" w:eastAsia="zh-CN" w:bidi="zh-CN"/>
    </w:rPr>
  </w:style>
  <w:style w:type="character" w:customStyle="1" w:styleId="82">
    <w:name w:val="Body text|2 + Spacing 0 pt Exact"/>
    <w:basedOn w:val="35"/>
    <w:unhideWhenUsed/>
    <w:qFormat/>
    <w:uiPriority w:val="0"/>
    <w:rPr>
      <w:color w:val="000000"/>
      <w:spacing w:val="0"/>
      <w:w w:val="100"/>
      <w:position w:val="0"/>
      <w:lang w:val="zh-CN" w:eastAsia="zh-CN" w:bidi="zh-CN"/>
    </w:rPr>
  </w:style>
  <w:style w:type="character" w:customStyle="1" w:styleId="83">
    <w:name w:val="Table caption|1 + Spacing 1 pt Exact"/>
    <w:basedOn w:val="46"/>
    <w:unhideWhenUsed/>
    <w:qFormat/>
    <w:uiPriority w:val="0"/>
    <w:rPr>
      <w:color w:val="000000"/>
      <w:spacing w:val="30"/>
      <w:w w:val="100"/>
      <w:position w:val="0"/>
      <w:lang w:val="zh-CN" w:eastAsia="zh-CN" w:bidi="zh-CN"/>
    </w:rPr>
  </w:style>
  <w:style w:type="character" w:customStyle="1" w:styleId="84">
    <w:name w:val="Table caption|1 + Spacing 0 pt Exact"/>
    <w:basedOn w:val="46"/>
    <w:unhideWhenUsed/>
    <w:qFormat/>
    <w:uiPriority w:val="0"/>
    <w:rPr>
      <w:color w:val="000000"/>
      <w:spacing w:val="0"/>
      <w:w w:val="100"/>
      <w:position w:val="0"/>
      <w:lang w:val="zh-CN" w:eastAsia="zh-CN" w:bidi="zh-CN"/>
    </w:rPr>
  </w:style>
  <w:style w:type="paragraph" w:customStyle="1" w:styleId="85">
    <w:name w:val="Table caption|5"/>
    <w:basedOn w:val="1"/>
    <w:qFormat/>
    <w:uiPriority w:val="0"/>
    <w:pPr>
      <w:widowControl w:val="0"/>
      <w:shd w:val="clear" w:color="auto" w:fill="FFFFFF"/>
      <w:spacing w:before="220" w:line="200" w:lineRule="exact"/>
      <w:jc w:val="distribute"/>
    </w:pPr>
    <w:rPr>
      <w:rFonts w:ascii="PMingLiU" w:hAnsi="PMingLiU" w:eastAsia="PMingLiU" w:cs="PMingLiU"/>
      <w:b/>
      <w:bCs/>
      <w:spacing w:val="10"/>
      <w:sz w:val="20"/>
      <w:szCs w:val="20"/>
      <w:u w:val="none"/>
    </w:rPr>
  </w:style>
  <w:style w:type="character" w:customStyle="1" w:styleId="86">
    <w:name w:val="Table caption|5 Exact"/>
    <w:basedOn w:val="23"/>
    <w:unhideWhenUsed/>
    <w:qFormat/>
    <w:uiPriority w:val="0"/>
    <w:rPr>
      <w:rFonts w:ascii="PMingLiU" w:hAnsi="PMingLiU" w:eastAsia="PMingLiU" w:cs="PMingLiU"/>
      <w:b/>
      <w:bCs/>
      <w:spacing w:val="10"/>
      <w:sz w:val="20"/>
      <w:szCs w:val="20"/>
      <w:u w:val="none"/>
    </w:rPr>
  </w:style>
  <w:style w:type="paragraph" w:customStyle="1" w:styleId="87">
    <w:name w:val="Body text|24"/>
    <w:basedOn w:val="1"/>
    <w:link w:val="89"/>
    <w:qFormat/>
    <w:uiPriority w:val="0"/>
    <w:pPr>
      <w:widowControl w:val="0"/>
      <w:shd w:val="clear" w:color="auto" w:fill="FFFFFF"/>
      <w:spacing w:line="200" w:lineRule="exact"/>
      <w:jc w:val="both"/>
    </w:pPr>
    <w:rPr>
      <w:rFonts w:ascii="PMingLiU" w:hAnsi="PMingLiU" w:eastAsia="PMingLiU" w:cs="PMingLiU"/>
      <w:b/>
      <w:bCs/>
      <w:spacing w:val="10"/>
      <w:sz w:val="20"/>
      <w:szCs w:val="20"/>
      <w:u w:val="none"/>
    </w:rPr>
  </w:style>
  <w:style w:type="character" w:customStyle="1" w:styleId="88">
    <w:name w:val="Body text|24 + SimSun"/>
    <w:basedOn w:val="89"/>
    <w:unhideWhenUsed/>
    <w:qFormat/>
    <w:uiPriority w:val="0"/>
    <w:rPr>
      <w:rFonts w:ascii="宋体" w:hAnsi="宋体" w:eastAsia="宋体" w:cs="宋体"/>
      <w:color w:val="000000"/>
      <w:spacing w:val="0"/>
      <w:w w:val="100"/>
      <w:position w:val="0"/>
      <w:sz w:val="21"/>
      <w:szCs w:val="21"/>
      <w:lang w:val="en-US" w:eastAsia="en-US" w:bidi="en-US"/>
    </w:rPr>
  </w:style>
  <w:style w:type="character" w:customStyle="1" w:styleId="89">
    <w:name w:val="Body text|24_"/>
    <w:basedOn w:val="23"/>
    <w:link w:val="87"/>
    <w:qFormat/>
    <w:uiPriority w:val="0"/>
    <w:rPr>
      <w:rFonts w:ascii="PMingLiU" w:hAnsi="PMingLiU" w:eastAsia="PMingLiU" w:cs="PMingLiU"/>
      <w:b/>
      <w:bCs/>
      <w:spacing w:val="10"/>
      <w:sz w:val="20"/>
      <w:szCs w:val="20"/>
      <w:u w:val="none"/>
    </w:rPr>
  </w:style>
  <w:style w:type="character" w:customStyle="1" w:styleId="90">
    <w:name w:val="Table caption|1 + Spacing 1 pt"/>
    <w:basedOn w:val="46"/>
    <w:unhideWhenUsed/>
    <w:qFormat/>
    <w:uiPriority w:val="0"/>
    <w:rPr>
      <w:color w:val="000000"/>
      <w:spacing w:val="30"/>
      <w:w w:val="100"/>
      <w:position w:val="0"/>
      <w:lang w:val="zh-CN" w:eastAsia="zh-CN" w:bidi="zh-CN"/>
    </w:rPr>
  </w:style>
  <w:style w:type="paragraph" w:customStyle="1" w:styleId="91">
    <w:name w:val="Heading #3|1"/>
    <w:basedOn w:val="1"/>
    <w:qFormat/>
    <w:uiPriority w:val="0"/>
    <w:pPr>
      <w:widowControl w:val="0"/>
      <w:shd w:val="clear" w:color="auto" w:fill="FFFFFF"/>
      <w:spacing w:after="800" w:line="300" w:lineRule="exact"/>
      <w:jc w:val="center"/>
      <w:outlineLvl w:val="2"/>
    </w:pPr>
    <w:rPr>
      <w:rFonts w:ascii="PMingLiU" w:hAnsi="PMingLiU" w:eastAsia="PMingLiU" w:cs="PMingLiU"/>
      <w:sz w:val="30"/>
      <w:szCs w:val="30"/>
      <w:u w:val="none"/>
    </w:rPr>
  </w:style>
  <w:style w:type="paragraph" w:customStyle="1" w:styleId="92">
    <w:name w:val="Heading #5|4"/>
    <w:basedOn w:val="1"/>
    <w:link w:val="94"/>
    <w:qFormat/>
    <w:uiPriority w:val="0"/>
    <w:pPr>
      <w:widowControl w:val="0"/>
      <w:shd w:val="clear" w:color="auto" w:fill="FFFFFF"/>
      <w:spacing w:before="340" w:line="634" w:lineRule="exact"/>
      <w:outlineLvl w:val="4"/>
    </w:pPr>
    <w:rPr>
      <w:rFonts w:ascii="PMingLiU" w:hAnsi="PMingLiU" w:eastAsia="PMingLiU" w:cs="PMingLiU"/>
      <w:b/>
      <w:bCs/>
      <w:spacing w:val="20"/>
      <w:u w:val="none"/>
    </w:rPr>
  </w:style>
  <w:style w:type="character" w:customStyle="1" w:styleId="93">
    <w:name w:val="Heading #5|4 + Not Bold"/>
    <w:basedOn w:val="94"/>
    <w:unhideWhenUsed/>
    <w:qFormat/>
    <w:uiPriority w:val="0"/>
    <w:rPr>
      <w:color w:val="000000"/>
      <w:w w:val="100"/>
      <w:position w:val="0"/>
      <w:sz w:val="24"/>
      <w:szCs w:val="24"/>
      <w:lang w:val="en-US" w:eastAsia="en-US" w:bidi="en-US"/>
    </w:rPr>
  </w:style>
  <w:style w:type="character" w:customStyle="1" w:styleId="94">
    <w:name w:val="Heading #5|4_"/>
    <w:basedOn w:val="23"/>
    <w:link w:val="92"/>
    <w:qFormat/>
    <w:uiPriority w:val="0"/>
    <w:rPr>
      <w:rFonts w:ascii="PMingLiU" w:hAnsi="PMingLiU" w:eastAsia="PMingLiU" w:cs="PMingLiU"/>
      <w:b/>
      <w:bCs/>
      <w:spacing w:val="20"/>
      <w:u w:val="none"/>
    </w:rPr>
  </w:style>
  <w:style w:type="character" w:customStyle="1" w:styleId="95">
    <w:name w:val="Table caption|1 + Spacing 0 pt"/>
    <w:basedOn w:val="46"/>
    <w:unhideWhenUsed/>
    <w:qFormat/>
    <w:uiPriority w:val="0"/>
    <w:rPr>
      <w:color w:val="000000"/>
      <w:spacing w:val="0"/>
      <w:w w:val="100"/>
      <w:position w:val="0"/>
      <w:lang w:val="zh-CN" w:eastAsia="zh-CN" w:bidi="zh-CN"/>
    </w:rPr>
  </w:style>
  <w:style w:type="paragraph" w:customStyle="1" w:styleId="96">
    <w:name w:val="Body text|28"/>
    <w:basedOn w:val="1"/>
    <w:qFormat/>
    <w:uiPriority w:val="0"/>
    <w:pPr>
      <w:widowControl w:val="0"/>
      <w:shd w:val="clear" w:color="auto" w:fill="FFFFFF"/>
      <w:spacing w:after="340" w:line="280" w:lineRule="exact"/>
      <w:ind w:hanging="660"/>
    </w:pPr>
    <w:rPr>
      <w:rFonts w:ascii="PMingLiU" w:hAnsi="PMingLiU" w:eastAsia="PMingLiU" w:cs="PMingLiU"/>
      <w:sz w:val="28"/>
      <w:szCs w:val="28"/>
      <w:u w:val="none"/>
      <w:lang w:val="en-US" w:eastAsia="en-US" w:bidi="en-US"/>
    </w:rPr>
  </w:style>
  <w:style w:type="paragraph" w:customStyle="1" w:styleId="97">
    <w:name w:val="Body text|29"/>
    <w:basedOn w:val="1"/>
    <w:link w:val="99"/>
    <w:qFormat/>
    <w:uiPriority w:val="0"/>
    <w:pPr>
      <w:widowControl w:val="0"/>
      <w:shd w:val="clear" w:color="auto" w:fill="FFFFFF"/>
      <w:spacing w:line="461" w:lineRule="exact"/>
    </w:pPr>
    <w:rPr>
      <w:rFonts w:ascii="PMingLiU" w:hAnsi="PMingLiU" w:eastAsia="PMingLiU" w:cs="PMingLiU"/>
      <w:b/>
      <w:bCs/>
      <w:spacing w:val="20"/>
      <w:u w:val="none"/>
    </w:rPr>
  </w:style>
  <w:style w:type="character" w:customStyle="1" w:styleId="98">
    <w:name w:val="Body text|29 + Not Bold"/>
    <w:basedOn w:val="99"/>
    <w:unhideWhenUsed/>
    <w:qFormat/>
    <w:uiPriority w:val="0"/>
    <w:rPr>
      <w:color w:val="000000"/>
      <w:w w:val="100"/>
      <w:position w:val="0"/>
      <w:sz w:val="24"/>
      <w:szCs w:val="24"/>
      <w:lang w:val="en-US" w:eastAsia="en-US" w:bidi="en-US"/>
    </w:rPr>
  </w:style>
  <w:style w:type="character" w:customStyle="1" w:styleId="99">
    <w:name w:val="Body text|29_"/>
    <w:basedOn w:val="23"/>
    <w:link w:val="97"/>
    <w:qFormat/>
    <w:uiPriority w:val="0"/>
    <w:rPr>
      <w:rFonts w:ascii="PMingLiU" w:hAnsi="PMingLiU" w:eastAsia="PMingLiU" w:cs="PMingLiU"/>
      <w:b/>
      <w:bCs/>
      <w:spacing w:val="20"/>
      <w:u w:val="none"/>
    </w:rPr>
  </w:style>
  <w:style w:type="character" w:customStyle="1" w:styleId="100">
    <w:name w:val="Header or footer|1 + Not Bold1"/>
    <w:basedOn w:val="26"/>
    <w:unhideWhenUsed/>
    <w:qFormat/>
    <w:uiPriority w:val="0"/>
    <w:rPr>
      <w:color w:val="000000"/>
      <w:w w:val="100"/>
      <w:position w:val="0"/>
      <w:lang w:val="zh-CN" w:eastAsia="zh-CN" w:bidi="zh-CN"/>
    </w:rPr>
  </w:style>
  <w:style w:type="character" w:customStyle="1" w:styleId="101">
    <w:name w:val="Body text|5 + SimSun"/>
    <w:basedOn w:val="64"/>
    <w:unhideWhenUsed/>
    <w:qFormat/>
    <w:uiPriority w:val="0"/>
    <w:rPr>
      <w:rFonts w:ascii="宋体" w:hAnsi="宋体" w:eastAsia="宋体" w:cs="宋体"/>
      <w:color w:val="000000"/>
      <w:spacing w:val="0"/>
      <w:w w:val="100"/>
      <w:position w:val="0"/>
      <w:sz w:val="20"/>
      <w:szCs w:val="20"/>
      <w:lang w:val="en-US" w:eastAsia="en-US" w:bidi="en-US"/>
    </w:rPr>
  </w:style>
  <w:style w:type="character" w:customStyle="1" w:styleId="102">
    <w:name w:val="Body text|2 + 9 pt"/>
    <w:basedOn w:val="35"/>
    <w:unhideWhenUsed/>
    <w:qFormat/>
    <w:uiPriority w:val="0"/>
    <w:rPr>
      <w:i/>
      <w:iCs/>
      <w:color w:val="000000"/>
      <w:spacing w:val="0"/>
      <w:w w:val="100"/>
      <w:position w:val="0"/>
      <w:sz w:val="18"/>
      <w:szCs w:val="18"/>
      <w:lang w:val="en-US" w:eastAsia="en-US" w:bidi="en-US"/>
    </w:rPr>
  </w:style>
  <w:style w:type="paragraph" w:customStyle="1" w:styleId="103">
    <w:name w:val="Body text|48"/>
    <w:basedOn w:val="1"/>
    <w:link w:val="105"/>
    <w:qFormat/>
    <w:uiPriority w:val="0"/>
    <w:pPr>
      <w:widowControl w:val="0"/>
      <w:shd w:val="clear" w:color="auto" w:fill="FFFFFF"/>
      <w:spacing w:after="320" w:line="134" w:lineRule="exact"/>
    </w:pPr>
    <w:rPr>
      <w:rFonts w:ascii="PMingLiU" w:hAnsi="PMingLiU" w:eastAsia="PMingLiU" w:cs="PMingLiU"/>
      <w:w w:val="150"/>
      <w:sz w:val="15"/>
      <w:szCs w:val="15"/>
      <w:u w:val="none"/>
      <w:lang w:val="en-US" w:eastAsia="en-US" w:bidi="en-US"/>
    </w:rPr>
  </w:style>
  <w:style w:type="character" w:customStyle="1" w:styleId="104">
    <w:name w:val="Body text|48 + 10 pt"/>
    <w:basedOn w:val="105"/>
    <w:unhideWhenUsed/>
    <w:qFormat/>
    <w:uiPriority w:val="0"/>
    <w:rPr>
      <w:color w:val="000000"/>
      <w:spacing w:val="0"/>
      <w:w w:val="100"/>
      <w:position w:val="0"/>
      <w:sz w:val="20"/>
      <w:szCs w:val="20"/>
    </w:rPr>
  </w:style>
  <w:style w:type="character" w:customStyle="1" w:styleId="105">
    <w:name w:val="Body text|48_"/>
    <w:basedOn w:val="23"/>
    <w:link w:val="103"/>
    <w:qFormat/>
    <w:uiPriority w:val="0"/>
    <w:rPr>
      <w:rFonts w:ascii="PMingLiU" w:hAnsi="PMingLiU" w:eastAsia="PMingLiU" w:cs="PMingLiU"/>
      <w:w w:val="150"/>
      <w:sz w:val="15"/>
      <w:szCs w:val="15"/>
      <w:u w:val="none"/>
      <w:lang w:val="en-US" w:eastAsia="en-US" w:bidi="en-US"/>
    </w:rPr>
  </w:style>
  <w:style w:type="character" w:customStyle="1" w:styleId="106">
    <w:name w:val="Body text|2 + Spacing 2 pt"/>
    <w:basedOn w:val="35"/>
    <w:unhideWhenUsed/>
    <w:qFormat/>
    <w:uiPriority w:val="0"/>
    <w:rPr>
      <w:color w:val="000000"/>
      <w:spacing w:val="50"/>
      <w:w w:val="100"/>
      <w:position w:val="0"/>
      <w:lang w:val="zh-CN" w:eastAsia="zh-CN" w:bidi="zh-CN"/>
    </w:rPr>
  </w:style>
  <w:style w:type="character" w:customStyle="1" w:styleId="107">
    <w:name w:val="Body text|24 + Spacing 1 pt"/>
    <w:basedOn w:val="89"/>
    <w:unhideWhenUsed/>
    <w:qFormat/>
    <w:uiPriority w:val="0"/>
    <w:rPr>
      <w:color w:val="000000"/>
      <w:spacing w:val="20"/>
      <w:w w:val="100"/>
      <w:position w:val="0"/>
      <w:lang w:val="en-US" w:eastAsia="en-US" w:bidi="en-US"/>
    </w:rPr>
  </w:style>
  <w:style w:type="character" w:customStyle="1" w:styleId="108">
    <w:name w:val="Body text|24 + Spacing 0 pt"/>
    <w:basedOn w:val="89"/>
    <w:unhideWhenUsed/>
    <w:qFormat/>
    <w:uiPriority w:val="0"/>
    <w:rPr>
      <w:color w:val="000000"/>
      <w:spacing w:val="0"/>
      <w:w w:val="100"/>
      <w:position w:val="0"/>
      <w:lang w:val="zh-CN" w:eastAsia="zh-CN" w:bidi="zh-CN"/>
    </w:rPr>
  </w:style>
  <w:style w:type="character" w:customStyle="1" w:styleId="109">
    <w:name w:val="Body text|5 Exact"/>
    <w:basedOn w:val="23"/>
    <w:unhideWhenUsed/>
    <w:qFormat/>
    <w:uiPriority w:val="0"/>
    <w:rPr>
      <w:rFonts w:ascii="PMingLiU" w:hAnsi="PMingLiU" w:eastAsia="PMingLiU" w:cs="PMingLiU"/>
      <w:sz w:val="20"/>
      <w:szCs w:val="20"/>
      <w:u w:val="none"/>
    </w:rPr>
  </w:style>
  <w:style w:type="character" w:customStyle="1" w:styleId="110">
    <w:name w:val="Heading #4|1 + Spacing 0 pt Exact"/>
    <w:basedOn w:val="111"/>
    <w:unhideWhenUsed/>
    <w:qFormat/>
    <w:uiPriority w:val="0"/>
    <w:rPr>
      <w:color w:val="000000"/>
      <w:spacing w:val="0"/>
      <w:w w:val="100"/>
      <w:position w:val="0"/>
      <w:lang w:val="zh-CN" w:eastAsia="zh-CN" w:bidi="zh-CN"/>
    </w:rPr>
  </w:style>
  <w:style w:type="character" w:customStyle="1" w:styleId="111">
    <w:name w:val="Heading #4|1_"/>
    <w:basedOn w:val="23"/>
    <w:link w:val="39"/>
    <w:qFormat/>
    <w:uiPriority w:val="0"/>
    <w:rPr>
      <w:rFonts w:ascii="PMingLiU" w:hAnsi="PMingLiU" w:eastAsia="PMingLiU" w:cs="PMingLiU"/>
      <w:spacing w:val="20"/>
      <w:sz w:val="26"/>
      <w:szCs w:val="26"/>
      <w:u w:val="none"/>
    </w:rPr>
  </w:style>
  <w:style w:type="character" w:customStyle="1" w:styleId="112">
    <w:name w:val="Heading #4|1 + Spacing 0 pt"/>
    <w:basedOn w:val="111"/>
    <w:unhideWhenUsed/>
    <w:qFormat/>
    <w:uiPriority w:val="0"/>
    <w:rPr>
      <w:color w:val="000000"/>
      <w:spacing w:val="0"/>
      <w:w w:val="100"/>
      <w:position w:val="0"/>
      <w:lang w:val="zh-CN" w:eastAsia="zh-CN" w:bidi="zh-CN"/>
    </w:rPr>
  </w:style>
  <w:style w:type="paragraph" w:customStyle="1" w:styleId="113">
    <w:name w:val="Heading #4|2"/>
    <w:basedOn w:val="1"/>
    <w:link w:val="116"/>
    <w:qFormat/>
    <w:uiPriority w:val="0"/>
    <w:pPr>
      <w:widowControl w:val="0"/>
      <w:shd w:val="clear" w:color="auto" w:fill="FFFFFF"/>
      <w:spacing w:before="1080" w:line="514" w:lineRule="exact"/>
      <w:outlineLvl w:val="3"/>
    </w:pPr>
    <w:rPr>
      <w:rFonts w:ascii="PMingLiU" w:hAnsi="PMingLiU" w:eastAsia="PMingLiU" w:cs="PMingLiU"/>
      <w:sz w:val="30"/>
      <w:szCs w:val="30"/>
      <w:u w:val="none"/>
    </w:rPr>
  </w:style>
  <w:style w:type="paragraph" w:customStyle="1" w:styleId="114">
    <w:name w:val="Body text|49"/>
    <w:basedOn w:val="1"/>
    <w:qFormat/>
    <w:uiPriority w:val="0"/>
    <w:pPr>
      <w:widowControl w:val="0"/>
      <w:shd w:val="clear" w:color="auto" w:fill="FFFFFF"/>
      <w:spacing w:after="380" w:line="220" w:lineRule="exact"/>
    </w:pPr>
    <w:rPr>
      <w:rFonts w:ascii="PMingLiU" w:hAnsi="PMingLiU" w:eastAsia="PMingLiU" w:cs="PMingLiU"/>
      <w:sz w:val="22"/>
      <w:szCs w:val="22"/>
      <w:u w:val="none"/>
    </w:rPr>
  </w:style>
  <w:style w:type="character" w:customStyle="1" w:styleId="115">
    <w:name w:val="Heading #4|2 + Times New Roman"/>
    <w:basedOn w:val="116"/>
    <w:unhideWhenUsed/>
    <w:qFormat/>
    <w:uiPriority w:val="0"/>
    <w:rPr>
      <w:rFonts w:ascii="Times New Roman" w:hAnsi="Times New Roman" w:eastAsia="Times New Roman" w:cs="Times New Roman"/>
      <w:b/>
      <w:bCs/>
      <w:color w:val="000000"/>
      <w:spacing w:val="0"/>
      <w:w w:val="100"/>
      <w:position w:val="0"/>
      <w:sz w:val="26"/>
      <w:szCs w:val="26"/>
      <w:lang w:val="en-US" w:eastAsia="en-US" w:bidi="en-US"/>
    </w:rPr>
  </w:style>
  <w:style w:type="character" w:customStyle="1" w:styleId="116">
    <w:name w:val="Heading #4|2_"/>
    <w:basedOn w:val="23"/>
    <w:link w:val="113"/>
    <w:qFormat/>
    <w:uiPriority w:val="0"/>
    <w:rPr>
      <w:rFonts w:ascii="PMingLiU" w:hAnsi="PMingLiU" w:eastAsia="PMingLiU" w:cs="PMingLiU"/>
      <w:sz w:val="30"/>
      <w:szCs w:val="30"/>
      <w:u w:val="none"/>
    </w:rPr>
  </w:style>
  <w:style w:type="character" w:customStyle="1" w:styleId="117">
    <w:name w:val="Heading #4|2 + Arial"/>
    <w:basedOn w:val="116"/>
    <w:unhideWhenUsed/>
    <w:qFormat/>
    <w:uiPriority w:val="0"/>
    <w:rPr>
      <w:rFonts w:ascii="Arial" w:hAnsi="Arial" w:eastAsia="Arial" w:cs="Arial"/>
      <w:b/>
      <w:bCs/>
      <w:color w:val="000000"/>
      <w:spacing w:val="0"/>
      <w:w w:val="100"/>
      <w:position w:val="0"/>
      <w:sz w:val="24"/>
      <w:szCs w:val="24"/>
      <w:lang w:val="en-US" w:eastAsia="en-US" w:bidi="en-US"/>
    </w:rPr>
  </w:style>
  <w:style w:type="character" w:customStyle="1" w:styleId="118">
    <w:name w:val="Body text|2 + Italic"/>
    <w:basedOn w:val="35"/>
    <w:unhideWhenUsed/>
    <w:qFormat/>
    <w:uiPriority w:val="0"/>
    <w:rPr>
      <w:i/>
      <w:iCs/>
      <w:color w:val="000000"/>
      <w:spacing w:val="0"/>
      <w:w w:val="100"/>
      <w:position w:val="0"/>
      <w:lang w:val="en-US" w:eastAsia="en-US" w:bidi="en-US"/>
    </w:rPr>
  </w:style>
  <w:style w:type="character" w:customStyle="1" w:styleId="119">
    <w:name w:val="Header or footer|1 + 6.5 pt"/>
    <w:basedOn w:val="26"/>
    <w:unhideWhenUsed/>
    <w:qFormat/>
    <w:uiPriority w:val="0"/>
    <w:rPr>
      <w:color w:val="000000"/>
      <w:w w:val="100"/>
      <w:position w:val="0"/>
      <w:sz w:val="13"/>
      <w:szCs w:val="13"/>
      <w:lang w:val="zh-CN" w:eastAsia="zh-CN" w:bidi="zh-CN"/>
    </w:rPr>
  </w:style>
  <w:style w:type="paragraph" w:customStyle="1" w:styleId="120">
    <w:name w:val="Body text|23"/>
    <w:basedOn w:val="1"/>
    <w:link w:val="122"/>
    <w:qFormat/>
    <w:uiPriority w:val="0"/>
    <w:pPr>
      <w:widowControl w:val="0"/>
      <w:shd w:val="clear" w:color="auto" w:fill="FFFFFF"/>
      <w:spacing w:after="120" w:line="494" w:lineRule="exact"/>
      <w:jc w:val="both"/>
    </w:pPr>
    <w:rPr>
      <w:rFonts w:ascii="PMingLiU" w:hAnsi="PMingLiU" w:eastAsia="PMingLiU" w:cs="PMingLiU"/>
      <w:b/>
      <w:bCs/>
      <w:spacing w:val="20"/>
      <w:sz w:val="22"/>
      <w:szCs w:val="22"/>
      <w:u w:val="none"/>
    </w:rPr>
  </w:style>
  <w:style w:type="character" w:customStyle="1" w:styleId="121">
    <w:name w:val="Body text|23 + Spacing 0 pt"/>
    <w:basedOn w:val="122"/>
    <w:unhideWhenUsed/>
    <w:qFormat/>
    <w:uiPriority w:val="0"/>
    <w:rPr>
      <w:color w:val="000000"/>
      <w:spacing w:val="0"/>
      <w:w w:val="100"/>
      <w:position w:val="0"/>
      <w:lang w:val="zh-CN" w:eastAsia="zh-CN" w:bidi="zh-CN"/>
    </w:rPr>
  </w:style>
  <w:style w:type="character" w:customStyle="1" w:styleId="122">
    <w:name w:val="Body text|23_"/>
    <w:basedOn w:val="23"/>
    <w:link w:val="120"/>
    <w:qFormat/>
    <w:uiPriority w:val="0"/>
    <w:rPr>
      <w:rFonts w:ascii="PMingLiU" w:hAnsi="PMingLiU" w:eastAsia="PMingLiU" w:cs="PMingLiU"/>
      <w:b/>
      <w:bCs/>
      <w:spacing w:val="20"/>
      <w:sz w:val="22"/>
      <w:szCs w:val="22"/>
      <w:u w:val="none"/>
    </w:rPr>
  </w:style>
  <w:style w:type="character" w:customStyle="1" w:styleId="123">
    <w:name w:val="Body text|23 + 11.5 pt"/>
    <w:basedOn w:val="122"/>
    <w:unhideWhenUsed/>
    <w:qFormat/>
    <w:uiPriority w:val="0"/>
    <w:rPr>
      <w:color w:val="000000"/>
      <w:spacing w:val="0"/>
      <w:w w:val="100"/>
      <w:position w:val="0"/>
      <w:sz w:val="23"/>
      <w:szCs w:val="23"/>
      <w:lang w:val="en-US" w:eastAsia="en-US" w:bidi="en-US"/>
    </w:rPr>
  </w:style>
  <w:style w:type="paragraph" w:customStyle="1" w:styleId="124">
    <w:name w:val="Picture caption|20"/>
    <w:basedOn w:val="1"/>
    <w:link w:val="126"/>
    <w:qFormat/>
    <w:uiPriority w:val="0"/>
    <w:pPr>
      <w:widowControl w:val="0"/>
      <w:shd w:val="clear" w:color="auto" w:fill="FFFFFF"/>
      <w:spacing w:line="212" w:lineRule="exact"/>
      <w:jc w:val="distribute"/>
    </w:pPr>
    <w:rPr>
      <w:rFonts w:ascii="PMingLiU" w:hAnsi="PMingLiU" w:eastAsia="PMingLiU" w:cs="PMingLiU"/>
      <w:sz w:val="20"/>
      <w:szCs w:val="20"/>
      <w:u w:val="none"/>
    </w:rPr>
  </w:style>
  <w:style w:type="character" w:customStyle="1" w:styleId="125">
    <w:name w:val="Picture caption|20 + 9 pt Exact"/>
    <w:basedOn w:val="126"/>
    <w:unhideWhenUsed/>
    <w:qFormat/>
    <w:uiPriority w:val="0"/>
    <w:rPr>
      <w:color w:val="000000"/>
      <w:spacing w:val="0"/>
      <w:w w:val="100"/>
      <w:position w:val="0"/>
      <w:sz w:val="18"/>
      <w:szCs w:val="18"/>
      <w:lang w:val="en-US" w:eastAsia="en-US" w:bidi="en-US"/>
    </w:rPr>
  </w:style>
  <w:style w:type="character" w:customStyle="1" w:styleId="126">
    <w:name w:val="Picture caption|20 Exact"/>
    <w:basedOn w:val="23"/>
    <w:link w:val="124"/>
    <w:qFormat/>
    <w:uiPriority w:val="0"/>
    <w:rPr>
      <w:rFonts w:ascii="PMingLiU" w:hAnsi="PMingLiU" w:eastAsia="PMingLiU" w:cs="PMingLiU"/>
      <w:sz w:val="20"/>
      <w:szCs w:val="20"/>
      <w:u w:val="none"/>
    </w:rPr>
  </w:style>
  <w:style w:type="character" w:customStyle="1" w:styleId="127">
    <w:name w:val="Picture caption|20 + Times New Roman"/>
    <w:basedOn w:val="126"/>
    <w:unhideWhenUsed/>
    <w:qFormat/>
    <w:uiPriority w:val="0"/>
    <w:rPr>
      <w:rFonts w:ascii="Times New Roman" w:hAnsi="Times New Roman" w:eastAsia="Times New Roman" w:cs="Times New Roman"/>
      <w:b/>
      <w:bCs/>
      <w:color w:val="000000"/>
      <w:spacing w:val="0"/>
      <w:w w:val="100"/>
      <w:position w:val="0"/>
      <w:sz w:val="9"/>
      <w:szCs w:val="9"/>
      <w:lang w:val="en-US" w:eastAsia="en-US" w:bidi="en-US"/>
    </w:rPr>
  </w:style>
  <w:style w:type="paragraph" w:customStyle="1" w:styleId="128">
    <w:name w:val="标题4 样式"/>
    <w:qFormat/>
    <w:uiPriority w:val="0"/>
    <w:pPr>
      <w:numPr>
        <w:ilvl w:val="3"/>
        <w:numId w:val="2"/>
      </w:numPr>
      <w:adjustRightInd w:val="0"/>
      <w:snapToGrid w:val="0"/>
      <w:spacing w:line="360" w:lineRule="auto"/>
      <w:ind w:left="0"/>
      <w:outlineLvl w:val="3"/>
    </w:pPr>
    <w:rPr>
      <w:rFonts w:ascii="仿宋" w:hAnsi="仿宋" w:eastAsia="仿宋" w:cs="宋体"/>
      <w:b/>
      <w:color w:val="000000"/>
      <w:kern w:val="2"/>
      <w:sz w:val="24"/>
      <w:szCs w:val="24"/>
      <w:lang w:val="en-US" w:eastAsia="zh-CN" w:bidi="ar-SA"/>
    </w:rPr>
  </w:style>
  <w:style w:type="paragraph" w:customStyle="1" w:styleId="129">
    <w:name w:val="正文邓"/>
    <w:basedOn w:val="130"/>
    <w:qFormat/>
    <w:uiPriority w:val="0"/>
    <w:pPr>
      <w:tabs>
        <w:tab w:val="left" w:pos="2304"/>
      </w:tabs>
      <w:adjustRightInd w:val="0"/>
      <w:ind w:firstLine="600" w:firstLineChars="250"/>
    </w:pPr>
    <w:rPr>
      <w:rFonts w:ascii="仿宋" w:hAnsi="仿宋" w:eastAsia="仿宋"/>
      <w:bCs/>
      <w:kern w:val="0"/>
    </w:rPr>
  </w:style>
  <w:style w:type="paragraph" w:customStyle="1" w:styleId="130">
    <w:name w:val="邓正文"/>
    <w:basedOn w:val="1"/>
    <w:qFormat/>
    <w:uiPriority w:val="0"/>
    <w:pPr>
      <w:snapToGrid w:val="0"/>
      <w:spacing w:line="360" w:lineRule="auto"/>
      <w:ind w:firstLine="360" w:firstLineChars="150"/>
      <w:jc w:val="left"/>
    </w:pPr>
    <w:rPr>
      <w:rFonts w:ascii="宋体" w:hAnsi="宋体" w:eastAsia="仿宋_GB2312"/>
      <w:color w:val="000000"/>
      <w:sz w:val="24"/>
      <w:szCs w:val="24"/>
    </w:rPr>
  </w:style>
  <w:style w:type="paragraph" w:customStyle="1" w:styleId="131">
    <w:name w:val="邓表头标题"/>
    <w:basedOn w:val="1"/>
    <w:qFormat/>
    <w:uiPriority w:val="0"/>
    <w:pPr>
      <w:snapToGrid w:val="0"/>
      <w:spacing w:line="240" w:lineRule="auto"/>
      <w:jc w:val="center"/>
    </w:pPr>
    <w:rPr>
      <w:rFonts w:ascii="黑体" w:hAnsi="黑体"/>
    </w:rPr>
  </w:style>
  <w:style w:type="paragraph" w:customStyle="1" w:styleId="132">
    <w:name w:val="邓表格文字"/>
    <w:basedOn w:val="133"/>
    <w:qFormat/>
    <w:uiPriority w:val="0"/>
    <w:pPr>
      <w:spacing w:line="220" w:lineRule="exact"/>
    </w:pPr>
    <w:rPr>
      <w:rFonts w:eastAsia="宋体"/>
      <w:kern w:val="0"/>
      <w:sz w:val="15"/>
      <w:szCs w:val="15"/>
    </w:rPr>
  </w:style>
  <w:style w:type="paragraph" w:customStyle="1" w:styleId="133">
    <w:name w:val="表格文字邓"/>
    <w:basedOn w:val="1"/>
    <w:qFormat/>
    <w:uiPriority w:val="0"/>
    <w:pPr>
      <w:widowControl/>
      <w:snapToGrid w:val="0"/>
      <w:spacing w:line="200" w:lineRule="exact"/>
      <w:jc w:val="center"/>
    </w:pPr>
    <w:rPr>
      <w:rFonts w:ascii="宋体" w:hAnsi="宋体" w:eastAsia="华文中宋"/>
      <w:color w:val="000000"/>
      <w:sz w:val="18"/>
      <w:szCs w:val="18"/>
    </w:rPr>
  </w:style>
  <w:style w:type="paragraph" w:customStyle="1" w:styleId="134">
    <w:name w:val="表头"/>
    <w:basedOn w:val="1"/>
    <w:next w:val="1"/>
    <w:qFormat/>
    <w:uiPriority w:val="0"/>
    <w:pPr>
      <w:spacing w:line="360" w:lineRule="auto"/>
      <w:jc w:val="center"/>
    </w:pPr>
    <w:rPr>
      <w:rFonts w:eastAsia="黑体"/>
    </w:rPr>
  </w:style>
  <w:style w:type="paragraph" w:customStyle="1" w:styleId="135">
    <w:name w:val="正文！！！！！"/>
    <w:basedOn w:val="1"/>
    <w:qFormat/>
    <w:uiPriority w:val="0"/>
    <w:pPr>
      <w:widowControl/>
      <w:spacing w:line="500" w:lineRule="exact"/>
      <w:ind w:firstLine="504" w:firstLineChars="200"/>
      <w:jc w:val="left"/>
    </w:pPr>
    <w:rPr>
      <w:rFonts w:ascii="宋体" w:hAnsi="宋体" w:cs="宋体"/>
      <w:spacing w:val="6"/>
      <w:sz w:val="24"/>
      <w:szCs w:val="24"/>
    </w:rPr>
  </w:style>
  <w:style w:type="character" w:customStyle="1" w:styleId="136">
    <w:name w:val="Heading #4|1 + 15 pt"/>
    <w:basedOn w:val="111"/>
    <w:unhideWhenUsed/>
    <w:qFormat/>
    <w:uiPriority w:val="0"/>
    <w:rPr>
      <w:color w:val="000000"/>
      <w:spacing w:val="0"/>
      <w:w w:val="100"/>
      <w:position w:val="0"/>
      <w:sz w:val="30"/>
      <w:szCs w:val="30"/>
      <w:lang w:val="en-US" w:eastAsia="en-US" w:bidi="en-US"/>
    </w:rPr>
  </w:style>
  <w:style w:type="paragraph" w:customStyle="1" w:styleId="137">
    <w:name w:val="Char13"/>
    <w:basedOn w:val="1"/>
    <w:qFormat/>
    <w:uiPriority w:val="0"/>
    <w:pPr>
      <w:spacing w:line="360" w:lineRule="auto"/>
      <w:ind w:firstLine="200" w:firstLineChars="200"/>
    </w:pPr>
    <w:rPr>
      <w:rFonts w:ascii="宋体" w:hAnsi="宋体" w:cs="宋体"/>
      <w:sz w:val="24"/>
    </w:rPr>
  </w:style>
  <w:style w:type="paragraph" w:customStyle="1" w:styleId="138">
    <w:name w:val="覃文档"/>
    <w:basedOn w:val="1"/>
    <w:qFormat/>
    <w:uiPriority w:val="0"/>
    <w:pPr>
      <w:spacing w:line="360" w:lineRule="auto"/>
      <w:ind w:firstLine="200" w:firstLineChars="200"/>
      <w:jc w:val="left"/>
    </w:pPr>
    <w:rPr>
      <w:bCs/>
      <w:sz w:val="24"/>
    </w:rPr>
  </w:style>
  <w:style w:type="paragraph" w:customStyle="1" w:styleId="139">
    <w:name w:val="标准正文"/>
    <w:basedOn w:val="1"/>
    <w:qFormat/>
    <w:uiPriority w:val="0"/>
    <w:pPr>
      <w:spacing w:line="360" w:lineRule="auto"/>
      <w:ind w:firstLine="480" w:firstLineChars="200"/>
      <w:jc w:val="left"/>
    </w:pPr>
    <w:rPr>
      <w:rFonts w:ascii="Times New Roman" w:hAnsi="Times New Roman"/>
      <w:kern w:val="0"/>
      <w:sz w:val="24"/>
      <w:szCs w:val="20"/>
    </w:rPr>
  </w:style>
  <w:style w:type="paragraph" w:customStyle="1" w:styleId="140">
    <w:name w:val="正文格式"/>
    <w:basedOn w:val="20"/>
    <w:link w:val="144"/>
    <w:qFormat/>
    <w:uiPriority w:val="0"/>
    <w:pPr>
      <w:widowControl/>
      <w:spacing w:line="360" w:lineRule="auto"/>
      <w:ind w:firstLine="200" w:firstLineChars="200"/>
      <w:jc w:val="left"/>
    </w:pPr>
    <w:rPr>
      <w:rFonts w:ascii="宋体" w:hAnsi="Times New Roman"/>
      <w:sz w:val="24"/>
      <w:szCs w:val="24"/>
    </w:rPr>
  </w:style>
  <w:style w:type="paragraph" w:customStyle="1" w:styleId="141">
    <w:name w:val="邓表后空格"/>
    <w:basedOn w:val="49"/>
    <w:qFormat/>
    <w:uiPriority w:val="0"/>
    <w:pPr>
      <w:spacing w:line="240" w:lineRule="exact"/>
      <w:ind w:firstLine="0" w:firstLineChars="0"/>
      <w:jc w:val="both"/>
    </w:pPr>
    <w:rPr>
      <w:rFonts w:ascii="楷体_GB2312" w:hAnsi="楷体_GB2312" w:eastAsia="宋体"/>
      <w:kern w:val="2"/>
      <w:sz w:val="18"/>
    </w:rPr>
  </w:style>
  <w:style w:type="paragraph" w:customStyle="1" w:styleId="142">
    <w:name w:val="表体"/>
    <w:basedOn w:val="134"/>
    <w:qFormat/>
    <w:uiPriority w:val="0"/>
    <w:pPr>
      <w:overflowPunct w:val="0"/>
      <w:adjustRightInd w:val="0"/>
      <w:spacing w:line="300" w:lineRule="atLeast"/>
      <w:textAlignment w:val="baseline"/>
    </w:pPr>
    <w:rPr>
      <w:rFonts w:eastAsia="宋体"/>
      <w:color w:val="000000"/>
      <w:kern w:val="24"/>
      <w:sz w:val="18"/>
      <w:szCs w:val="20"/>
    </w:rPr>
  </w:style>
  <w:style w:type="paragraph" w:customStyle="1" w:styleId="143">
    <w:name w:val=" Char"/>
    <w:basedOn w:val="1"/>
    <w:semiHidden/>
    <w:qFormat/>
    <w:uiPriority w:val="0"/>
    <w:pPr>
      <w:spacing w:line="360" w:lineRule="auto"/>
      <w:ind w:firstLine="200" w:firstLineChars="200"/>
    </w:pPr>
    <w:rPr>
      <w:rFonts w:ascii="宋体" w:hAnsi="宋体" w:cs="宋体"/>
      <w:sz w:val="24"/>
    </w:rPr>
  </w:style>
  <w:style w:type="character" w:customStyle="1" w:styleId="144">
    <w:name w:val="正文格式 Char"/>
    <w:link w:val="140"/>
    <w:qFormat/>
    <w:uiPriority w:val="0"/>
    <w:rPr>
      <w:rFonts w:ascii="宋体" w:hAnsi="Times New Roman"/>
      <w:sz w:val="24"/>
      <w:szCs w:val="24"/>
    </w:rPr>
  </w:style>
  <w:style w:type="paragraph" w:customStyle="1" w:styleId="145">
    <w:name w:val="标题2"/>
    <w:basedOn w:val="4"/>
    <w:qFormat/>
    <w:uiPriority w:val="0"/>
    <w:pPr>
      <w:numPr>
        <w:ilvl w:val="1"/>
        <w:numId w:val="3"/>
      </w:numPr>
      <w:snapToGrid w:val="0"/>
      <w:spacing w:before="0" w:after="0" w:line="360" w:lineRule="auto"/>
    </w:pPr>
    <w:rPr>
      <w:rFonts w:ascii="Times New Roman" w:hAnsi="Times New Roman" w:eastAsia="仿宋_GB2312"/>
      <w:bCs w:val="0"/>
      <w:sz w:val="30"/>
      <w:szCs w:val="30"/>
    </w:rPr>
  </w:style>
  <w:style w:type="paragraph" w:customStyle="1" w:styleId="146">
    <w:name w:val="标题3"/>
    <w:basedOn w:val="5"/>
    <w:next w:val="1"/>
    <w:qFormat/>
    <w:uiPriority w:val="0"/>
    <w:pPr>
      <w:keepNext w:val="0"/>
      <w:keepLines w:val="0"/>
      <w:numPr>
        <w:ilvl w:val="2"/>
        <w:numId w:val="2"/>
      </w:numPr>
      <w:adjustRightInd w:val="0"/>
      <w:snapToGrid w:val="0"/>
      <w:spacing w:before="0" w:after="0" w:line="360" w:lineRule="auto"/>
      <w:ind w:left="0"/>
      <w:jc w:val="left"/>
    </w:pPr>
    <w:rPr>
      <w:rFonts w:ascii="宋体" w:hAnsi="宋体" w:eastAsia="仿宋_GB2312"/>
      <w:sz w:val="28"/>
      <w:szCs w:val="28"/>
    </w:rPr>
  </w:style>
  <w:style w:type="paragraph" w:customStyle="1" w:styleId="147">
    <w:name w:val="Char12"/>
    <w:basedOn w:val="1"/>
    <w:qFormat/>
    <w:uiPriority w:val="0"/>
    <w:pPr>
      <w:spacing w:line="360" w:lineRule="auto"/>
      <w:ind w:firstLine="200" w:firstLineChars="200"/>
    </w:pPr>
    <w:rPr>
      <w:rFonts w:ascii="宋体" w:hAnsi="宋体" w:cs="宋体"/>
      <w:sz w:val="24"/>
    </w:rPr>
  </w:style>
  <w:style w:type="paragraph" w:customStyle="1" w:styleId="148">
    <w:name w:val="表头标题格式"/>
    <w:basedOn w:val="1"/>
    <w:qFormat/>
    <w:uiPriority w:val="0"/>
    <w:pPr>
      <w:tabs>
        <w:tab w:val="left" w:pos="360"/>
        <w:tab w:val="left" w:pos="1620"/>
      </w:tabs>
      <w:spacing w:line="360" w:lineRule="auto"/>
      <w:jc w:val="center"/>
    </w:pPr>
    <w:rPr>
      <w:rFonts w:ascii="黑体" w:hAnsi="宋体"/>
      <w:sz w:val="24"/>
      <w:szCs w:val="20"/>
    </w:rPr>
  </w:style>
  <w:style w:type="paragraph" w:customStyle="1" w:styleId="149">
    <w:name w:val="正文＋黑体"/>
    <w:basedOn w:val="1"/>
    <w:qFormat/>
    <w:uiPriority w:val="0"/>
    <w:pPr>
      <w:spacing w:beforeLines="50" w:afterLines="50"/>
      <w:ind w:firstLine="480" w:firstLineChars="200"/>
      <w:jc w:val="left"/>
    </w:pPr>
    <w:rPr>
      <w:rFonts w:ascii="Arial" w:hAnsi="Arial" w:eastAsia="黑体"/>
      <w:sz w:val="24"/>
    </w:rPr>
  </w:style>
  <w:style w:type="paragraph" w:customStyle="1" w:styleId="150">
    <w:name w:val="a正文"/>
    <w:basedOn w:val="1"/>
    <w:qFormat/>
    <w:uiPriority w:val="0"/>
    <w:pPr>
      <w:spacing w:line="360" w:lineRule="auto"/>
      <w:ind w:firstLine="480" w:firstLineChars="200"/>
    </w:pPr>
    <w:rPr>
      <w:rFonts w:eastAsia="Times New Roman"/>
      <w:color w:val="000000"/>
      <w:sz w:val="24"/>
    </w:rPr>
  </w:style>
  <w:style w:type="paragraph" w:customStyle="1" w:styleId="151">
    <w:name w:val="正文-ls"/>
    <w:basedOn w:val="1"/>
    <w:qFormat/>
    <w:uiPriority w:val="0"/>
    <w:pPr>
      <w:spacing w:line="360" w:lineRule="auto"/>
      <w:ind w:firstLine="200" w:firstLineChars="200"/>
    </w:pPr>
    <w:rPr>
      <w:rFonts w:hAnsi="宋体" w:cs="宋体"/>
      <w:sz w:val="24"/>
      <w:szCs w:val="20"/>
    </w:rPr>
  </w:style>
  <w:style w:type="paragraph" w:customStyle="1" w:styleId="152">
    <w:name w:val="a表格"/>
    <w:basedOn w:val="153"/>
    <w:qFormat/>
    <w:uiPriority w:val="0"/>
    <w:pPr>
      <w:tabs>
        <w:tab w:val="left" w:pos="2880"/>
        <w:tab w:val="left" w:pos="7380"/>
      </w:tabs>
      <w:adjustRightInd w:val="0"/>
      <w:spacing w:line="240" w:lineRule="auto"/>
    </w:pPr>
    <w:rPr>
      <w:rFonts w:eastAsia="Times New Roman"/>
      <w:color w:val="000000"/>
      <w:position w:val="-26"/>
      <w:szCs w:val="21"/>
    </w:rPr>
  </w:style>
  <w:style w:type="paragraph" w:customStyle="1" w:styleId="153">
    <w:name w:val="表格文字"/>
    <w:basedOn w:val="1"/>
    <w:qFormat/>
    <w:uiPriority w:val="0"/>
    <w:pPr>
      <w:spacing w:line="400" w:lineRule="exact"/>
      <w:jc w:val="center"/>
    </w:pPr>
    <w:rPr>
      <w:szCs w:val="20"/>
    </w:rPr>
  </w:style>
  <w:style w:type="paragraph" w:customStyle="1" w:styleId="154">
    <w:name w:val="Normal"/>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7.wmf"/><Relationship Id="rId98" Type="http://schemas.openxmlformats.org/officeDocument/2006/relationships/oleObject" Target="embeddings/oleObject38.bin"/><Relationship Id="rId97" Type="http://schemas.openxmlformats.org/officeDocument/2006/relationships/image" Target="media/image46.jpeg"/><Relationship Id="rId96" Type="http://schemas.openxmlformats.org/officeDocument/2006/relationships/image" Target="media/image45.jpeg"/><Relationship Id="rId95" Type="http://schemas.openxmlformats.org/officeDocument/2006/relationships/image" Target="media/image44.wmf"/><Relationship Id="rId94" Type="http://schemas.openxmlformats.org/officeDocument/2006/relationships/oleObject" Target="embeddings/oleObject37.bin"/><Relationship Id="rId93" Type="http://schemas.openxmlformats.org/officeDocument/2006/relationships/image" Target="media/image43.wmf"/><Relationship Id="rId92" Type="http://schemas.openxmlformats.org/officeDocument/2006/relationships/oleObject" Target="embeddings/oleObject36.bin"/><Relationship Id="rId91" Type="http://schemas.openxmlformats.org/officeDocument/2006/relationships/image" Target="media/image42.wmf"/><Relationship Id="rId90" Type="http://schemas.openxmlformats.org/officeDocument/2006/relationships/oleObject" Target="embeddings/oleObject35.bin"/><Relationship Id="rId9" Type="http://schemas.openxmlformats.org/officeDocument/2006/relationships/footer" Target="footer3.xml"/><Relationship Id="rId89" Type="http://schemas.openxmlformats.org/officeDocument/2006/relationships/image" Target="media/image41.wmf"/><Relationship Id="rId88" Type="http://schemas.openxmlformats.org/officeDocument/2006/relationships/oleObject" Target="embeddings/oleObject34.bin"/><Relationship Id="rId87" Type="http://schemas.openxmlformats.org/officeDocument/2006/relationships/image" Target="media/image40.wmf"/><Relationship Id="rId86" Type="http://schemas.openxmlformats.org/officeDocument/2006/relationships/oleObject" Target="embeddings/oleObject33.bin"/><Relationship Id="rId85" Type="http://schemas.openxmlformats.org/officeDocument/2006/relationships/image" Target="media/image39.wmf"/><Relationship Id="rId84" Type="http://schemas.openxmlformats.org/officeDocument/2006/relationships/oleObject" Target="embeddings/oleObject32.bin"/><Relationship Id="rId83" Type="http://schemas.openxmlformats.org/officeDocument/2006/relationships/image" Target="media/image38.wmf"/><Relationship Id="rId82" Type="http://schemas.openxmlformats.org/officeDocument/2006/relationships/oleObject" Target="embeddings/oleObject31.bin"/><Relationship Id="rId81" Type="http://schemas.openxmlformats.org/officeDocument/2006/relationships/image" Target="media/image37.wmf"/><Relationship Id="rId80" Type="http://schemas.openxmlformats.org/officeDocument/2006/relationships/oleObject" Target="embeddings/oleObject30.bin"/><Relationship Id="rId8" Type="http://schemas.openxmlformats.org/officeDocument/2006/relationships/footer" Target="footer2.xml"/><Relationship Id="rId79" Type="http://schemas.openxmlformats.org/officeDocument/2006/relationships/image" Target="media/image36.wmf"/><Relationship Id="rId78" Type="http://schemas.openxmlformats.org/officeDocument/2006/relationships/oleObject" Target="embeddings/oleObject29.bin"/><Relationship Id="rId77" Type="http://schemas.openxmlformats.org/officeDocument/2006/relationships/image" Target="media/image35.wmf"/><Relationship Id="rId76" Type="http://schemas.openxmlformats.org/officeDocument/2006/relationships/oleObject" Target="embeddings/oleObject28.bin"/><Relationship Id="rId75" Type="http://schemas.openxmlformats.org/officeDocument/2006/relationships/image" Target="media/image34.wmf"/><Relationship Id="rId74" Type="http://schemas.openxmlformats.org/officeDocument/2006/relationships/oleObject" Target="embeddings/oleObject27.bin"/><Relationship Id="rId73" Type="http://schemas.openxmlformats.org/officeDocument/2006/relationships/image" Target="media/image33.wmf"/><Relationship Id="rId72" Type="http://schemas.openxmlformats.org/officeDocument/2006/relationships/oleObject" Target="embeddings/oleObject26.bin"/><Relationship Id="rId71" Type="http://schemas.openxmlformats.org/officeDocument/2006/relationships/image" Target="media/image32.wmf"/><Relationship Id="rId70" Type="http://schemas.openxmlformats.org/officeDocument/2006/relationships/oleObject" Target="embeddings/oleObject25.bin"/><Relationship Id="rId7" Type="http://schemas.openxmlformats.org/officeDocument/2006/relationships/header" Target="header4.xml"/><Relationship Id="rId69" Type="http://schemas.openxmlformats.org/officeDocument/2006/relationships/image" Target="media/image31.wmf"/><Relationship Id="rId68" Type="http://schemas.openxmlformats.org/officeDocument/2006/relationships/oleObject" Target="embeddings/oleObject24.bin"/><Relationship Id="rId67" Type="http://schemas.openxmlformats.org/officeDocument/2006/relationships/image" Target="media/image30.wmf"/><Relationship Id="rId66" Type="http://schemas.openxmlformats.org/officeDocument/2006/relationships/oleObject" Target="embeddings/oleObject23.bin"/><Relationship Id="rId65" Type="http://schemas.openxmlformats.org/officeDocument/2006/relationships/image" Target="media/image29.wmf"/><Relationship Id="rId64" Type="http://schemas.openxmlformats.org/officeDocument/2006/relationships/oleObject" Target="embeddings/oleObject22.bin"/><Relationship Id="rId63" Type="http://schemas.openxmlformats.org/officeDocument/2006/relationships/image" Target="media/image28.wmf"/><Relationship Id="rId62" Type="http://schemas.openxmlformats.org/officeDocument/2006/relationships/oleObject" Target="embeddings/oleObject21.bin"/><Relationship Id="rId61" Type="http://schemas.openxmlformats.org/officeDocument/2006/relationships/oleObject" Target="embeddings/oleObject20.bin"/><Relationship Id="rId60" Type="http://schemas.openxmlformats.org/officeDocument/2006/relationships/oleObject" Target="embeddings/oleObject19.bin"/><Relationship Id="rId6" Type="http://schemas.openxmlformats.org/officeDocument/2006/relationships/header" Target="header3.xml"/><Relationship Id="rId59" Type="http://schemas.openxmlformats.org/officeDocument/2006/relationships/oleObject" Target="embeddings/oleObject18.bin"/><Relationship Id="rId58" Type="http://schemas.openxmlformats.org/officeDocument/2006/relationships/oleObject" Target="embeddings/oleObject17.bin"/><Relationship Id="rId57" Type="http://schemas.openxmlformats.org/officeDocument/2006/relationships/image" Target="media/image27.wmf"/><Relationship Id="rId56" Type="http://schemas.openxmlformats.org/officeDocument/2006/relationships/oleObject" Target="embeddings/oleObject16.bin"/><Relationship Id="rId55" Type="http://schemas.openxmlformats.org/officeDocument/2006/relationships/image" Target="media/image26.wmf"/><Relationship Id="rId54" Type="http://schemas.openxmlformats.org/officeDocument/2006/relationships/oleObject" Target="embeddings/oleObject15.bin"/><Relationship Id="rId53" Type="http://schemas.openxmlformats.org/officeDocument/2006/relationships/image" Target="media/image25.wmf"/><Relationship Id="rId52" Type="http://schemas.openxmlformats.org/officeDocument/2006/relationships/oleObject" Target="embeddings/oleObject14.bin"/><Relationship Id="rId51" Type="http://schemas.openxmlformats.org/officeDocument/2006/relationships/image" Target="media/image24.wmf"/><Relationship Id="rId50" Type="http://schemas.openxmlformats.org/officeDocument/2006/relationships/oleObject" Target="embeddings/oleObject13.bin"/><Relationship Id="rId5" Type="http://schemas.openxmlformats.org/officeDocument/2006/relationships/header" Target="header2.xml"/><Relationship Id="rId49" Type="http://schemas.openxmlformats.org/officeDocument/2006/relationships/image" Target="media/image23.wmf"/><Relationship Id="rId48" Type="http://schemas.openxmlformats.org/officeDocument/2006/relationships/oleObject" Target="embeddings/oleObject12.bin"/><Relationship Id="rId47" Type="http://schemas.openxmlformats.org/officeDocument/2006/relationships/image" Target="media/image22.wmf"/><Relationship Id="rId46" Type="http://schemas.openxmlformats.org/officeDocument/2006/relationships/oleObject" Target="embeddings/oleObject11.bin"/><Relationship Id="rId45" Type="http://schemas.openxmlformats.org/officeDocument/2006/relationships/image" Target="media/image21.wmf"/><Relationship Id="rId44" Type="http://schemas.openxmlformats.org/officeDocument/2006/relationships/oleObject" Target="embeddings/oleObject10.bin"/><Relationship Id="rId43" Type="http://schemas.openxmlformats.org/officeDocument/2006/relationships/image" Target="media/image20.wmf"/><Relationship Id="rId42" Type="http://schemas.openxmlformats.org/officeDocument/2006/relationships/oleObject" Target="embeddings/oleObject9.bin"/><Relationship Id="rId41" Type="http://schemas.openxmlformats.org/officeDocument/2006/relationships/image" Target="media/image19.wmf"/><Relationship Id="rId40" Type="http://schemas.openxmlformats.org/officeDocument/2006/relationships/oleObject" Target="embeddings/oleObject8.bin"/><Relationship Id="rId4" Type="http://schemas.openxmlformats.org/officeDocument/2006/relationships/footer" Target="footer1.xml"/><Relationship Id="rId39" Type="http://schemas.openxmlformats.org/officeDocument/2006/relationships/image" Target="media/image18.jpeg"/><Relationship Id="rId38" Type="http://schemas.openxmlformats.org/officeDocument/2006/relationships/chart" Target="charts/chart3.xml"/><Relationship Id="rId37" Type="http://schemas.openxmlformats.org/officeDocument/2006/relationships/chart" Target="charts/chart2.xml"/><Relationship Id="rId36" Type="http://schemas.openxmlformats.org/officeDocument/2006/relationships/chart" Target="charts/chart1.xml"/><Relationship Id="rId35" Type="http://schemas.openxmlformats.org/officeDocument/2006/relationships/oleObject" Target="embeddings/oleObject7.bin"/><Relationship Id="rId34" Type="http://schemas.openxmlformats.org/officeDocument/2006/relationships/image" Target="media/image17.wmf"/><Relationship Id="rId33" Type="http://schemas.openxmlformats.org/officeDocument/2006/relationships/oleObject" Target="embeddings/oleObject6.bin"/><Relationship Id="rId32" Type="http://schemas.openxmlformats.org/officeDocument/2006/relationships/image" Target="media/image16.png"/><Relationship Id="rId31" Type="http://schemas.openxmlformats.org/officeDocument/2006/relationships/image" Target="media/image15.wmf"/><Relationship Id="rId30" Type="http://schemas.openxmlformats.org/officeDocument/2006/relationships/image" Target="media/image14.wmf"/><Relationship Id="rId3" Type="http://schemas.openxmlformats.org/officeDocument/2006/relationships/header" Target="header1.xml"/><Relationship Id="rId29" Type="http://schemas.openxmlformats.org/officeDocument/2006/relationships/image" Target="media/image13.wmf"/><Relationship Id="rId28" Type="http://schemas.openxmlformats.org/officeDocument/2006/relationships/oleObject" Target="embeddings/oleObject5.bin"/><Relationship Id="rId27" Type="http://schemas.openxmlformats.org/officeDocument/2006/relationships/image" Target="media/image12.wmf"/><Relationship Id="rId26" Type="http://schemas.openxmlformats.org/officeDocument/2006/relationships/oleObject" Target="embeddings/oleObject4.bin"/><Relationship Id="rId25" Type="http://schemas.openxmlformats.org/officeDocument/2006/relationships/image" Target="media/image11.wmf"/><Relationship Id="rId24" Type="http://schemas.openxmlformats.org/officeDocument/2006/relationships/oleObject" Target="embeddings/oleObject3.bin"/><Relationship Id="rId23" Type="http://schemas.openxmlformats.org/officeDocument/2006/relationships/image" Target="media/image10.wmf"/><Relationship Id="rId22" Type="http://schemas.openxmlformats.org/officeDocument/2006/relationships/oleObject" Target="embeddings/oleObject2.bin"/><Relationship Id="rId21" Type="http://schemas.openxmlformats.org/officeDocument/2006/relationships/image" Target="media/image9.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51.jpeg"/><Relationship Id="rId102" Type="http://schemas.openxmlformats.org/officeDocument/2006/relationships/image" Target="media/image50.png"/><Relationship Id="rId101" Type="http://schemas.openxmlformats.org/officeDocument/2006/relationships/image" Target="media/image49.png"/><Relationship Id="rId100" Type="http://schemas.openxmlformats.org/officeDocument/2006/relationships/image" Target="media/image48.png"/><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[工作簿1]Sheet1!$B$1</c:f>
              <c:strCache>
                <c:ptCount val="1"/>
                <c:pt idx="0">
                  <c:v>温度</c:v>
                </c:pt>
              </c:strCache>
            </c:strRef>
          </c:tx>
          <c:spPr>
            <a:ln w="12700" cap="rnd" cmpd="sng">
              <a:solidFill>
                <a:schemeClr val="accent2"/>
              </a:solidFill>
              <a:prstDash val="solid"/>
              <a:round/>
            </a:ln>
            <a:effectLst/>
          </c:spPr>
          <c:marker>
            <c:symbol val="circle"/>
            <c:size val="5"/>
            <c:spPr>
              <a:solidFill>
                <a:srgbClr val="FF0000"/>
              </a:solidFill>
              <a:ln w="9525">
                <a:solidFill>
                  <a:schemeClr val="accent2"/>
                </a:solidFill>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[工作簿1]Sheet1!$B$2:$B$13</c:f>
              <c:numCache>
                <c:formatCode>General</c:formatCode>
                <c:ptCount val="12"/>
                <c:pt idx="0">
                  <c:v>-13</c:v>
                </c:pt>
                <c:pt idx="1">
                  <c:v>-14.4</c:v>
                </c:pt>
                <c:pt idx="2">
                  <c:v>-4.1</c:v>
                </c:pt>
                <c:pt idx="3">
                  <c:v>10.4</c:v>
                </c:pt>
                <c:pt idx="4">
                  <c:v>19.4</c:v>
                </c:pt>
                <c:pt idx="5">
                  <c:v>26.1</c:v>
                </c:pt>
                <c:pt idx="6">
                  <c:v>26.9</c:v>
                </c:pt>
                <c:pt idx="7">
                  <c:v>25.8</c:v>
                </c:pt>
                <c:pt idx="8">
                  <c:v>20.4</c:v>
                </c:pt>
                <c:pt idx="9">
                  <c:v>11.2</c:v>
                </c:pt>
                <c:pt idx="10">
                  <c:v>2.3</c:v>
                </c:pt>
                <c:pt idx="11">
                  <c:v>-9.7</c:v>
                </c:pt>
              </c:numCache>
            </c:numRef>
          </c:val>
          <c:smooth val="0"/>
        </c:ser>
        <c:dLbls>
          <c:showLegendKey val="0"/>
          <c:showVal val="1"/>
          <c:showCatName val="0"/>
          <c:showSerName val="0"/>
          <c:showPercent val="0"/>
          <c:showBubbleSize val="0"/>
        </c:dLbls>
        <c:marker val="1"/>
        <c:smooth val="0"/>
        <c:axId val="771893384"/>
        <c:axId val="297267963"/>
      </c:lineChart>
      <c:catAx>
        <c:axId val="771893384"/>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月份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7267963"/>
        <c:crosses val="autoZero"/>
        <c:auto val="1"/>
        <c:lblAlgn val="ctr"/>
        <c:lblOffset val="100"/>
        <c:noMultiLvlLbl val="0"/>
      </c:catAx>
      <c:valAx>
        <c:axId val="297267963"/>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温度</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1893384"/>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1"/>
          <c:order val="0"/>
          <c:tx>
            <c:strRef>
              <c:f>[工作簿1]Sheet2!$B$1</c:f>
              <c:strCache>
                <c:ptCount val="1"/>
                <c:pt idx="0">
                  <c:v>风速</c:v>
                </c:pt>
              </c:strCache>
            </c:strRef>
          </c:tx>
          <c:spPr>
            <a:ln w="12700" cap="rnd" cmpd="sng">
              <a:solidFill>
                <a:srgbClr val="FF0000"/>
              </a:solidFill>
              <a:prstDash val="solid"/>
              <a:round/>
            </a:ln>
            <a:effectLst/>
          </c:spPr>
          <c:marker>
            <c:symbol val="circle"/>
            <c:size val="5"/>
            <c:spPr>
              <a:solidFill>
                <a:schemeClr val="accent2"/>
              </a:solidFill>
              <a:ln w="9525">
                <a:solidFill>
                  <a:schemeClr val="accent2"/>
                </a:solidFill>
              </a:ln>
              <a:effectLst/>
            </c:spPr>
          </c:marker>
          <c:dLbls>
            <c:delete val="1"/>
          </c:dLbls>
          <c:val>
            <c:numRef>
              <c:f>[工作簿1]Sheet2!$B$2:$B$13</c:f>
              <c:numCache>
                <c:formatCode>General</c:formatCode>
                <c:ptCount val="12"/>
                <c:pt idx="0">
                  <c:v>1.5</c:v>
                </c:pt>
                <c:pt idx="1">
                  <c:v>1.3</c:v>
                </c:pt>
                <c:pt idx="2">
                  <c:v>2.4</c:v>
                </c:pt>
                <c:pt idx="3">
                  <c:v>2.7</c:v>
                </c:pt>
                <c:pt idx="4">
                  <c:v>3.3</c:v>
                </c:pt>
                <c:pt idx="5">
                  <c:v>2.8</c:v>
                </c:pt>
                <c:pt idx="6">
                  <c:v>2.6</c:v>
                </c:pt>
                <c:pt idx="7">
                  <c:v>2.8</c:v>
                </c:pt>
                <c:pt idx="8">
                  <c:v>2.4</c:v>
                </c:pt>
                <c:pt idx="9">
                  <c:v>1.8</c:v>
                </c:pt>
                <c:pt idx="10">
                  <c:v>1.8</c:v>
                </c:pt>
                <c:pt idx="11">
                  <c:v>1.7</c:v>
                </c:pt>
              </c:numCache>
            </c:numRef>
          </c:val>
          <c:smooth val="0"/>
        </c:ser>
        <c:dLbls>
          <c:showLegendKey val="0"/>
          <c:showVal val="0"/>
          <c:showCatName val="0"/>
          <c:showSerName val="0"/>
          <c:showPercent val="0"/>
          <c:showBubbleSize val="0"/>
        </c:dLbls>
        <c:marker val="1"/>
        <c:smooth val="0"/>
        <c:axId val="26661166"/>
        <c:axId val="121982146"/>
      </c:lineChart>
      <c:catAx>
        <c:axId val="2666116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1982146"/>
        <c:crosses val="autoZero"/>
        <c:auto val="1"/>
        <c:lblAlgn val="ctr"/>
        <c:lblOffset val="100"/>
        <c:noMultiLvlLbl val="0"/>
      </c:catAx>
      <c:valAx>
        <c:axId val="121982146"/>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66116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[工作簿1]Sheet3!$A$2</c:f>
              <c:strCache>
                <c:ptCount val="1"/>
                <c:pt idx="0">
                  <c:v>春季</c:v>
                </c:pt>
              </c:strCache>
            </c:strRef>
          </c:tx>
          <c:spPr>
            <a:ln w="28575" cap="rnd">
              <a:solidFill>
                <a:schemeClr val="accent1"/>
              </a:solidFill>
              <a:round/>
            </a:ln>
            <a:effectLst/>
          </c:spPr>
          <c:marker>
            <c:symbol val="circle"/>
            <c:size val="5"/>
            <c:spPr>
              <a:solidFill>
                <a:srgbClr val="00B0F0"/>
              </a:solidFill>
              <a:ln w="9525">
                <a:solidFill>
                  <a:schemeClr val="accent1"/>
                </a:solidFill>
              </a:ln>
              <a:effectLst/>
            </c:spPr>
          </c:marker>
          <c:dLbls>
            <c:delete val="1"/>
          </c:dLbls>
          <c:cat>
            <c:numRef>
              <c:f>[工作簿1]Sheet3!$B$1:$Y$1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[工作簿1]Sheet3!$B$2:$Y$2</c:f>
              <c:numCache>
                <c:formatCode>General</c:formatCode>
                <c:ptCount val="24"/>
                <c:pt idx="0">
                  <c:v>2.9</c:v>
                </c:pt>
                <c:pt idx="1">
                  <c:v>2.8</c:v>
                </c:pt>
                <c:pt idx="2">
                  <c:v>2.6</c:v>
                </c:pt>
                <c:pt idx="3">
                  <c:v>2.6</c:v>
                </c:pt>
                <c:pt idx="4">
                  <c:v>2.3</c:v>
                </c:pt>
                <c:pt idx="5">
                  <c:v>2.4</c:v>
                </c:pt>
                <c:pt idx="6">
                  <c:v>2.1</c:v>
                </c:pt>
                <c:pt idx="7">
                  <c:v>2</c:v>
                </c:pt>
                <c:pt idx="8">
                  <c:v>1.8</c:v>
                </c:pt>
                <c:pt idx="9">
                  <c:v>1.9</c:v>
                </c:pt>
                <c:pt idx="10">
                  <c:v>2.5</c:v>
                </c:pt>
                <c:pt idx="11">
                  <c:v>2.8</c:v>
                </c:pt>
                <c:pt idx="12">
                  <c:v>3.1</c:v>
                </c:pt>
                <c:pt idx="13">
                  <c:v>3.2</c:v>
                </c:pt>
                <c:pt idx="14">
                  <c:v>3.4</c:v>
                </c:pt>
                <c:pt idx="15">
                  <c:v>3.7</c:v>
                </c:pt>
                <c:pt idx="16">
                  <c:v>3.5</c:v>
                </c:pt>
                <c:pt idx="17">
                  <c:v>3.5</c:v>
                </c:pt>
                <c:pt idx="18">
                  <c:v>3.4</c:v>
                </c:pt>
                <c:pt idx="19">
                  <c:v>3.2</c:v>
                </c:pt>
                <c:pt idx="20">
                  <c:v>3.1</c:v>
                </c:pt>
                <c:pt idx="21">
                  <c:v>2.9</c:v>
                </c:pt>
                <c:pt idx="22">
                  <c:v>2.8</c:v>
                </c:pt>
                <c:pt idx="23">
                  <c:v>3</c:v>
                </c:pt>
              </c:numCache>
            </c:numRef>
          </c:val>
          <c:smooth val="0"/>
        </c:ser>
        <c:ser>
          <c:idx val="1"/>
          <c:order val="1"/>
          <c:tx>
            <c:strRef>
              <c:f>[工作簿1]Sheet3!$A$3</c:f>
              <c:strCache>
                <c:ptCount val="1"/>
                <c:pt idx="0">
                  <c:v>夏季</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[工作簿1]Sheet3!$B$1:$Y$1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[工作簿1]Sheet3!$B$3:$Y$3</c:f>
              <c:numCache>
                <c:formatCode>General</c:formatCode>
                <c:ptCount val="24"/>
                <c:pt idx="0">
                  <c:v>2.4</c:v>
                </c:pt>
                <c:pt idx="1">
                  <c:v>2.5</c:v>
                </c:pt>
                <c:pt idx="2">
                  <c:v>2.6</c:v>
                </c:pt>
                <c:pt idx="3">
                  <c:v>2.8</c:v>
                </c:pt>
                <c:pt idx="4">
                  <c:v>2.7</c:v>
                </c:pt>
                <c:pt idx="5">
                  <c:v>2.5</c:v>
                </c:pt>
                <c:pt idx="6">
                  <c:v>2.3</c:v>
                </c:pt>
                <c:pt idx="7">
                  <c:v>2.2</c:v>
                </c:pt>
                <c:pt idx="8">
                  <c:v>1.9</c:v>
                </c:pt>
                <c:pt idx="9">
                  <c:v>2.1</c:v>
                </c:pt>
                <c:pt idx="10">
                  <c:v>2.5</c:v>
                </c:pt>
                <c:pt idx="11">
                  <c:v>2.7</c:v>
                </c:pt>
                <c:pt idx="12">
                  <c:v>2.7</c:v>
                </c:pt>
                <c:pt idx="13">
                  <c:v>2.9</c:v>
                </c:pt>
                <c:pt idx="14">
                  <c:v>3.2</c:v>
                </c:pt>
                <c:pt idx="15">
                  <c:v>3.1</c:v>
                </c:pt>
                <c:pt idx="16">
                  <c:v>3.3</c:v>
                </c:pt>
                <c:pt idx="17">
                  <c:v>3.4</c:v>
                </c:pt>
                <c:pt idx="18">
                  <c:v>3.5</c:v>
                </c:pt>
                <c:pt idx="19">
                  <c:v>3.6</c:v>
                </c:pt>
                <c:pt idx="20">
                  <c:v>3.2</c:v>
                </c:pt>
                <c:pt idx="21">
                  <c:v>2.7</c:v>
                </c:pt>
                <c:pt idx="22">
                  <c:v>2.5</c:v>
                </c:pt>
                <c:pt idx="23">
                  <c:v>2.5</c:v>
                </c:pt>
              </c:numCache>
            </c:numRef>
          </c:val>
          <c:smooth val="0"/>
        </c:ser>
        <c:ser>
          <c:idx val="2"/>
          <c:order val="2"/>
          <c:tx>
            <c:strRef>
              <c:f>[工作簿1]Sheet3!$A$4</c:f>
              <c:strCache>
                <c:ptCount val="1"/>
                <c:pt idx="0">
                  <c:v>秋季</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[工作簿1]Sheet3!$B$1:$Y$1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[工作簿1]Sheet3!$B$4:$Y$4</c:f>
              <c:numCache>
                <c:formatCode>General</c:formatCode>
                <c:ptCount val="24"/>
                <c:pt idx="0">
                  <c:v>2.3</c:v>
                </c:pt>
                <c:pt idx="1">
                  <c:v>2.2</c:v>
                </c:pt>
                <c:pt idx="2">
                  <c:v>2.2</c:v>
                </c:pt>
                <c:pt idx="3">
                  <c:v>2</c:v>
                </c:pt>
                <c:pt idx="4">
                  <c:v>1.9</c:v>
                </c:pt>
                <c:pt idx="5">
                  <c:v>1.8</c:v>
                </c:pt>
                <c:pt idx="6">
                  <c:v>1.8</c:v>
                </c:pt>
                <c:pt idx="7">
                  <c:v>1.9</c:v>
                </c:pt>
                <c:pt idx="8">
                  <c:v>2</c:v>
                </c:pt>
                <c:pt idx="9">
                  <c:v>1.6</c:v>
                </c:pt>
                <c:pt idx="10">
                  <c:v>1.8</c:v>
                </c:pt>
                <c:pt idx="11">
                  <c:v>2</c:v>
                </c:pt>
                <c:pt idx="12">
                  <c:v>2.3</c:v>
                </c:pt>
                <c:pt idx="13">
                  <c:v>2.4</c:v>
                </c:pt>
                <c:pt idx="14">
                  <c:v>2.5</c:v>
                </c:pt>
                <c:pt idx="15">
                  <c:v>2.5</c:v>
                </c:pt>
                <c:pt idx="16">
                  <c:v>2.3</c:v>
                </c:pt>
                <c:pt idx="17">
                  <c:v>2</c:v>
                </c:pt>
                <c:pt idx="18">
                  <c:v>1.9</c:v>
                </c:pt>
                <c:pt idx="19">
                  <c:v>1.8</c:v>
                </c:pt>
                <c:pt idx="20">
                  <c:v>1.6</c:v>
                </c:pt>
                <c:pt idx="21">
                  <c:v>1.9</c:v>
                </c:pt>
                <c:pt idx="22">
                  <c:v>2</c:v>
                </c:pt>
                <c:pt idx="23">
                  <c:v>2.1</c:v>
                </c:pt>
              </c:numCache>
            </c:numRef>
          </c:val>
          <c:smooth val="0"/>
        </c:ser>
        <c:ser>
          <c:idx val="3"/>
          <c:order val="3"/>
          <c:tx>
            <c:strRef>
              <c:f>[工作簿1]Sheet3!$A$5</c:f>
              <c:strCache>
                <c:ptCount val="1"/>
                <c:pt idx="0">
                  <c:v>冬季</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[工作簿1]Sheet3!$B$1:$Y$1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[工作簿1]Sheet3!$B$5:$Y$5</c:f>
              <c:numCache>
                <c:formatCode>General</c:formatCode>
                <c:ptCount val="24"/>
                <c:pt idx="0">
                  <c:v>1.4</c:v>
                </c:pt>
                <c:pt idx="1">
                  <c:v>1.4</c:v>
                </c:pt>
                <c:pt idx="2">
                  <c:v>1.3</c:v>
                </c:pt>
                <c:pt idx="3">
                  <c:v>1.3</c:v>
                </c:pt>
                <c:pt idx="4">
                  <c:v>1.5</c:v>
                </c:pt>
                <c:pt idx="5">
                  <c:v>1.3</c:v>
                </c:pt>
                <c:pt idx="6">
                  <c:v>1.2</c:v>
                </c:pt>
                <c:pt idx="7">
                  <c:v>1.3</c:v>
                </c:pt>
                <c:pt idx="8">
                  <c:v>1.3</c:v>
                </c:pt>
                <c:pt idx="9">
                  <c:v>1.1</c:v>
                </c:pt>
                <c:pt idx="10">
                  <c:v>1.4</c:v>
                </c:pt>
                <c:pt idx="11">
                  <c:v>1.4</c:v>
                </c:pt>
                <c:pt idx="12">
                  <c:v>1.7</c:v>
                </c:pt>
                <c:pt idx="13">
                  <c:v>1.8</c:v>
                </c:pt>
                <c:pt idx="14">
                  <c:v>2</c:v>
                </c:pt>
                <c:pt idx="15">
                  <c:v>2</c:v>
                </c:pt>
                <c:pt idx="16">
                  <c:v>2</c:v>
                </c:pt>
                <c:pt idx="17">
                  <c:v>1.8</c:v>
                </c:pt>
                <c:pt idx="18">
                  <c:v>1.5</c:v>
                </c:pt>
                <c:pt idx="19">
                  <c:v>1.4</c:v>
                </c:pt>
                <c:pt idx="20">
                  <c:v>1.4</c:v>
                </c:pt>
                <c:pt idx="21">
                  <c:v>1.4</c:v>
                </c:pt>
                <c:pt idx="22">
                  <c:v>1.4</c:v>
                </c:pt>
                <c:pt idx="23">
                  <c:v>1.4</c:v>
                </c:pt>
              </c:numCache>
            </c:numRef>
          </c:val>
          <c:smooth val="0"/>
        </c:ser>
        <c:dLbls>
          <c:showLegendKey val="0"/>
          <c:showVal val="0"/>
          <c:showCatName val="0"/>
          <c:showSerName val="0"/>
          <c:showPercent val="0"/>
          <c:showBubbleSize val="0"/>
        </c:dLbls>
        <c:marker val="1"/>
        <c:smooth val="0"/>
        <c:axId val="673943853"/>
        <c:axId val="662565973"/>
      </c:lineChart>
      <c:catAx>
        <c:axId val="67394385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2565973"/>
        <c:crosses val="autoZero"/>
        <c:auto val="1"/>
        <c:lblAlgn val="ctr"/>
        <c:lblOffset val="100"/>
        <c:noMultiLvlLbl val="0"/>
      </c:catAx>
      <c:valAx>
        <c:axId val="662565973"/>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风速</a:t>
                </a:r>
                <a:r>
                  <a:rPr lang="en-US" altLang="zh-CN"/>
                  <a:t>m/s</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394385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175</Pages>
  <Words>103535</Words>
  <Characters>119790</Characters>
  <Lines>0</Lines>
  <Paragraphs>0</Paragraphs>
  <TotalTime>33</TotalTime>
  <ScaleCrop>false</ScaleCrop>
  <LinksUpToDate>false</LinksUpToDate>
  <CharactersWithSpaces>121623</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2019-06-23T04:37:00Z</dcterms:created>
  <dc:creator>肉肉1389860857</dc:creator>
  <cp:lastModifiedBy>肉肉1389860857</cp:lastModifiedBy>
  <dcterms:modified xsi:type="dcterms:W3CDTF">2019-08-02T04:52:11Z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