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t>新疆国泰新华化工有限责任公司</w:t>
      </w:r>
    </w:p>
    <w:p>
      <w:pPr>
        <w:jc w:val="center"/>
        <w:rPr>
          <w:rFonts w:hint="eastAsia" w:asciiTheme="majorEastAsia" w:hAnsiTheme="majorEastAsia" w:eastAsiaTheme="majorEastAsia"/>
          <w:b/>
          <w:bCs/>
          <w:sz w:val="44"/>
          <w:szCs w:val="44"/>
        </w:rPr>
      </w:pPr>
      <w:r>
        <w:rPr>
          <w:rFonts w:hint="eastAsia" w:asciiTheme="majorEastAsia" w:hAnsiTheme="majorEastAsia" w:eastAsiaTheme="majorEastAsia"/>
          <w:b/>
          <w:bCs/>
          <w:sz w:val="44"/>
          <w:szCs w:val="44"/>
        </w:rPr>
        <w:t>准东经济技术开发区煤基精细化工循环经济工业园一期项目动力站2</w:t>
      </w:r>
      <w:r>
        <w:rPr>
          <w:rFonts w:hint="default" w:ascii="Arial" w:hAnsi="Arial" w:cs="Arial" w:eastAsiaTheme="majorEastAsia"/>
          <w:b/>
          <w:bCs/>
          <w:sz w:val="44"/>
          <w:szCs w:val="44"/>
          <w:lang w:val="en-US" w:eastAsia="zh-CN"/>
        </w:rPr>
        <w:t>×</w:t>
      </w:r>
      <w:r>
        <w:rPr>
          <w:rFonts w:hint="eastAsia" w:asciiTheme="majorEastAsia" w:hAnsiTheme="majorEastAsia" w:eastAsiaTheme="majorEastAsia"/>
          <w:b/>
          <w:bCs/>
          <w:sz w:val="44"/>
          <w:szCs w:val="44"/>
          <w:lang w:val="en-US" w:eastAsia="zh-CN"/>
        </w:rPr>
        <w:t>350MW</w:t>
      </w:r>
      <w:r>
        <w:rPr>
          <w:rFonts w:hint="eastAsia" w:asciiTheme="majorEastAsia" w:hAnsiTheme="majorEastAsia" w:eastAsiaTheme="majorEastAsia"/>
          <w:b/>
          <w:bCs/>
          <w:sz w:val="44"/>
          <w:szCs w:val="44"/>
        </w:rPr>
        <w:t>机组</w:t>
      </w:r>
    </w:p>
    <w:p>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竣工环境保护验收监测报告</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bCs/>
          <w:sz w:val="28"/>
          <w:szCs w:val="28"/>
          <w:lang w:eastAsia="zh-CN"/>
        </w:rPr>
      </w:pPr>
    </w:p>
    <w:p>
      <w:pPr>
        <w:pStyle w:val="3"/>
        <w:rPr>
          <w:rFonts w:hint="eastAsia"/>
          <w:lang w:val="en-US" w:eastAsia="zh-CN"/>
        </w:rPr>
      </w:pPr>
    </w:p>
    <w:p>
      <w:pPr>
        <w:jc w:val="center"/>
        <w:rPr>
          <w:rFonts w:hint="eastAsia" w:asciiTheme="majorEastAsia" w:hAnsiTheme="majorEastAsia" w:eastAsiaTheme="majorEastAsia"/>
          <w:sz w:val="44"/>
          <w:szCs w:val="44"/>
          <w:lang w:eastAsia="zh-CN"/>
        </w:rPr>
      </w:pPr>
      <w:r>
        <w:rPr>
          <w:rFonts w:hint="eastAsia" w:asciiTheme="majorEastAsia" w:hAnsiTheme="majorEastAsia" w:eastAsiaTheme="majorEastAsia"/>
          <w:sz w:val="44"/>
          <w:szCs w:val="44"/>
          <w:lang w:eastAsia="zh-CN"/>
        </w:rPr>
        <w:drawing>
          <wp:inline distT="0" distB="0" distL="114300" distR="114300">
            <wp:extent cx="5267325" cy="3950335"/>
            <wp:effectExtent l="0" t="0" r="5715" b="12065"/>
            <wp:docPr id="1" name="图片 1" descr="377820685639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7820685639050272"/>
                    <pic:cNvPicPr>
                      <a:picLocks noChangeAspect="1"/>
                    </pic:cNvPicPr>
                  </pic:nvPicPr>
                  <pic:blipFill>
                    <a:blip r:embed="rId6"/>
                    <a:stretch>
                      <a:fillRect/>
                    </a:stretch>
                  </pic:blipFill>
                  <pic:spPr>
                    <a:xfrm>
                      <a:off x="0" y="0"/>
                      <a:ext cx="5267325" cy="3950335"/>
                    </a:xfrm>
                    <a:prstGeom prst="rect">
                      <a:avLst/>
                    </a:prstGeom>
                  </pic:spPr>
                </pic:pic>
              </a:graphicData>
            </a:graphic>
          </wp:inline>
        </w:drawing>
      </w: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hint="eastAsia" w:asciiTheme="majorEastAsia" w:hAnsiTheme="majorEastAsia" w:eastAsiaTheme="majorEastAsia"/>
          <w:b/>
          <w:bCs/>
          <w:sz w:val="32"/>
          <w:szCs w:val="32"/>
        </w:rPr>
      </w:pPr>
    </w:p>
    <w:p>
      <w:pPr>
        <w:jc w:val="center"/>
        <w:rPr>
          <w:rFonts w:asciiTheme="majorEastAsia" w:hAnsiTheme="majorEastAsia" w:eastAsiaTheme="majorEastAsia"/>
          <w:b/>
          <w:bCs/>
          <w:sz w:val="32"/>
          <w:szCs w:val="32"/>
        </w:rPr>
      </w:pPr>
      <w:r>
        <w:rPr>
          <w:rFonts w:hint="eastAsia" w:asciiTheme="majorEastAsia" w:hAnsiTheme="majorEastAsia" w:eastAsiaTheme="majorEastAsia"/>
          <w:b/>
          <w:bCs/>
          <w:sz w:val="32"/>
          <w:szCs w:val="32"/>
        </w:rPr>
        <w:t>新疆新环监测检测研究院（有限公司）</w:t>
      </w:r>
    </w:p>
    <w:p>
      <w:pPr>
        <w:jc w:val="center"/>
        <w:rPr>
          <w:rFonts w:asciiTheme="majorEastAsia" w:hAnsiTheme="majorEastAsia" w:eastAsiaTheme="majorEastAsia"/>
          <w:b/>
          <w:bCs/>
          <w:sz w:val="32"/>
          <w:szCs w:val="32"/>
        </w:rPr>
      </w:pPr>
      <w:r>
        <w:rPr>
          <w:rFonts w:hint="eastAsia" w:asciiTheme="majorEastAsia" w:hAnsiTheme="majorEastAsia" w:eastAsiaTheme="majorEastAsia"/>
          <w:b/>
          <w:bCs/>
          <w:sz w:val="32"/>
          <w:szCs w:val="32"/>
        </w:rPr>
        <w:t>2018年1</w:t>
      </w:r>
      <w:r>
        <w:rPr>
          <w:rFonts w:hint="eastAsia" w:asciiTheme="majorEastAsia" w:hAnsiTheme="majorEastAsia" w:eastAsiaTheme="majorEastAsia"/>
          <w:b/>
          <w:bCs/>
          <w:sz w:val="32"/>
          <w:szCs w:val="32"/>
          <w:lang w:val="en-US" w:eastAsia="zh-CN"/>
        </w:rPr>
        <w:t>2</w:t>
      </w:r>
      <w:r>
        <w:rPr>
          <w:rFonts w:hint="eastAsia" w:asciiTheme="majorEastAsia" w:hAnsiTheme="majorEastAsia" w:eastAsiaTheme="majorEastAsia"/>
          <w:b/>
          <w:bCs/>
          <w:sz w:val="32"/>
          <w:szCs w:val="32"/>
        </w:rPr>
        <w:t>月</w:t>
      </w:r>
    </w:p>
    <w:p>
      <w:pPr>
        <w:ind w:left="1920" w:hanging="1920" w:hangingChars="600"/>
        <w:rPr>
          <w:rFonts w:hint="eastAsia" w:ascii="宋体" w:hAnsi="宋体"/>
          <w:sz w:val="32"/>
          <w:szCs w:val="32"/>
        </w:rPr>
      </w:pPr>
    </w:p>
    <w:p>
      <w:pPr>
        <w:ind w:left="1920" w:hanging="1920" w:hangingChars="600"/>
        <w:rPr>
          <w:rFonts w:ascii="宋体" w:hAnsi="宋体"/>
          <w:sz w:val="32"/>
          <w:szCs w:val="32"/>
        </w:rPr>
      </w:pPr>
      <w:r>
        <w:rPr>
          <w:rFonts w:hint="eastAsia" w:ascii="宋体" w:hAnsi="宋体"/>
          <w:sz w:val="32"/>
          <w:szCs w:val="32"/>
        </w:rPr>
        <w:t>项</w:t>
      </w:r>
      <w:r>
        <w:rPr>
          <w:rFonts w:hint="eastAsia" w:ascii="宋体" w:hAnsi="宋体"/>
          <w:sz w:val="32"/>
          <w:szCs w:val="32"/>
          <w:lang w:val="en-US" w:eastAsia="zh-CN"/>
        </w:rPr>
        <w:t xml:space="preserve"> </w:t>
      </w:r>
      <w:r>
        <w:rPr>
          <w:rFonts w:hint="eastAsia" w:ascii="宋体" w:hAnsi="宋体"/>
          <w:sz w:val="32"/>
          <w:szCs w:val="32"/>
        </w:rPr>
        <w:t>目</w:t>
      </w:r>
      <w:r>
        <w:rPr>
          <w:rFonts w:hint="eastAsia" w:ascii="宋体" w:hAnsi="宋体"/>
          <w:sz w:val="32"/>
          <w:szCs w:val="32"/>
          <w:lang w:val="en-US" w:eastAsia="zh-CN"/>
        </w:rPr>
        <w:t xml:space="preserve"> </w:t>
      </w:r>
      <w:r>
        <w:rPr>
          <w:rFonts w:hint="eastAsia" w:ascii="宋体" w:hAnsi="宋体"/>
          <w:sz w:val="32"/>
          <w:szCs w:val="32"/>
        </w:rPr>
        <w:t>名称：</w:t>
      </w:r>
      <w:r>
        <w:rPr>
          <w:rFonts w:hint="eastAsia" w:ascii="宋体" w:hAnsi="宋体"/>
          <w:sz w:val="32"/>
          <w:szCs w:val="32"/>
          <w:lang w:eastAsia="zh-CN"/>
        </w:rPr>
        <w:t>新疆国泰新华化工有限责任公司</w:t>
      </w:r>
      <w:r>
        <w:rPr>
          <w:rFonts w:hint="eastAsia" w:ascii="宋体" w:hAnsi="宋体"/>
          <w:sz w:val="32"/>
          <w:szCs w:val="32"/>
        </w:rPr>
        <w:t>准东经济技术开发区煤基精细化工循环经济工业园一期项目动力站</w:t>
      </w:r>
    </w:p>
    <w:p>
      <w:pPr>
        <w:rPr>
          <w:rFonts w:hint="eastAsia" w:ascii="宋体" w:hAnsi="宋体" w:eastAsiaTheme="minorEastAsia"/>
          <w:sz w:val="32"/>
          <w:szCs w:val="32"/>
          <w:lang w:eastAsia="zh-CN"/>
        </w:rPr>
      </w:pPr>
      <w:r>
        <w:rPr>
          <w:rFonts w:hint="eastAsia" w:ascii="宋体" w:hAnsi="宋体"/>
          <w:sz w:val="32"/>
          <w:szCs w:val="32"/>
        </w:rPr>
        <w:t>建</w:t>
      </w:r>
      <w:r>
        <w:rPr>
          <w:rFonts w:hint="eastAsia" w:ascii="宋体" w:hAnsi="宋体"/>
          <w:sz w:val="32"/>
          <w:szCs w:val="32"/>
          <w:lang w:val="en-US" w:eastAsia="zh-CN"/>
        </w:rPr>
        <w:t xml:space="preserve"> </w:t>
      </w:r>
      <w:r>
        <w:rPr>
          <w:rFonts w:hint="eastAsia" w:ascii="宋体" w:hAnsi="宋体"/>
          <w:sz w:val="32"/>
          <w:szCs w:val="32"/>
        </w:rPr>
        <w:t>设</w:t>
      </w:r>
      <w:r>
        <w:rPr>
          <w:rFonts w:hint="eastAsia" w:ascii="宋体" w:hAnsi="宋体"/>
          <w:sz w:val="32"/>
          <w:szCs w:val="32"/>
          <w:lang w:val="en-US" w:eastAsia="zh-CN"/>
        </w:rPr>
        <w:t xml:space="preserve"> </w:t>
      </w:r>
      <w:r>
        <w:rPr>
          <w:rFonts w:hint="eastAsia" w:ascii="宋体" w:hAnsi="宋体"/>
          <w:sz w:val="32"/>
          <w:szCs w:val="32"/>
        </w:rPr>
        <w:t>单位：</w:t>
      </w:r>
      <w:r>
        <w:rPr>
          <w:rFonts w:hint="eastAsia" w:ascii="宋体" w:hAnsi="宋体"/>
          <w:sz w:val="32"/>
          <w:szCs w:val="32"/>
          <w:lang w:eastAsia="zh-CN"/>
        </w:rPr>
        <w:t>新疆国泰新华化工有限责任公司</w:t>
      </w:r>
    </w:p>
    <w:p>
      <w:pPr>
        <w:rPr>
          <w:rFonts w:hint="eastAsia" w:ascii="宋体" w:hAnsi="宋体" w:eastAsiaTheme="minorEastAsia"/>
          <w:sz w:val="32"/>
          <w:lang w:eastAsia="zh-CN"/>
        </w:rPr>
      </w:pPr>
      <w:r>
        <w:rPr>
          <w:rFonts w:hint="eastAsia" w:ascii="宋体" w:hAnsi="宋体"/>
          <w:sz w:val="32"/>
          <w:lang w:eastAsia="zh-CN"/>
        </w:rPr>
        <w:t>法定代表人：封春芳</w:t>
      </w:r>
    </w:p>
    <w:p>
      <w:pPr>
        <w:ind w:firstLine="480" w:firstLineChars="150"/>
        <w:rPr>
          <w:rFonts w:ascii="宋体" w:hAnsi="宋体"/>
          <w:sz w:val="32"/>
        </w:rPr>
      </w:pPr>
    </w:p>
    <w:p>
      <w:pPr>
        <w:ind w:firstLine="480" w:firstLineChars="150"/>
        <w:rPr>
          <w:rFonts w:ascii="宋体" w:hAnsi="宋体"/>
          <w:sz w:val="32"/>
        </w:rPr>
      </w:pPr>
    </w:p>
    <w:p>
      <w:pPr>
        <w:ind w:firstLine="480" w:firstLineChars="150"/>
        <w:rPr>
          <w:rFonts w:ascii="宋体" w:hAnsi="宋体"/>
          <w:sz w:val="32"/>
        </w:rPr>
      </w:pPr>
    </w:p>
    <w:p>
      <w:pPr>
        <w:rPr>
          <w:sz w:val="32"/>
          <w:szCs w:val="32"/>
        </w:rPr>
      </w:pPr>
      <w:r>
        <w:rPr>
          <w:sz w:val="32"/>
          <w:szCs w:val="32"/>
        </w:rPr>
        <w:t>承</w:t>
      </w:r>
      <w:r>
        <w:rPr>
          <w:rFonts w:hint="eastAsia"/>
          <w:sz w:val="32"/>
          <w:szCs w:val="32"/>
          <w:lang w:val="en-US" w:eastAsia="zh-CN"/>
        </w:rPr>
        <w:t xml:space="preserve"> </w:t>
      </w:r>
      <w:r>
        <w:rPr>
          <w:sz w:val="32"/>
          <w:szCs w:val="32"/>
        </w:rPr>
        <w:t>担</w:t>
      </w:r>
      <w:r>
        <w:rPr>
          <w:rFonts w:hint="eastAsia"/>
          <w:sz w:val="32"/>
          <w:szCs w:val="32"/>
          <w:lang w:val="en-US" w:eastAsia="zh-CN"/>
        </w:rPr>
        <w:t xml:space="preserve"> </w:t>
      </w:r>
      <w:r>
        <w:rPr>
          <w:sz w:val="32"/>
          <w:szCs w:val="32"/>
        </w:rPr>
        <w:t>单位：</w:t>
      </w:r>
      <w:r>
        <w:rPr>
          <w:rFonts w:hint="eastAsia"/>
          <w:color w:val="000000"/>
          <w:sz w:val="32"/>
          <w:szCs w:val="32"/>
        </w:rPr>
        <w:t>新疆新环监测检测研究院（有限公司）</w:t>
      </w:r>
    </w:p>
    <w:p>
      <w:pPr>
        <w:rPr>
          <w:sz w:val="32"/>
          <w:szCs w:val="32"/>
        </w:rPr>
      </w:pPr>
      <w:r>
        <w:rPr>
          <w:rFonts w:hint="eastAsia"/>
          <w:sz w:val="32"/>
          <w:szCs w:val="32"/>
        </w:rPr>
        <w:t>法定代表人</w:t>
      </w:r>
      <w:r>
        <w:rPr>
          <w:sz w:val="32"/>
          <w:szCs w:val="32"/>
        </w:rPr>
        <w:t>：</w:t>
      </w:r>
      <w:r>
        <w:rPr>
          <w:rFonts w:hint="eastAsia"/>
          <w:sz w:val="32"/>
          <w:szCs w:val="32"/>
        </w:rPr>
        <w:t>姚伟民</w:t>
      </w:r>
    </w:p>
    <w:p>
      <w:pPr>
        <w:rPr>
          <w:sz w:val="32"/>
          <w:szCs w:val="32"/>
        </w:rPr>
      </w:pPr>
      <w:r>
        <w:rPr>
          <w:sz w:val="32"/>
          <w:szCs w:val="32"/>
        </w:rPr>
        <w:t>项目负责人：</w:t>
      </w:r>
      <w:r>
        <w:rPr>
          <w:rFonts w:hint="eastAsia"/>
          <w:sz w:val="32"/>
          <w:szCs w:val="32"/>
        </w:rPr>
        <w:t>刘</w:t>
      </w:r>
      <w:r>
        <w:rPr>
          <w:rFonts w:hint="eastAsia"/>
          <w:sz w:val="32"/>
          <w:szCs w:val="32"/>
          <w:lang w:val="en-US" w:eastAsia="zh-CN"/>
        </w:rPr>
        <w:t xml:space="preserve">  </w:t>
      </w:r>
      <w:r>
        <w:rPr>
          <w:rFonts w:hint="eastAsia"/>
          <w:sz w:val="32"/>
          <w:szCs w:val="32"/>
        </w:rPr>
        <w:t>伟</w:t>
      </w:r>
    </w:p>
    <w:p>
      <w:pPr>
        <w:rPr>
          <w:sz w:val="32"/>
          <w:szCs w:val="32"/>
        </w:rPr>
      </w:pPr>
      <w:r>
        <w:rPr>
          <w:sz w:val="32"/>
          <w:szCs w:val="32"/>
        </w:rPr>
        <w:t>报</w:t>
      </w:r>
      <w:r>
        <w:rPr>
          <w:rFonts w:hint="eastAsia"/>
          <w:sz w:val="32"/>
          <w:szCs w:val="32"/>
          <w:lang w:val="en-US" w:eastAsia="zh-CN"/>
        </w:rPr>
        <w:t xml:space="preserve"> </w:t>
      </w:r>
      <w:r>
        <w:rPr>
          <w:sz w:val="32"/>
          <w:szCs w:val="32"/>
        </w:rPr>
        <w:t>告</w:t>
      </w:r>
      <w:r>
        <w:rPr>
          <w:rFonts w:hint="eastAsia"/>
          <w:sz w:val="32"/>
          <w:szCs w:val="32"/>
          <w:lang w:val="en-US" w:eastAsia="zh-CN"/>
        </w:rPr>
        <w:t xml:space="preserve"> </w:t>
      </w:r>
      <w:r>
        <w:rPr>
          <w:sz w:val="32"/>
          <w:szCs w:val="32"/>
        </w:rPr>
        <w:t>编写：</w:t>
      </w:r>
      <w:r>
        <w:rPr>
          <w:rFonts w:hint="eastAsia"/>
          <w:sz w:val="32"/>
          <w:szCs w:val="32"/>
        </w:rPr>
        <w:t>袁</w:t>
      </w:r>
      <w:r>
        <w:rPr>
          <w:rFonts w:hint="eastAsia"/>
          <w:sz w:val="32"/>
          <w:szCs w:val="32"/>
          <w:lang w:val="en-US" w:eastAsia="zh-CN"/>
        </w:rPr>
        <w:t xml:space="preserve">  </w:t>
      </w:r>
      <w:r>
        <w:rPr>
          <w:rFonts w:hint="eastAsia"/>
          <w:sz w:val="32"/>
          <w:szCs w:val="32"/>
        </w:rPr>
        <w:t>航</w:t>
      </w:r>
    </w:p>
    <w:p>
      <w:pPr>
        <w:rPr>
          <w:sz w:val="32"/>
          <w:szCs w:val="32"/>
        </w:rPr>
      </w:pPr>
      <w:r>
        <w:rPr>
          <w:sz w:val="32"/>
          <w:szCs w:val="32"/>
        </w:rPr>
        <w:t>报</w:t>
      </w:r>
      <w:r>
        <w:rPr>
          <w:rFonts w:hint="eastAsia"/>
          <w:sz w:val="32"/>
          <w:szCs w:val="32"/>
          <w:lang w:val="en-US" w:eastAsia="zh-CN"/>
        </w:rPr>
        <w:t xml:space="preserve"> </w:t>
      </w:r>
      <w:r>
        <w:rPr>
          <w:sz w:val="32"/>
          <w:szCs w:val="32"/>
        </w:rPr>
        <w:t>告</w:t>
      </w:r>
      <w:r>
        <w:rPr>
          <w:rFonts w:hint="eastAsia"/>
          <w:sz w:val="32"/>
          <w:szCs w:val="32"/>
          <w:lang w:val="en-US" w:eastAsia="zh-CN"/>
        </w:rPr>
        <w:t xml:space="preserve"> </w:t>
      </w:r>
      <w:r>
        <w:rPr>
          <w:sz w:val="32"/>
          <w:szCs w:val="32"/>
        </w:rPr>
        <w:t>审核：</w:t>
      </w:r>
      <w:r>
        <w:rPr>
          <w:rFonts w:hint="eastAsia"/>
          <w:sz w:val="32"/>
          <w:szCs w:val="32"/>
        </w:rPr>
        <w:t>江</w:t>
      </w:r>
      <w:r>
        <w:rPr>
          <w:rFonts w:hint="eastAsia"/>
          <w:sz w:val="32"/>
          <w:szCs w:val="32"/>
          <w:lang w:val="en-US" w:eastAsia="zh-CN"/>
        </w:rPr>
        <w:t xml:space="preserve">  </w:t>
      </w:r>
      <w:r>
        <w:rPr>
          <w:rFonts w:hint="eastAsia"/>
          <w:sz w:val="32"/>
          <w:szCs w:val="32"/>
        </w:rPr>
        <w:t>铃</w:t>
      </w:r>
    </w:p>
    <w:p>
      <w:pPr>
        <w:keepNext w:val="0"/>
        <w:keepLines w:val="0"/>
        <w:pageBreakBefore w:val="0"/>
        <w:widowControl w:val="0"/>
        <w:kinsoku/>
        <w:wordWrap/>
        <w:overflowPunct/>
        <w:topLinePunct w:val="0"/>
        <w:autoSpaceDE/>
        <w:autoSpaceDN/>
        <w:bidi w:val="0"/>
        <w:adjustRightInd/>
        <w:snapToGrid/>
        <w:ind w:left="0" w:firstLine="0" w:firstLineChars="0"/>
        <w:jc w:val="both"/>
        <w:textAlignment w:val="auto"/>
        <w:outlineLvl w:val="9"/>
        <w:rPr>
          <w:sz w:val="32"/>
          <w:szCs w:val="32"/>
        </w:rPr>
      </w:pPr>
      <w:r>
        <w:rPr>
          <w:rFonts w:hint="eastAsia"/>
          <w:sz w:val="32"/>
          <w:szCs w:val="32"/>
        </w:rPr>
        <w:t>现场监测人员：邓福鹏、李旭文、聂聪、蒋哲熠、闫峰、徐凯、丁真杰、石强、郭龙、晁增友、许奎、梁港、倪韶杰、刘浩然</w:t>
      </w:r>
      <w:r>
        <w:rPr>
          <w:sz w:val="32"/>
          <w:szCs w:val="32"/>
        </w:rPr>
        <w:t xml:space="preserve"> </w:t>
      </w:r>
    </w:p>
    <w:p>
      <w:pPr>
        <w:jc w:val="center"/>
        <w:rPr>
          <w:rFonts w:ascii="宋体" w:hAnsi="宋体"/>
          <w:b/>
          <w:sz w:val="44"/>
        </w:rPr>
      </w:pPr>
    </w:p>
    <w:p>
      <w:pPr>
        <w:jc w:val="center"/>
        <w:rPr>
          <w:rFonts w:ascii="宋体" w:hAnsi="宋体"/>
          <w:b/>
          <w:sz w:val="44"/>
        </w:rPr>
      </w:pPr>
    </w:p>
    <w:p>
      <w:pPr>
        <w:rPr>
          <w:color w:val="000000"/>
          <w:sz w:val="32"/>
          <w:szCs w:val="32"/>
        </w:rPr>
      </w:pPr>
      <w:r>
        <w:rPr>
          <w:rFonts w:hint="eastAsia"/>
          <w:color w:val="000000"/>
          <w:sz w:val="32"/>
          <w:szCs w:val="32"/>
        </w:rPr>
        <w:t>新疆新环监测检测研究院（有限公司）</w:t>
      </w:r>
    </w:p>
    <w:p>
      <w:pPr>
        <w:tabs>
          <w:tab w:val="left" w:pos="4530"/>
        </w:tabs>
        <w:rPr>
          <w:color w:val="000000"/>
          <w:sz w:val="32"/>
          <w:szCs w:val="32"/>
        </w:rPr>
      </w:pPr>
      <w:r>
        <w:rPr>
          <w:rFonts w:hint="eastAsia"/>
          <w:color w:val="000000"/>
          <w:sz w:val="32"/>
          <w:szCs w:val="32"/>
        </w:rPr>
        <w:t>地址：乌鲁木齐高新区（新市区）环园路</w:t>
      </w:r>
      <w:r>
        <w:rPr>
          <w:rFonts w:hint="eastAsia" w:ascii="宋体" w:hAnsi="宋体" w:eastAsia="宋体" w:cs="宋体"/>
          <w:color w:val="000000"/>
          <w:sz w:val="32"/>
          <w:szCs w:val="32"/>
        </w:rPr>
        <w:t>南2巷90号</w:t>
      </w:r>
    </w:p>
    <w:p>
      <w:pPr>
        <w:tabs>
          <w:tab w:val="left" w:pos="4530"/>
        </w:tabs>
        <w:rPr>
          <w:rFonts w:ascii="宋体" w:hAnsi="宋体"/>
          <w:color w:val="000000"/>
          <w:sz w:val="32"/>
          <w:szCs w:val="32"/>
        </w:rPr>
      </w:pPr>
      <w:r>
        <w:rPr>
          <w:rFonts w:hint="eastAsia"/>
          <w:color w:val="000000"/>
          <w:sz w:val="32"/>
          <w:szCs w:val="32"/>
        </w:rPr>
        <w:t>邮编：</w:t>
      </w:r>
      <w:r>
        <w:rPr>
          <w:rFonts w:hint="eastAsia" w:ascii="宋体" w:hAnsi="宋体" w:eastAsia="宋体" w:cs="宋体"/>
          <w:color w:val="000000"/>
          <w:sz w:val="32"/>
          <w:szCs w:val="32"/>
        </w:rPr>
        <w:t>830016</w:t>
      </w:r>
    </w:p>
    <w:p>
      <w:pPr>
        <w:tabs>
          <w:tab w:val="left" w:pos="4530"/>
        </w:tabs>
        <w:spacing w:line="480" w:lineRule="exact"/>
        <w:ind w:left="800" w:hanging="800" w:hangingChars="250"/>
        <w:rPr>
          <w:rFonts w:ascii="宋体" w:hAnsi="宋体"/>
          <w:color w:val="000000"/>
          <w:sz w:val="32"/>
          <w:szCs w:val="32"/>
        </w:rPr>
      </w:pPr>
      <w:r>
        <w:rPr>
          <w:rFonts w:hint="eastAsia" w:ascii="宋体" w:hAnsi="宋体"/>
          <w:color w:val="000000"/>
          <w:sz w:val="32"/>
          <w:szCs w:val="32"/>
        </w:rPr>
        <w:t>联系电话：0991-6631699</w:t>
      </w:r>
    </w:p>
    <w:tbl>
      <w:tblPr>
        <w:tblStyle w:val="1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0"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78635"/>
                  <wp:effectExtent l="0" t="0" r="3810" b="12065"/>
                  <wp:docPr id="6" name="图片 6" descr="61341955889935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3419558899355757"/>
                          <pic:cNvPicPr>
                            <a:picLocks noChangeAspect="1"/>
                          </pic:cNvPicPr>
                        </pic:nvPicPr>
                        <pic:blipFill>
                          <a:blip r:embed="rId7"/>
                          <a:stretch>
                            <a:fillRect/>
                          </a:stretch>
                        </pic:blipFill>
                        <pic:spPr>
                          <a:xfrm>
                            <a:off x="0" y="0"/>
                            <a:ext cx="2567940" cy="1778635"/>
                          </a:xfrm>
                          <a:prstGeom prst="rect">
                            <a:avLst/>
                          </a:prstGeom>
                        </pic:spPr>
                      </pic:pic>
                    </a:graphicData>
                  </a:graphic>
                </wp:inline>
              </w:drawing>
            </w:r>
          </w:p>
          <w:p>
            <w:pPr>
              <w:pStyle w:val="2"/>
              <w:jc w:val="center"/>
              <w:rPr>
                <w:rFonts w:hint="eastAsia" w:asciiTheme="majorEastAsia" w:hAnsiTheme="majorEastAsia" w:eastAsiaTheme="majorEastAsia"/>
                <w:sz w:val="24"/>
                <w:szCs w:val="24"/>
                <w:vertAlign w:val="baseline"/>
                <w:lang w:val="en-US" w:eastAsia="zh-CN"/>
              </w:rPr>
            </w:pPr>
            <w:r>
              <w:rPr>
                <w:rFonts w:hint="eastAsia" w:asciiTheme="majorEastAsia" w:hAnsiTheme="majorEastAsia" w:eastAsiaTheme="majorEastAsia"/>
                <w:sz w:val="24"/>
                <w:szCs w:val="24"/>
                <w:vertAlign w:val="baseline"/>
                <w:lang w:val="en-US" w:eastAsia="zh-CN"/>
              </w:rPr>
              <w:t>冷却塔</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29105"/>
                  <wp:effectExtent l="0" t="0" r="3810" b="4445"/>
                  <wp:docPr id="5" name="图片 5" descr="36721739587080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7217395870805405"/>
                          <pic:cNvPicPr>
                            <a:picLocks noChangeAspect="1"/>
                          </pic:cNvPicPr>
                        </pic:nvPicPr>
                        <pic:blipFill>
                          <a:blip r:embed="rId8"/>
                          <a:stretch>
                            <a:fillRect/>
                          </a:stretch>
                        </pic:blipFill>
                        <pic:spPr>
                          <a:xfrm>
                            <a:off x="0" y="0"/>
                            <a:ext cx="2567940" cy="1729105"/>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灰库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5"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50060"/>
                  <wp:effectExtent l="0" t="0" r="3810" b="2540"/>
                  <wp:docPr id="4" name="图片 4" descr="17772574601958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725746019587249"/>
                          <pic:cNvPicPr>
                            <a:picLocks noChangeAspect="1"/>
                          </pic:cNvPicPr>
                        </pic:nvPicPr>
                        <pic:blipFill>
                          <a:blip r:embed="rId9"/>
                          <a:stretch>
                            <a:fillRect/>
                          </a:stretch>
                        </pic:blipFill>
                        <pic:spPr>
                          <a:xfrm>
                            <a:off x="0" y="0"/>
                            <a:ext cx="2567940" cy="175006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转运站</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50060"/>
                  <wp:effectExtent l="0" t="0" r="3810" b="2540"/>
                  <wp:docPr id="7" name="图片 7" descr="8555794839107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5579483910720160"/>
                          <pic:cNvPicPr>
                            <a:picLocks noChangeAspect="1"/>
                          </pic:cNvPicPr>
                        </pic:nvPicPr>
                        <pic:blipFill>
                          <a:blip r:embed="rId10"/>
                          <a:stretch>
                            <a:fillRect/>
                          </a:stretch>
                        </pic:blipFill>
                        <pic:spPr>
                          <a:xfrm>
                            <a:off x="0" y="0"/>
                            <a:ext cx="2567940" cy="175006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6"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06245"/>
                  <wp:effectExtent l="0" t="0" r="3810" b="8255"/>
                  <wp:docPr id="8" name="图片 8" descr="5364070174074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6407017407470679"/>
                          <pic:cNvPicPr>
                            <a:picLocks noChangeAspect="1"/>
                          </pic:cNvPicPr>
                        </pic:nvPicPr>
                        <pic:blipFill>
                          <a:blip r:embed="rId11"/>
                          <a:stretch>
                            <a:fillRect/>
                          </a:stretch>
                        </pic:blipFill>
                        <pic:spPr>
                          <a:xfrm>
                            <a:off x="0" y="0"/>
                            <a:ext cx="2567940" cy="1706245"/>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脱硫石膏库</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684655"/>
                  <wp:effectExtent l="0" t="0" r="3810" b="10795"/>
                  <wp:docPr id="9" name="图片 9" descr="72544572604025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5445726040252167"/>
                          <pic:cNvPicPr>
                            <a:picLocks noChangeAspect="1"/>
                          </pic:cNvPicPr>
                        </pic:nvPicPr>
                        <pic:blipFill>
                          <a:blip r:embed="rId12"/>
                          <a:stretch>
                            <a:fillRect/>
                          </a:stretch>
                        </pic:blipFill>
                        <pic:spPr>
                          <a:xfrm>
                            <a:off x="0" y="0"/>
                            <a:ext cx="2567940" cy="1684655"/>
                          </a:xfrm>
                          <a:prstGeom prst="rect">
                            <a:avLst/>
                          </a:prstGeom>
                        </pic:spPr>
                      </pic:pic>
                    </a:graphicData>
                  </a:graphic>
                </wp:inline>
              </w:drawing>
            </w:r>
          </w:p>
          <w:p>
            <w:pPr>
              <w:pStyle w:val="2"/>
              <w:jc w:val="center"/>
              <w:rPr>
                <w:rFonts w:hint="eastAsia" w:asciiTheme="majorEastAsia" w:hAnsiTheme="majorEastAsia" w:eastAsiaTheme="majorEastAsia"/>
                <w:sz w:val="24"/>
                <w:szCs w:val="24"/>
                <w:vertAlign w:val="baseline"/>
                <w:lang w:eastAsia="zh-CN"/>
              </w:rPr>
            </w:pPr>
            <w:r>
              <w:rPr>
                <w:rFonts w:hint="eastAsia" w:asciiTheme="majorEastAsia" w:hAnsiTheme="majorEastAsia" w:eastAsiaTheme="majorEastAsia"/>
                <w:sz w:val="24"/>
                <w:szCs w:val="24"/>
                <w:vertAlign w:val="baseline"/>
                <w:lang w:eastAsia="zh-CN"/>
              </w:rPr>
              <w:t>煤场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9"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809750"/>
                  <wp:effectExtent l="0" t="0" r="3810" b="0"/>
                  <wp:docPr id="10" name="图片 10" descr="84258265857486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42582658574865873"/>
                          <pic:cNvPicPr>
                            <a:picLocks noChangeAspect="1"/>
                          </pic:cNvPicPr>
                        </pic:nvPicPr>
                        <pic:blipFill>
                          <a:blip r:embed="rId13"/>
                          <a:stretch>
                            <a:fillRect/>
                          </a:stretch>
                        </pic:blipFill>
                        <pic:spPr>
                          <a:xfrm>
                            <a:off x="0" y="0"/>
                            <a:ext cx="2567940" cy="180975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含煤废水处理车间</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71650"/>
                  <wp:effectExtent l="0" t="0" r="3810" b="0"/>
                  <wp:docPr id="11" name="图片 11" descr="91606544088877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6065440888778054"/>
                          <pic:cNvPicPr>
                            <a:picLocks noChangeAspect="1"/>
                          </pic:cNvPicPr>
                        </pic:nvPicPr>
                        <pic:blipFill>
                          <a:blip r:embed="rId14"/>
                          <a:stretch>
                            <a:fillRect/>
                          </a:stretch>
                        </pic:blipFill>
                        <pic:spPr>
                          <a:xfrm>
                            <a:off x="0" y="0"/>
                            <a:ext cx="2567940" cy="177165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输煤廊道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9"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95145"/>
                  <wp:effectExtent l="0" t="0" r="3810" b="14605"/>
                  <wp:docPr id="20" name="图片 20" descr="1355067342851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5506734285111023"/>
                          <pic:cNvPicPr>
                            <a:picLocks noChangeAspect="1"/>
                          </pic:cNvPicPr>
                        </pic:nvPicPr>
                        <pic:blipFill>
                          <a:blip r:embed="rId15"/>
                          <a:stretch>
                            <a:fillRect/>
                          </a:stretch>
                        </pic:blipFill>
                        <pic:spPr>
                          <a:xfrm>
                            <a:off x="0" y="0"/>
                            <a:ext cx="2567940" cy="1795145"/>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在线监测装置</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808480"/>
                  <wp:effectExtent l="0" t="0" r="3810" b="1270"/>
                  <wp:docPr id="21" name="图片 21" descr="86250239919297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62502399192978651"/>
                          <pic:cNvPicPr>
                            <a:picLocks noChangeAspect="1"/>
                          </pic:cNvPicPr>
                        </pic:nvPicPr>
                        <pic:blipFill>
                          <a:blip r:embed="rId16"/>
                          <a:stretch>
                            <a:fillRect/>
                          </a:stretch>
                        </pic:blipFill>
                        <pic:spPr>
                          <a:xfrm>
                            <a:off x="0" y="0"/>
                            <a:ext cx="2567940" cy="180848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val="en-US" w:eastAsia="zh-CN"/>
              </w:rPr>
            </w:pPr>
            <w:r>
              <w:rPr>
                <w:rFonts w:hint="eastAsia" w:asciiTheme="majorEastAsia" w:hAnsiTheme="majorEastAsia" w:eastAsiaTheme="majorEastAsia"/>
                <w:sz w:val="24"/>
                <w:szCs w:val="24"/>
                <w:vertAlign w:val="baseline"/>
                <w:lang w:val="en-US" w:eastAsia="zh-CN"/>
              </w:rPr>
              <w:t>CEMS间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9"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57045"/>
                  <wp:effectExtent l="0" t="0" r="3810" b="14605"/>
                  <wp:docPr id="22" name="图片 22" descr="30905220211264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09052202112643228"/>
                          <pic:cNvPicPr>
                            <a:picLocks noChangeAspect="1"/>
                          </pic:cNvPicPr>
                        </pic:nvPicPr>
                        <pic:blipFill>
                          <a:blip r:embed="rId17"/>
                          <a:stretch>
                            <a:fillRect/>
                          </a:stretch>
                        </pic:blipFill>
                        <pic:spPr>
                          <a:xfrm>
                            <a:off x="0" y="0"/>
                            <a:ext cx="2567940" cy="1757045"/>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污水处理系统</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28470"/>
                  <wp:effectExtent l="0" t="0" r="3810" b="5080"/>
                  <wp:docPr id="23" name="图片 23" descr="57353700965092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73537009650925878"/>
                          <pic:cNvPicPr>
                            <a:picLocks noChangeAspect="1"/>
                          </pic:cNvPicPr>
                        </pic:nvPicPr>
                        <pic:blipFill>
                          <a:blip r:embed="rId18"/>
                          <a:stretch>
                            <a:fillRect/>
                          </a:stretch>
                        </pic:blipFill>
                        <pic:spPr>
                          <a:xfrm>
                            <a:off x="0" y="0"/>
                            <a:ext cx="2567940" cy="172847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电石渣仓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9" w:hRule="atLeast"/>
        </w:trPr>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713230"/>
                  <wp:effectExtent l="0" t="0" r="3810" b="1270"/>
                  <wp:docPr id="24" name="图片 24" descr="19217547144694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92175471446944963"/>
                          <pic:cNvPicPr>
                            <a:picLocks noChangeAspect="1"/>
                          </pic:cNvPicPr>
                        </pic:nvPicPr>
                        <pic:blipFill>
                          <a:blip r:embed="rId19"/>
                          <a:stretch>
                            <a:fillRect/>
                          </a:stretch>
                        </pic:blipFill>
                        <pic:spPr>
                          <a:xfrm>
                            <a:off x="0" y="0"/>
                            <a:ext cx="2567940" cy="1713230"/>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污水处理系统</w:t>
            </w:r>
          </w:p>
        </w:tc>
        <w:tc>
          <w:tcPr>
            <w:tcW w:w="4258" w:type="dxa"/>
          </w:tcPr>
          <w:p>
            <w:pPr>
              <w:pStyle w:val="2"/>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32"/>
                <w:szCs w:val="32"/>
                <w:vertAlign w:val="baseline"/>
                <w:lang w:eastAsia="zh-CN"/>
              </w:rPr>
              <w:drawing>
                <wp:inline distT="0" distB="0" distL="114300" distR="114300">
                  <wp:extent cx="2567940" cy="1698625"/>
                  <wp:effectExtent l="0" t="0" r="3810" b="15875"/>
                  <wp:docPr id="25" name="图片 25" descr="34179828076320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41798280763209175"/>
                          <pic:cNvPicPr>
                            <a:picLocks noChangeAspect="1"/>
                          </pic:cNvPicPr>
                        </pic:nvPicPr>
                        <pic:blipFill>
                          <a:blip r:embed="rId20"/>
                          <a:stretch>
                            <a:fillRect/>
                          </a:stretch>
                        </pic:blipFill>
                        <pic:spPr>
                          <a:xfrm>
                            <a:off x="0" y="0"/>
                            <a:ext cx="2567940" cy="1698625"/>
                          </a:xfrm>
                          <a:prstGeom prst="rect">
                            <a:avLst/>
                          </a:prstGeom>
                        </pic:spPr>
                      </pic:pic>
                    </a:graphicData>
                  </a:graphic>
                </wp:inline>
              </w:drawing>
            </w:r>
          </w:p>
          <w:p>
            <w:pPr>
              <w:pStyle w:val="2"/>
              <w:jc w:val="center"/>
              <w:rPr>
                <w:rFonts w:hint="eastAsia" w:asciiTheme="majorEastAsia" w:hAnsiTheme="majorEastAsia" w:eastAsiaTheme="majorEastAsia"/>
                <w:sz w:val="32"/>
                <w:szCs w:val="32"/>
                <w:vertAlign w:val="baseline"/>
                <w:lang w:eastAsia="zh-CN"/>
              </w:rPr>
            </w:pPr>
            <w:r>
              <w:rPr>
                <w:rFonts w:hint="eastAsia" w:asciiTheme="majorEastAsia" w:hAnsiTheme="majorEastAsia" w:eastAsiaTheme="majorEastAsia"/>
                <w:sz w:val="24"/>
                <w:szCs w:val="24"/>
                <w:vertAlign w:val="baseline"/>
                <w:lang w:eastAsia="zh-CN"/>
              </w:rPr>
              <w:t>污水处理系统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9" w:hRule="atLeast"/>
        </w:trPr>
        <w:tc>
          <w:tcPr>
            <w:tcW w:w="4258" w:type="dxa"/>
          </w:tcPr>
          <w:p>
            <w:pPr>
              <w:pStyle w:val="2"/>
              <w:jc w:val="center"/>
              <w:rPr>
                <w:rFonts w:hint="eastAsia"/>
                <w:lang w:eastAsia="zh-CN"/>
              </w:rPr>
            </w:pPr>
            <w:r>
              <w:rPr>
                <w:rFonts w:hint="eastAsia"/>
                <w:lang w:eastAsia="zh-CN"/>
              </w:rPr>
              <w:drawing>
                <wp:inline distT="0" distB="0" distL="114300" distR="114300">
                  <wp:extent cx="2560320" cy="1751965"/>
                  <wp:effectExtent l="0" t="0" r="11430" b="635"/>
                  <wp:docPr id="15" name="图片 15" descr="B40C6596F7E041553D0003C9230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0C6596F7E041553D0003C923050229"/>
                          <pic:cNvPicPr>
                            <a:picLocks noChangeAspect="1"/>
                          </pic:cNvPicPr>
                        </pic:nvPicPr>
                        <pic:blipFill>
                          <a:blip r:embed="rId21"/>
                          <a:stretch>
                            <a:fillRect/>
                          </a:stretch>
                        </pic:blipFill>
                        <pic:spPr>
                          <a:xfrm>
                            <a:off x="0" y="0"/>
                            <a:ext cx="2560320" cy="1751965"/>
                          </a:xfrm>
                          <a:prstGeom prst="rect">
                            <a:avLst/>
                          </a:prstGeom>
                        </pic:spPr>
                      </pic:pic>
                    </a:graphicData>
                  </a:graphic>
                </wp:inline>
              </w:drawing>
            </w:r>
          </w:p>
          <w:p>
            <w:pPr>
              <w:pStyle w:val="3"/>
              <w:jc w:val="center"/>
              <w:rPr>
                <w:rFonts w:hint="eastAsia"/>
                <w:lang w:eastAsia="zh-CN"/>
              </w:rPr>
            </w:pPr>
            <w:r>
              <w:rPr>
                <w:rFonts w:hint="eastAsia" w:asciiTheme="majorEastAsia" w:hAnsiTheme="majorEastAsia" w:eastAsiaTheme="majorEastAsia"/>
                <w:sz w:val="24"/>
                <w:szCs w:val="24"/>
                <w:vertAlign w:val="baseline"/>
                <w:lang w:eastAsia="zh-CN"/>
              </w:rPr>
              <w:t>氨区</w:t>
            </w:r>
          </w:p>
        </w:tc>
        <w:tc>
          <w:tcPr>
            <w:tcW w:w="4258" w:type="dxa"/>
          </w:tcPr>
          <w:p>
            <w:pPr>
              <w:pStyle w:val="2"/>
              <w:jc w:val="center"/>
              <w:rPr>
                <w:rFonts w:hint="eastAsia"/>
                <w:lang w:eastAsia="zh-CN"/>
              </w:rPr>
            </w:pPr>
            <w:r>
              <w:rPr>
                <w:rFonts w:hint="eastAsia"/>
                <w:lang w:eastAsia="zh-CN"/>
              </w:rPr>
              <w:drawing>
                <wp:inline distT="0" distB="0" distL="114300" distR="114300">
                  <wp:extent cx="2560320" cy="1751330"/>
                  <wp:effectExtent l="0" t="0" r="11430" b="1270"/>
                  <wp:docPr id="16" name="图片 16" descr="30D5F984365381227277FFF35B265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D5F984365381227277FFF35B265B48"/>
                          <pic:cNvPicPr>
                            <a:picLocks noChangeAspect="1"/>
                          </pic:cNvPicPr>
                        </pic:nvPicPr>
                        <pic:blipFill>
                          <a:blip r:embed="rId22"/>
                          <a:stretch>
                            <a:fillRect/>
                          </a:stretch>
                        </pic:blipFill>
                        <pic:spPr>
                          <a:xfrm>
                            <a:off x="0" y="0"/>
                            <a:ext cx="2560320" cy="1751330"/>
                          </a:xfrm>
                          <a:prstGeom prst="rect">
                            <a:avLst/>
                          </a:prstGeom>
                        </pic:spPr>
                      </pic:pic>
                    </a:graphicData>
                  </a:graphic>
                </wp:inline>
              </w:drawing>
            </w:r>
          </w:p>
          <w:p>
            <w:pPr>
              <w:pStyle w:val="3"/>
              <w:jc w:val="center"/>
              <w:rPr>
                <w:rFonts w:hint="eastAsia"/>
                <w:lang w:eastAsia="zh-CN"/>
              </w:rPr>
            </w:pPr>
            <w:r>
              <w:rPr>
                <w:rFonts w:hint="eastAsia" w:asciiTheme="majorEastAsia" w:hAnsiTheme="majorEastAsia" w:eastAsiaTheme="majorEastAsia"/>
                <w:sz w:val="24"/>
                <w:szCs w:val="24"/>
                <w:vertAlign w:val="baseline"/>
                <w:lang w:eastAsia="zh-CN"/>
              </w:rPr>
              <w:t>标识标牌</w:t>
            </w:r>
          </w:p>
        </w:tc>
      </w:tr>
    </w:tbl>
    <w:sdt>
      <w:sdtPr>
        <w:rPr>
          <w:rFonts w:ascii="宋体" w:hAnsi="宋体" w:eastAsia="宋体" w:cstheme="minorBidi"/>
          <w:kern w:val="2"/>
          <w:sz w:val="21"/>
          <w:szCs w:val="22"/>
          <w:lang w:val="en-US" w:eastAsia="zh-CN" w:bidi="ar-SA"/>
        </w:rPr>
        <w:id w:val="147468128"/>
        <w:docPartObj>
          <w:docPartGallery w:val="Table of Contents"/>
          <w:docPartUnique/>
        </w:docPartObj>
      </w:sdtPr>
      <w:sdtEndPr>
        <w:rPr>
          <w:rFonts w:asciiTheme="majorEastAsia" w:hAnsiTheme="majorEastAsia" w:eastAsiaTheme="majorEastAsia" w:cstheme="minorBidi"/>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楷体" w:hAnsi="楷体" w:eastAsia="楷体" w:cs="楷体"/>
              <w:sz w:val="28"/>
              <w:szCs w:val="28"/>
            </w:rPr>
          </w:pPr>
          <w:r>
            <w:rPr>
              <w:rFonts w:hint="eastAsia" w:ascii="楷体" w:hAnsi="楷体" w:eastAsia="楷体" w:cs="楷体"/>
              <w:sz w:val="28"/>
              <w:szCs w:val="28"/>
            </w:rPr>
            <w:t>目录</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TOC \o "1-3" \h \u </w:instrText>
          </w:r>
          <w:r>
            <w:rPr>
              <w:rFonts w:hint="eastAsia" w:ascii="楷体" w:hAnsi="楷体" w:eastAsia="楷体" w:cs="楷体"/>
              <w:sz w:val="28"/>
              <w:szCs w:val="28"/>
            </w:rPr>
            <w:fldChar w:fldCharType="separate"/>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_Toc15663 </w:instrText>
          </w:r>
          <w:r>
            <w:rPr>
              <w:rFonts w:hint="eastAsia" w:ascii="楷体" w:hAnsi="楷体" w:eastAsia="楷体" w:cs="楷体"/>
              <w:sz w:val="28"/>
              <w:szCs w:val="28"/>
            </w:rPr>
            <w:fldChar w:fldCharType="separate"/>
          </w:r>
          <w:r>
            <w:rPr>
              <w:rFonts w:hint="eastAsia" w:ascii="楷体" w:hAnsi="楷体" w:eastAsia="楷体" w:cs="楷体"/>
              <w:bCs/>
              <w:sz w:val="28"/>
              <w:szCs w:val="28"/>
            </w:rPr>
            <w:t>1前言</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_Toc15663 </w:instrText>
          </w:r>
          <w:r>
            <w:rPr>
              <w:rFonts w:hint="eastAsia" w:ascii="楷体" w:hAnsi="楷体" w:eastAsia="楷体" w:cs="楷体"/>
              <w:sz w:val="28"/>
              <w:szCs w:val="28"/>
            </w:rPr>
            <w:fldChar w:fldCharType="separate"/>
          </w:r>
          <w:r>
            <w:rPr>
              <w:rFonts w:hint="eastAsia" w:ascii="楷体" w:hAnsi="楷体" w:eastAsia="楷体" w:cs="楷体"/>
              <w:sz w:val="28"/>
              <w:szCs w:val="28"/>
            </w:rPr>
            <w:t>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_Toc21348 </w:instrText>
          </w:r>
          <w:r>
            <w:rPr>
              <w:rFonts w:hint="eastAsia" w:ascii="楷体" w:hAnsi="楷体" w:eastAsia="楷体" w:cs="楷体"/>
              <w:sz w:val="28"/>
              <w:szCs w:val="28"/>
            </w:rPr>
            <w:fldChar w:fldCharType="separate"/>
          </w:r>
          <w:r>
            <w:rPr>
              <w:rFonts w:hint="eastAsia" w:ascii="楷体" w:hAnsi="楷体" w:eastAsia="楷体" w:cs="楷体"/>
              <w:sz w:val="28"/>
              <w:szCs w:val="28"/>
            </w:rPr>
            <w:t>2验收依据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_Toc21348 </w:instrText>
          </w:r>
          <w:r>
            <w:rPr>
              <w:rFonts w:hint="eastAsia" w:ascii="楷体" w:hAnsi="楷体" w:eastAsia="楷体" w:cs="楷体"/>
              <w:sz w:val="28"/>
              <w:szCs w:val="28"/>
            </w:rPr>
            <w:fldChar w:fldCharType="separate"/>
          </w:r>
          <w:r>
            <w:rPr>
              <w:rFonts w:hint="eastAsia" w:ascii="楷体" w:hAnsi="楷体" w:eastAsia="楷体" w:cs="楷体"/>
              <w:sz w:val="28"/>
              <w:szCs w:val="28"/>
            </w:rPr>
            <w:t>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_Toc17323 </w:instrText>
          </w:r>
          <w:r>
            <w:rPr>
              <w:rFonts w:hint="eastAsia" w:ascii="楷体" w:hAnsi="楷体" w:eastAsia="楷体" w:cs="楷体"/>
              <w:sz w:val="28"/>
              <w:szCs w:val="28"/>
            </w:rPr>
            <w:fldChar w:fldCharType="separate"/>
          </w:r>
          <w:r>
            <w:rPr>
              <w:rFonts w:hint="eastAsia" w:ascii="楷体" w:hAnsi="楷体" w:eastAsia="楷体" w:cs="楷体"/>
              <w:sz w:val="28"/>
              <w:szCs w:val="28"/>
            </w:rPr>
            <w:t>2.1环境保护法律法规及相关技术规范</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_Toc17323 </w:instrText>
          </w:r>
          <w:r>
            <w:rPr>
              <w:rFonts w:hint="eastAsia" w:ascii="楷体" w:hAnsi="楷体" w:eastAsia="楷体" w:cs="楷体"/>
              <w:sz w:val="28"/>
              <w:szCs w:val="28"/>
            </w:rPr>
            <w:fldChar w:fldCharType="separate"/>
          </w:r>
          <w:r>
            <w:rPr>
              <w:rFonts w:hint="eastAsia" w:ascii="楷体" w:hAnsi="楷体" w:eastAsia="楷体" w:cs="楷体"/>
              <w:sz w:val="28"/>
              <w:szCs w:val="28"/>
            </w:rPr>
            <w:t>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_Toc17872 </w:instrText>
          </w:r>
          <w:r>
            <w:rPr>
              <w:rFonts w:hint="eastAsia" w:ascii="楷体" w:hAnsi="楷体" w:eastAsia="楷体" w:cs="楷体"/>
              <w:sz w:val="28"/>
              <w:szCs w:val="28"/>
            </w:rPr>
            <w:fldChar w:fldCharType="separate"/>
          </w:r>
          <w:r>
            <w:rPr>
              <w:rFonts w:hint="eastAsia" w:ascii="楷体" w:hAnsi="楷体" w:eastAsia="楷体" w:cs="楷体"/>
              <w:sz w:val="28"/>
              <w:szCs w:val="28"/>
            </w:rPr>
            <w:t>2.2相关技术文件</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_Toc17872 </w:instrText>
          </w:r>
          <w:r>
            <w:rPr>
              <w:rFonts w:hint="eastAsia" w:ascii="楷体" w:hAnsi="楷体" w:eastAsia="楷体" w:cs="楷体"/>
              <w:sz w:val="28"/>
              <w:szCs w:val="28"/>
            </w:rPr>
            <w:fldChar w:fldCharType="separate"/>
          </w:r>
          <w:r>
            <w:rPr>
              <w:rFonts w:hint="eastAsia" w:ascii="楷体" w:hAnsi="楷体" w:eastAsia="楷体" w:cs="楷体"/>
              <w:sz w:val="28"/>
              <w:szCs w:val="28"/>
            </w:rPr>
            <w:t>4</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_Toc17250 </w:instrText>
          </w:r>
          <w:r>
            <w:rPr>
              <w:rFonts w:hint="eastAsia" w:ascii="楷体" w:hAnsi="楷体" w:eastAsia="楷体" w:cs="楷体"/>
              <w:sz w:val="28"/>
              <w:szCs w:val="28"/>
            </w:rPr>
            <w:fldChar w:fldCharType="separate"/>
          </w:r>
          <w:r>
            <w:rPr>
              <w:rFonts w:hint="eastAsia" w:ascii="楷体" w:hAnsi="楷体" w:eastAsia="楷体" w:cs="楷体"/>
              <w:sz w:val="28"/>
              <w:szCs w:val="28"/>
            </w:rPr>
            <w:t>3项目建设情况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_Toc17250 </w:instrText>
          </w:r>
          <w:r>
            <w:rPr>
              <w:rFonts w:hint="eastAsia" w:ascii="楷体" w:hAnsi="楷体" w:eastAsia="楷体" w:cs="楷体"/>
              <w:sz w:val="28"/>
              <w:szCs w:val="28"/>
            </w:rPr>
            <w:fldChar w:fldCharType="separate"/>
          </w:r>
          <w:r>
            <w:rPr>
              <w:rFonts w:hint="eastAsia" w:ascii="楷体" w:hAnsi="楷体" w:eastAsia="楷体" w:cs="楷体"/>
              <w:sz w:val="28"/>
              <w:szCs w:val="28"/>
            </w:rPr>
            <w:t>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_Toc2012 </w:instrText>
          </w:r>
          <w:r>
            <w:rPr>
              <w:rFonts w:hint="eastAsia" w:ascii="楷体" w:hAnsi="楷体" w:eastAsia="楷体" w:cs="楷体"/>
              <w:sz w:val="28"/>
              <w:szCs w:val="28"/>
            </w:rPr>
            <w:fldChar w:fldCharType="separate"/>
          </w:r>
          <w:r>
            <w:rPr>
              <w:rFonts w:hint="eastAsia" w:ascii="楷体" w:hAnsi="楷体" w:eastAsia="楷体" w:cs="楷体"/>
              <w:sz w:val="28"/>
              <w:szCs w:val="28"/>
            </w:rPr>
            <w:t>3.1地理位置及平面布置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_Toc2012 </w:instrText>
          </w:r>
          <w:r>
            <w:rPr>
              <w:rFonts w:hint="eastAsia" w:ascii="楷体" w:hAnsi="楷体" w:eastAsia="楷体" w:cs="楷体"/>
              <w:sz w:val="28"/>
              <w:szCs w:val="28"/>
            </w:rPr>
            <w:fldChar w:fldCharType="separate"/>
          </w:r>
          <w:r>
            <w:rPr>
              <w:rFonts w:hint="eastAsia" w:ascii="楷体" w:hAnsi="楷体" w:eastAsia="楷体" w:cs="楷体"/>
              <w:sz w:val="28"/>
              <w:szCs w:val="28"/>
            </w:rPr>
            <w:t>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_Toc26450 </w:instrText>
          </w:r>
          <w:r>
            <w:rPr>
              <w:rFonts w:hint="eastAsia" w:ascii="楷体" w:hAnsi="楷体" w:eastAsia="楷体" w:cs="楷体"/>
              <w:sz w:val="28"/>
              <w:szCs w:val="28"/>
            </w:rPr>
            <w:fldChar w:fldCharType="separate"/>
          </w:r>
          <w:r>
            <w:rPr>
              <w:rFonts w:hint="eastAsia" w:ascii="楷体" w:hAnsi="楷体" w:eastAsia="楷体" w:cs="楷体"/>
              <w:sz w:val="28"/>
              <w:szCs w:val="28"/>
            </w:rPr>
            <w:t>3.2建设内容</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_Toc26450 </w:instrText>
          </w:r>
          <w:r>
            <w:rPr>
              <w:rFonts w:hint="eastAsia" w:ascii="楷体" w:hAnsi="楷体" w:eastAsia="楷体" w:cs="楷体"/>
              <w:sz w:val="28"/>
              <w:szCs w:val="28"/>
            </w:rPr>
            <w:fldChar w:fldCharType="separate"/>
          </w:r>
          <w:r>
            <w:rPr>
              <w:rFonts w:hint="eastAsia" w:ascii="楷体" w:hAnsi="楷体" w:eastAsia="楷体" w:cs="楷体"/>
              <w:sz w:val="28"/>
              <w:szCs w:val="28"/>
            </w:rPr>
            <w:t>9</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_Toc21745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3.3主要原辅材料及消耗</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_Toc21745 </w:instrText>
          </w:r>
          <w:r>
            <w:rPr>
              <w:rFonts w:hint="eastAsia" w:ascii="楷体" w:hAnsi="楷体" w:eastAsia="楷体" w:cs="楷体"/>
              <w:sz w:val="28"/>
              <w:szCs w:val="28"/>
            </w:rPr>
            <w:fldChar w:fldCharType="separate"/>
          </w:r>
          <w:r>
            <w:rPr>
              <w:rFonts w:hint="eastAsia" w:ascii="楷体" w:hAnsi="楷体" w:eastAsia="楷体" w:cs="楷体"/>
              <w:sz w:val="28"/>
              <w:szCs w:val="28"/>
            </w:rPr>
            <w:t>13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_Toc28673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3.4水源及用水情况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_Toc28673 </w:instrText>
          </w:r>
          <w:r>
            <w:rPr>
              <w:rFonts w:hint="eastAsia" w:ascii="楷体" w:hAnsi="楷体" w:eastAsia="楷体" w:cs="楷体"/>
              <w:sz w:val="28"/>
              <w:szCs w:val="28"/>
            </w:rPr>
            <w:fldChar w:fldCharType="separate"/>
          </w:r>
          <w:r>
            <w:rPr>
              <w:rFonts w:hint="eastAsia" w:ascii="楷体" w:hAnsi="楷体" w:eastAsia="楷体" w:cs="楷体"/>
              <w:sz w:val="28"/>
              <w:szCs w:val="28"/>
            </w:rPr>
            <w:t>14</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_Toc6971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3.5工艺流程</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_Toc6971 </w:instrText>
          </w:r>
          <w:r>
            <w:rPr>
              <w:rFonts w:hint="eastAsia" w:ascii="楷体" w:hAnsi="楷体" w:eastAsia="楷体" w:cs="楷体"/>
              <w:sz w:val="28"/>
              <w:szCs w:val="28"/>
            </w:rPr>
            <w:fldChar w:fldCharType="separate"/>
          </w:r>
          <w:r>
            <w:rPr>
              <w:rFonts w:hint="eastAsia" w:ascii="楷体" w:hAnsi="楷体" w:eastAsia="楷体" w:cs="楷体"/>
              <w:sz w:val="28"/>
              <w:szCs w:val="28"/>
            </w:rPr>
            <w:t>16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_Toc27581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3.6项目变动情况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_Toc27581 </w:instrText>
          </w:r>
          <w:r>
            <w:rPr>
              <w:rFonts w:hint="eastAsia" w:ascii="楷体" w:hAnsi="楷体" w:eastAsia="楷体" w:cs="楷体"/>
              <w:sz w:val="28"/>
              <w:szCs w:val="28"/>
            </w:rPr>
            <w:fldChar w:fldCharType="separate"/>
          </w:r>
          <w:r>
            <w:rPr>
              <w:rFonts w:hint="eastAsia" w:ascii="楷体" w:hAnsi="楷体" w:eastAsia="楷体" w:cs="楷体"/>
              <w:sz w:val="28"/>
              <w:szCs w:val="28"/>
            </w:rPr>
            <w:t>17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_Toc27994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4环境保护设施</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_Toc27994 </w:instrText>
          </w:r>
          <w:r>
            <w:rPr>
              <w:rFonts w:hint="eastAsia" w:ascii="楷体" w:hAnsi="楷体" w:eastAsia="楷体" w:cs="楷体"/>
              <w:sz w:val="28"/>
              <w:szCs w:val="28"/>
            </w:rPr>
            <w:fldChar w:fldCharType="separate"/>
          </w:r>
          <w:r>
            <w:rPr>
              <w:rFonts w:hint="eastAsia" w:ascii="楷体" w:hAnsi="楷体" w:eastAsia="楷体" w:cs="楷体"/>
              <w:sz w:val="28"/>
              <w:szCs w:val="28"/>
            </w:rPr>
            <w:t>18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_Toc4614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4.1污染物治理/处置设施</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_Toc4614 </w:instrText>
          </w:r>
          <w:r>
            <w:rPr>
              <w:rFonts w:hint="eastAsia" w:ascii="楷体" w:hAnsi="楷体" w:eastAsia="楷体" w:cs="楷体"/>
              <w:sz w:val="28"/>
              <w:szCs w:val="28"/>
            </w:rPr>
            <w:fldChar w:fldCharType="separate"/>
          </w:r>
          <w:r>
            <w:rPr>
              <w:rFonts w:hint="eastAsia" w:ascii="楷体" w:hAnsi="楷体" w:eastAsia="楷体" w:cs="楷体"/>
              <w:sz w:val="28"/>
              <w:szCs w:val="28"/>
            </w:rPr>
            <w:t>18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_Toc24232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4.1.1废水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_Toc24232 </w:instrText>
          </w:r>
          <w:r>
            <w:rPr>
              <w:rFonts w:hint="eastAsia" w:ascii="楷体" w:hAnsi="楷体" w:eastAsia="楷体" w:cs="楷体"/>
              <w:sz w:val="28"/>
              <w:szCs w:val="28"/>
            </w:rPr>
            <w:fldChar w:fldCharType="separate"/>
          </w:r>
          <w:r>
            <w:rPr>
              <w:rFonts w:hint="eastAsia" w:ascii="楷体" w:hAnsi="楷体" w:eastAsia="楷体" w:cs="楷体"/>
              <w:sz w:val="28"/>
              <w:szCs w:val="28"/>
            </w:rPr>
            <w:t>18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_Toc25414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4.1.2废气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_Toc25414 </w:instrText>
          </w:r>
          <w:r>
            <w:rPr>
              <w:rFonts w:hint="eastAsia" w:ascii="楷体" w:hAnsi="楷体" w:eastAsia="楷体" w:cs="楷体"/>
              <w:sz w:val="28"/>
              <w:szCs w:val="28"/>
            </w:rPr>
            <w:fldChar w:fldCharType="separate"/>
          </w:r>
          <w:r>
            <w:rPr>
              <w:rFonts w:hint="eastAsia" w:ascii="楷体" w:hAnsi="楷体" w:eastAsia="楷体" w:cs="楷体"/>
              <w:sz w:val="28"/>
              <w:szCs w:val="28"/>
            </w:rPr>
            <w:t>21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_Toc1678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4.1.3噪声</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_Toc1678 </w:instrText>
          </w:r>
          <w:r>
            <w:rPr>
              <w:rFonts w:hint="eastAsia" w:ascii="楷体" w:hAnsi="楷体" w:eastAsia="楷体" w:cs="楷体"/>
              <w:sz w:val="28"/>
              <w:szCs w:val="28"/>
            </w:rPr>
            <w:fldChar w:fldCharType="separate"/>
          </w:r>
          <w:r>
            <w:rPr>
              <w:rFonts w:hint="eastAsia" w:ascii="楷体" w:hAnsi="楷体" w:eastAsia="楷体" w:cs="楷体"/>
              <w:sz w:val="28"/>
              <w:szCs w:val="28"/>
            </w:rPr>
            <w:t>24</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_Toc30525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4.1.4固体废物</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_Toc30525 </w:instrText>
          </w:r>
          <w:r>
            <w:rPr>
              <w:rFonts w:hint="eastAsia" w:ascii="楷体" w:hAnsi="楷体" w:eastAsia="楷体" w:cs="楷体"/>
              <w:sz w:val="28"/>
              <w:szCs w:val="28"/>
            </w:rPr>
            <w:fldChar w:fldCharType="separate"/>
          </w:r>
          <w:r>
            <w:rPr>
              <w:rFonts w:hint="eastAsia" w:ascii="楷体" w:hAnsi="楷体" w:eastAsia="楷体" w:cs="楷体"/>
              <w:sz w:val="28"/>
              <w:szCs w:val="28"/>
            </w:rPr>
            <w:t>25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_Toc3019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4.2其他环境保护设施</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_Toc3019 </w:instrText>
          </w:r>
          <w:r>
            <w:rPr>
              <w:rFonts w:hint="eastAsia" w:ascii="楷体" w:hAnsi="楷体" w:eastAsia="楷体" w:cs="楷体"/>
              <w:sz w:val="28"/>
              <w:szCs w:val="28"/>
            </w:rPr>
            <w:fldChar w:fldCharType="separate"/>
          </w:r>
          <w:r>
            <w:rPr>
              <w:rFonts w:hint="eastAsia" w:ascii="楷体" w:hAnsi="楷体" w:eastAsia="楷体" w:cs="楷体"/>
              <w:sz w:val="28"/>
              <w:szCs w:val="28"/>
            </w:rPr>
            <w:t>26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_Toc30663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4.2.1环境风险防范设施</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_Toc30663 </w:instrText>
          </w:r>
          <w:r>
            <w:rPr>
              <w:rFonts w:hint="eastAsia" w:ascii="楷体" w:hAnsi="楷体" w:eastAsia="楷体" w:cs="楷体"/>
              <w:sz w:val="28"/>
              <w:szCs w:val="28"/>
            </w:rPr>
            <w:fldChar w:fldCharType="separate"/>
          </w:r>
          <w:r>
            <w:rPr>
              <w:rFonts w:hint="eastAsia" w:ascii="楷体" w:hAnsi="楷体" w:eastAsia="楷体" w:cs="楷体"/>
              <w:sz w:val="28"/>
              <w:szCs w:val="28"/>
            </w:rPr>
            <w:t>26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_Toc24208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4.2.2在线监测装置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_Toc24208 </w:instrText>
          </w:r>
          <w:r>
            <w:rPr>
              <w:rFonts w:hint="eastAsia" w:ascii="楷体" w:hAnsi="楷体" w:eastAsia="楷体" w:cs="楷体"/>
              <w:sz w:val="28"/>
              <w:szCs w:val="28"/>
            </w:rPr>
            <w:fldChar w:fldCharType="separate"/>
          </w:r>
          <w:r>
            <w:rPr>
              <w:rFonts w:hint="eastAsia" w:ascii="楷体" w:hAnsi="楷体" w:eastAsia="楷体" w:cs="楷体"/>
              <w:sz w:val="28"/>
              <w:szCs w:val="28"/>
            </w:rPr>
            <w:t>27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_Toc29421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4.3项目“三同时”落实情况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_Toc29421 </w:instrText>
          </w:r>
          <w:r>
            <w:rPr>
              <w:rFonts w:hint="eastAsia" w:ascii="楷体" w:hAnsi="楷体" w:eastAsia="楷体" w:cs="楷体"/>
              <w:sz w:val="28"/>
              <w:szCs w:val="28"/>
            </w:rPr>
            <w:fldChar w:fldCharType="separate"/>
          </w:r>
          <w:r>
            <w:rPr>
              <w:rFonts w:hint="eastAsia" w:ascii="楷体" w:hAnsi="楷体" w:eastAsia="楷体" w:cs="楷体"/>
              <w:sz w:val="28"/>
              <w:szCs w:val="28"/>
            </w:rPr>
            <w:t>27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_Toc16607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5环境影响报告书主要结论与建议及其审批部门审批决定</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_Toc16607 </w:instrText>
          </w:r>
          <w:r>
            <w:rPr>
              <w:rFonts w:hint="eastAsia" w:ascii="楷体" w:hAnsi="楷体" w:eastAsia="楷体" w:cs="楷体"/>
              <w:sz w:val="28"/>
              <w:szCs w:val="28"/>
            </w:rPr>
            <w:fldChar w:fldCharType="separate"/>
          </w:r>
          <w:r>
            <w:rPr>
              <w:rFonts w:hint="eastAsia" w:ascii="楷体" w:hAnsi="楷体" w:eastAsia="楷体" w:cs="楷体"/>
              <w:sz w:val="28"/>
              <w:szCs w:val="28"/>
            </w:rPr>
            <w:t>31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_Toc18013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5.1环境影响报告书主要结论与建议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_Toc18013 </w:instrText>
          </w:r>
          <w:r>
            <w:rPr>
              <w:rFonts w:hint="eastAsia" w:ascii="楷体" w:hAnsi="楷体" w:eastAsia="楷体" w:cs="楷体"/>
              <w:sz w:val="28"/>
              <w:szCs w:val="28"/>
            </w:rPr>
            <w:fldChar w:fldCharType="separate"/>
          </w:r>
          <w:r>
            <w:rPr>
              <w:rFonts w:hint="eastAsia" w:ascii="楷体" w:hAnsi="楷体" w:eastAsia="楷体" w:cs="楷体"/>
              <w:sz w:val="28"/>
              <w:szCs w:val="28"/>
            </w:rPr>
            <w:t>31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_Toc30359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5.2审批部门审批决定</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_Toc30359 </w:instrText>
          </w:r>
          <w:r>
            <w:rPr>
              <w:rFonts w:hint="eastAsia" w:ascii="楷体" w:hAnsi="楷体" w:eastAsia="楷体" w:cs="楷体"/>
              <w:sz w:val="28"/>
              <w:szCs w:val="28"/>
            </w:rPr>
            <w:fldChar w:fldCharType="separate"/>
          </w:r>
          <w:r>
            <w:rPr>
              <w:rFonts w:hint="eastAsia" w:ascii="楷体" w:hAnsi="楷体" w:eastAsia="楷体" w:cs="楷体"/>
              <w:sz w:val="28"/>
              <w:szCs w:val="28"/>
            </w:rPr>
            <w:t>32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_Toc14266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6验收执行标准</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_Toc14266 </w:instrText>
          </w:r>
          <w:r>
            <w:rPr>
              <w:rFonts w:hint="eastAsia" w:ascii="楷体" w:hAnsi="楷体" w:eastAsia="楷体" w:cs="楷体"/>
              <w:sz w:val="28"/>
              <w:szCs w:val="28"/>
            </w:rPr>
            <w:fldChar w:fldCharType="separate"/>
          </w:r>
          <w:r>
            <w:rPr>
              <w:rFonts w:hint="eastAsia" w:ascii="楷体" w:hAnsi="楷体" w:eastAsia="楷体" w:cs="楷体"/>
              <w:sz w:val="28"/>
              <w:szCs w:val="28"/>
            </w:rPr>
            <w:t>37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_Toc776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6.1废气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_Toc776 </w:instrText>
          </w:r>
          <w:r>
            <w:rPr>
              <w:rFonts w:hint="eastAsia" w:ascii="楷体" w:hAnsi="楷体" w:eastAsia="楷体" w:cs="楷体"/>
              <w:sz w:val="28"/>
              <w:szCs w:val="28"/>
            </w:rPr>
            <w:fldChar w:fldCharType="separate"/>
          </w:r>
          <w:r>
            <w:rPr>
              <w:rFonts w:hint="eastAsia" w:ascii="楷体" w:hAnsi="楷体" w:eastAsia="楷体" w:cs="楷体"/>
              <w:sz w:val="28"/>
              <w:szCs w:val="28"/>
            </w:rPr>
            <w:t>37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_Toc10347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6.2废水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_Toc10347 </w:instrText>
          </w:r>
          <w:r>
            <w:rPr>
              <w:rFonts w:hint="eastAsia" w:ascii="楷体" w:hAnsi="楷体" w:eastAsia="楷体" w:cs="楷体"/>
              <w:sz w:val="28"/>
              <w:szCs w:val="28"/>
            </w:rPr>
            <w:fldChar w:fldCharType="separate"/>
          </w:r>
          <w:r>
            <w:rPr>
              <w:rFonts w:hint="eastAsia" w:ascii="楷体" w:hAnsi="楷体" w:eastAsia="楷体" w:cs="楷体"/>
              <w:sz w:val="28"/>
              <w:szCs w:val="28"/>
            </w:rPr>
            <w:t>38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_Toc18441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6.3噪声</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_Toc18441 </w:instrText>
          </w:r>
          <w:r>
            <w:rPr>
              <w:rFonts w:hint="eastAsia" w:ascii="楷体" w:hAnsi="楷体" w:eastAsia="楷体" w:cs="楷体"/>
              <w:sz w:val="28"/>
              <w:szCs w:val="28"/>
            </w:rPr>
            <w:fldChar w:fldCharType="separate"/>
          </w:r>
          <w:r>
            <w:rPr>
              <w:rFonts w:hint="eastAsia" w:ascii="楷体" w:hAnsi="楷体" w:eastAsia="楷体" w:cs="楷体"/>
              <w:sz w:val="28"/>
              <w:szCs w:val="28"/>
            </w:rPr>
            <w:t>38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_Toc2250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6.4污染物总量控制指标</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_Toc2250 </w:instrText>
          </w:r>
          <w:r>
            <w:rPr>
              <w:rFonts w:hint="eastAsia" w:ascii="楷体" w:hAnsi="楷体" w:eastAsia="楷体" w:cs="楷体"/>
              <w:sz w:val="28"/>
              <w:szCs w:val="28"/>
            </w:rPr>
            <w:fldChar w:fldCharType="separate"/>
          </w:r>
          <w:r>
            <w:rPr>
              <w:rFonts w:hint="eastAsia" w:ascii="楷体" w:hAnsi="楷体" w:eastAsia="楷体" w:cs="楷体"/>
              <w:sz w:val="28"/>
              <w:szCs w:val="28"/>
            </w:rPr>
            <w:t>39</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_Toc15079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6.5固体废物</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_Toc15079 </w:instrText>
          </w:r>
          <w:r>
            <w:rPr>
              <w:rFonts w:hint="eastAsia" w:ascii="楷体" w:hAnsi="楷体" w:eastAsia="楷体" w:cs="楷体"/>
              <w:sz w:val="28"/>
              <w:szCs w:val="28"/>
            </w:rPr>
            <w:fldChar w:fldCharType="separate"/>
          </w:r>
          <w:r>
            <w:rPr>
              <w:rFonts w:hint="eastAsia" w:ascii="楷体" w:hAnsi="楷体" w:eastAsia="楷体" w:cs="楷体"/>
              <w:sz w:val="28"/>
              <w:szCs w:val="28"/>
            </w:rPr>
            <w:t>39</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_Toc3554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7验收监测内容</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_Toc3554 </w:instrText>
          </w:r>
          <w:r>
            <w:rPr>
              <w:rFonts w:hint="eastAsia" w:ascii="楷体" w:hAnsi="楷体" w:eastAsia="楷体" w:cs="楷体"/>
              <w:sz w:val="28"/>
              <w:szCs w:val="28"/>
            </w:rPr>
            <w:fldChar w:fldCharType="separate"/>
          </w:r>
          <w:r>
            <w:rPr>
              <w:rFonts w:hint="eastAsia" w:ascii="楷体" w:hAnsi="楷体" w:eastAsia="楷体" w:cs="楷体"/>
              <w:sz w:val="28"/>
              <w:szCs w:val="28"/>
            </w:rPr>
            <w:t>41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_Toc17831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7.1废水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_Toc17831 </w:instrText>
          </w:r>
          <w:r>
            <w:rPr>
              <w:rFonts w:hint="eastAsia" w:ascii="楷体" w:hAnsi="楷体" w:eastAsia="楷体" w:cs="楷体"/>
              <w:sz w:val="28"/>
              <w:szCs w:val="28"/>
            </w:rPr>
            <w:fldChar w:fldCharType="separate"/>
          </w:r>
          <w:r>
            <w:rPr>
              <w:rFonts w:hint="eastAsia" w:ascii="楷体" w:hAnsi="楷体" w:eastAsia="楷体" w:cs="楷体"/>
              <w:sz w:val="28"/>
              <w:szCs w:val="28"/>
            </w:rPr>
            <w:t>41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_Toc1575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7.2废气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_Toc1575 </w:instrText>
          </w:r>
          <w:r>
            <w:rPr>
              <w:rFonts w:hint="eastAsia" w:ascii="楷体" w:hAnsi="楷体" w:eastAsia="楷体" w:cs="楷体"/>
              <w:sz w:val="28"/>
              <w:szCs w:val="28"/>
            </w:rPr>
            <w:fldChar w:fldCharType="separate"/>
          </w:r>
          <w:r>
            <w:rPr>
              <w:rFonts w:hint="eastAsia" w:ascii="楷体" w:hAnsi="楷体" w:eastAsia="楷体" w:cs="楷体"/>
              <w:sz w:val="28"/>
              <w:szCs w:val="28"/>
            </w:rPr>
            <w:t>41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_Toc24428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7.2.1有组织废气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_Toc24428 </w:instrText>
          </w:r>
          <w:r>
            <w:rPr>
              <w:rFonts w:hint="eastAsia" w:ascii="楷体" w:hAnsi="楷体" w:eastAsia="楷体" w:cs="楷体"/>
              <w:sz w:val="28"/>
              <w:szCs w:val="28"/>
            </w:rPr>
            <w:fldChar w:fldCharType="separate"/>
          </w:r>
          <w:r>
            <w:rPr>
              <w:rFonts w:hint="eastAsia" w:ascii="楷体" w:hAnsi="楷体" w:eastAsia="楷体" w:cs="楷体"/>
              <w:sz w:val="28"/>
              <w:szCs w:val="28"/>
            </w:rPr>
            <w:t>41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_Toc19648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7.2.2无组织废气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_Toc19648 </w:instrText>
          </w:r>
          <w:r>
            <w:rPr>
              <w:rFonts w:hint="eastAsia" w:ascii="楷体" w:hAnsi="楷体" w:eastAsia="楷体" w:cs="楷体"/>
              <w:sz w:val="28"/>
              <w:szCs w:val="28"/>
            </w:rPr>
            <w:fldChar w:fldCharType="separate"/>
          </w:r>
          <w:r>
            <w:rPr>
              <w:rFonts w:hint="eastAsia" w:ascii="楷体" w:hAnsi="楷体" w:eastAsia="楷体" w:cs="楷体"/>
              <w:sz w:val="28"/>
              <w:szCs w:val="28"/>
            </w:rPr>
            <w:t>43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_Toc16260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7.3厂界噪声</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_Toc16260 </w:instrText>
          </w:r>
          <w:r>
            <w:rPr>
              <w:rFonts w:hint="eastAsia" w:ascii="楷体" w:hAnsi="楷体" w:eastAsia="楷体" w:cs="楷体"/>
              <w:sz w:val="28"/>
              <w:szCs w:val="28"/>
            </w:rPr>
            <w:fldChar w:fldCharType="separate"/>
          </w:r>
          <w:r>
            <w:rPr>
              <w:rFonts w:hint="eastAsia" w:ascii="楷体" w:hAnsi="楷体" w:eastAsia="楷体" w:cs="楷体"/>
              <w:sz w:val="28"/>
              <w:szCs w:val="28"/>
            </w:rPr>
            <w:t>45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_Toc13940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7.4固体废物</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_Toc13940 </w:instrText>
          </w:r>
          <w:r>
            <w:rPr>
              <w:rFonts w:hint="eastAsia" w:ascii="楷体" w:hAnsi="楷体" w:eastAsia="楷体" w:cs="楷体"/>
              <w:sz w:val="28"/>
              <w:szCs w:val="28"/>
            </w:rPr>
            <w:fldChar w:fldCharType="separate"/>
          </w:r>
          <w:r>
            <w:rPr>
              <w:rFonts w:hint="eastAsia" w:ascii="楷体" w:hAnsi="楷体" w:eastAsia="楷体" w:cs="楷体"/>
              <w:sz w:val="28"/>
              <w:szCs w:val="28"/>
            </w:rPr>
            <w:t>45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_Toc7888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8质量保证和质量控制</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_Toc7888 </w:instrText>
          </w:r>
          <w:r>
            <w:rPr>
              <w:rFonts w:hint="eastAsia" w:ascii="楷体" w:hAnsi="楷体" w:eastAsia="楷体" w:cs="楷体"/>
              <w:sz w:val="28"/>
              <w:szCs w:val="28"/>
            </w:rPr>
            <w:fldChar w:fldCharType="separate"/>
          </w:r>
          <w:r>
            <w:rPr>
              <w:rFonts w:hint="eastAsia" w:ascii="楷体" w:hAnsi="楷体" w:eastAsia="楷体" w:cs="楷体"/>
              <w:sz w:val="28"/>
              <w:szCs w:val="28"/>
            </w:rPr>
            <w:t>46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_Toc24549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8.1监测分析方法</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_Toc24549 </w:instrText>
          </w:r>
          <w:r>
            <w:rPr>
              <w:rFonts w:hint="eastAsia" w:ascii="楷体" w:hAnsi="楷体" w:eastAsia="楷体" w:cs="楷体"/>
              <w:sz w:val="28"/>
              <w:szCs w:val="28"/>
            </w:rPr>
            <w:fldChar w:fldCharType="separate"/>
          </w:r>
          <w:r>
            <w:rPr>
              <w:rFonts w:hint="eastAsia" w:ascii="楷体" w:hAnsi="楷体" w:eastAsia="楷体" w:cs="楷体"/>
              <w:sz w:val="28"/>
              <w:szCs w:val="28"/>
            </w:rPr>
            <w:t>46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_Toc18711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8.2监测仪器</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_Toc18711 </w:instrText>
          </w:r>
          <w:r>
            <w:rPr>
              <w:rFonts w:hint="eastAsia" w:ascii="楷体" w:hAnsi="楷体" w:eastAsia="楷体" w:cs="楷体"/>
              <w:sz w:val="28"/>
              <w:szCs w:val="28"/>
            </w:rPr>
            <w:fldChar w:fldCharType="separate"/>
          </w:r>
          <w:r>
            <w:rPr>
              <w:rFonts w:hint="eastAsia" w:ascii="楷体" w:hAnsi="楷体" w:eastAsia="楷体" w:cs="楷体"/>
              <w:sz w:val="28"/>
              <w:szCs w:val="28"/>
            </w:rPr>
            <w:t>47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_Toc30556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8.3人员能力</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_Toc30556 </w:instrText>
          </w:r>
          <w:r>
            <w:rPr>
              <w:rFonts w:hint="eastAsia" w:ascii="楷体" w:hAnsi="楷体" w:eastAsia="楷体" w:cs="楷体"/>
              <w:sz w:val="28"/>
              <w:szCs w:val="28"/>
            </w:rPr>
            <w:fldChar w:fldCharType="separate"/>
          </w:r>
          <w:r>
            <w:rPr>
              <w:rFonts w:hint="eastAsia" w:ascii="楷体" w:hAnsi="楷体" w:eastAsia="楷体" w:cs="楷体"/>
              <w:sz w:val="28"/>
              <w:szCs w:val="28"/>
            </w:rPr>
            <w:t>47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_Toc8559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8.4水质监测分析过程中的质量保证和质量控制</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_Toc8559 </w:instrText>
          </w:r>
          <w:r>
            <w:rPr>
              <w:rFonts w:hint="eastAsia" w:ascii="楷体" w:hAnsi="楷体" w:eastAsia="楷体" w:cs="楷体"/>
              <w:sz w:val="28"/>
              <w:szCs w:val="28"/>
            </w:rPr>
            <w:fldChar w:fldCharType="separate"/>
          </w:r>
          <w:r>
            <w:rPr>
              <w:rFonts w:hint="eastAsia" w:ascii="楷体" w:hAnsi="楷体" w:eastAsia="楷体" w:cs="楷体"/>
              <w:sz w:val="28"/>
              <w:szCs w:val="28"/>
            </w:rPr>
            <w:t>47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_Toc27967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8.5废气监测分析过程中的质量保证和质量控制</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_Toc27967 </w:instrText>
          </w:r>
          <w:r>
            <w:rPr>
              <w:rFonts w:hint="eastAsia" w:ascii="楷体" w:hAnsi="楷体" w:eastAsia="楷体" w:cs="楷体"/>
              <w:sz w:val="28"/>
              <w:szCs w:val="28"/>
            </w:rPr>
            <w:fldChar w:fldCharType="separate"/>
          </w:r>
          <w:r>
            <w:rPr>
              <w:rFonts w:hint="eastAsia" w:ascii="楷体" w:hAnsi="楷体" w:eastAsia="楷体" w:cs="楷体"/>
              <w:sz w:val="28"/>
              <w:szCs w:val="28"/>
            </w:rPr>
            <w:t>48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_Toc12710 </w:instrText>
          </w:r>
          <w:r>
            <w:rPr>
              <w:rFonts w:hint="eastAsia" w:ascii="楷体" w:hAnsi="楷体" w:eastAsia="楷体" w:cs="楷体"/>
              <w:sz w:val="28"/>
              <w:szCs w:val="28"/>
            </w:rPr>
            <w:fldChar w:fldCharType="separate"/>
          </w:r>
          <w:r>
            <w:rPr>
              <w:rFonts w:hint="eastAsia" w:ascii="楷体" w:hAnsi="楷体" w:eastAsia="楷体" w:cs="楷体"/>
              <w:bCs/>
              <w:kern w:val="2"/>
              <w:sz w:val="28"/>
              <w:szCs w:val="28"/>
              <w:lang w:val="en-US" w:eastAsia="zh-CN" w:bidi="ar-SA"/>
            </w:rPr>
            <w:t>8.6固体废物监测分析过程中的质量保证和质量控制</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_Toc12710 </w:instrText>
          </w:r>
          <w:r>
            <w:rPr>
              <w:rFonts w:hint="eastAsia" w:ascii="楷体" w:hAnsi="楷体" w:eastAsia="楷体" w:cs="楷体"/>
              <w:sz w:val="28"/>
              <w:szCs w:val="28"/>
            </w:rPr>
            <w:fldChar w:fldCharType="separate"/>
          </w:r>
          <w:r>
            <w:rPr>
              <w:rFonts w:hint="eastAsia" w:ascii="楷体" w:hAnsi="楷体" w:eastAsia="楷体" w:cs="楷体"/>
              <w:sz w:val="28"/>
              <w:szCs w:val="28"/>
            </w:rPr>
            <w:t>49</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_Toc6943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9验收监测结果</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_Toc6943 </w:instrText>
          </w:r>
          <w:r>
            <w:rPr>
              <w:rFonts w:hint="eastAsia" w:ascii="楷体" w:hAnsi="楷体" w:eastAsia="楷体" w:cs="楷体"/>
              <w:sz w:val="28"/>
              <w:szCs w:val="28"/>
            </w:rPr>
            <w:fldChar w:fldCharType="separate"/>
          </w:r>
          <w:r>
            <w:rPr>
              <w:rFonts w:hint="eastAsia" w:ascii="楷体" w:hAnsi="楷体" w:eastAsia="楷体" w:cs="楷体"/>
              <w:sz w:val="28"/>
              <w:szCs w:val="28"/>
            </w:rPr>
            <w:t>50</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_Toc28697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9.1</w:t>
          </w:r>
          <w:r>
            <w:rPr>
              <w:rFonts w:hint="eastAsia" w:ascii="楷体" w:hAnsi="楷体" w:eastAsia="楷体" w:cs="楷体"/>
              <w:bCs/>
              <w:kern w:val="2"/>
              <w:sz w:val="28"/>
              <w:szCs w:val="28"/>
              <w:lang w:val="en-US" w:eastAsia="zh-CN" w:bidi="ar-SA"/>
            </w:rPr>
            <w:t>验收工况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_Toc28697 </w:instrText>
          </w:r>
          <w:r>
            <w:rPr>
              <w:rFonts w:hint="eastAsia" w:ascii="楷体" w:hAnsi="楷体" w:eastAsia="楷体" w:cs="楷体"/>
              <w:sz w:val="28"/>
              <w:szCs w:val="28"/>
            </w:rPr>
            <w:fldChar w:fldCharType="separate"/>
          </w:r>
          <w:r>
            <w:rPr>
              <w:rFonts w:hint="eastAsia" w:ascii="楷体" w:hAnsi="楷体" w:eastAsia="楷体" w:cs="楷体"/>
              <w:sz w:val="28"/>
              <w:szCs w:val="28"/>
            </w:rPr>
            <w:t>50</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_Toc23727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9.2污染物排放监测结果</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_Toc23727 </w:instrText>
          </w:r>
          <w:r>
            <w:rPr>
              <w:rFonts w:hint="eastAsia" w:ascii="楷体" w:hAnsi="楷体" w:eastAsia="楷体" w:cs="楷体"/>
              <w:sz w:val="28"/>
              <w:szCs w:val="28"/>
            </w:rPr>
            <w:fldChar w:fldCharType="separate"/>
          </w:r>
          <w:r>
            <w:rPr>
              <w:rFonts w:hint="eastAsia" w:ascii="楷体" w:hAnsi="楷体" w:eastAsia="楷体" w:cs="楷体"/>
              <w:sz w:val="28"/>
              <w:szCs w:val="28"/>
            </w:rPr>
            <w:t>51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_Toc13649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9.2.1废水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_Toc13649 </w:instrText>
          </w:r>
          <w:r>
            <w:rPr>
              <w:rFonts w:hint="eastAsia" w:ascii="楷体" w:hAnsi="楷体" w:eastAsia="楷体" w:cs="楷体"/>
              <w:sz w:val="28"/>
              <w:szCs w:val="28"/>
            </w:rPr>
            <w:fldChar w:fldCharType="separate"/>
          </w:r>
          <w:r>
            <w:rPr>
              <w:rFonts w:hint="eastAsia" w:ascii="楷体" w:hAnsi="楷体" w:eastAsia="楷体" w:cs="楷体"/>
              <w:sz w:val="28"/>
              <w:szCs w:val="28"/>
            </w:rPr>
            <w:t>51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_Toc28010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9.2.2废气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_Toc28010 </w:instrText>
          </w:r>
          <w:r>
            <w:rPr>
              <w:rFonts w:hint="eastAsia" w:ascii="楷体" w:hAnsi="楷体" w:eastAsia="楷体" w:cs="楷体"/>
              <w:sz w:val="28"/>
              <w:szCs w:val="28"/>
            </w:rPr>
            <w:fldChar w:fldCharType="separate"/>
          </w:r>
          <w:r>
            <w:rPr>
              <w:rFonts w:hint="eastAsia" w:ascii="楷体" w:hAnsi="楷体" w:eastAsia="楷体" w:cs="楷体"/>
              <w:sz w:val="28"/>
              <w:szCs w:val="28"/>
            </w:rPr>
            <w:t>56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_Toc26515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9.2.3固体废物</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_Toc26515 </w:instrText>
          </w:r>
          <w:r>
            <w:rPr>
              <w:rFonts w:hint="eastAsia" w:ascii="楷体" w:hAnsi="楷体" w:eastAsia="楷体" w:cs="楷体"/>
              <w:sz w:val="28"/>
              <w:szCs w:val="28"/>
            </w:rPr>
            <w:fldChar w:fldCharType="separate"/>
          </w:r>
          <w:r>
            <w:rPr>
              <w:rFonts w:hint="eastAsia" w:ascii="楷体" w:hAnsi="楷体" w:eastAsia="楷体" w:cs="楷体"/>
              <w:sz w:val="28"/>
              <w:szCs w:val="28"/>
            </w:rPr>
            <w:t>71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_Toc6257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9.2.4污染物排放总量核算</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_Toc6257 </w:instrText>
          </w:r>
          <w:r>
            <w:rPr>
              <w:rFonts w:hint="eastAsia" w:ascii="楷体" w:hAnsi="楷体" w:eastAsia="楷体" w:cs="楷体"/>
              <w:sz w:val="28"/>
              <w:szCs w:val="28"/>
            </w:rPr>
            <w:fldChar w:fldCharType="separate"/>
          </w:r>
          <w:r>
            <w:rPr>
              <w:rFonts w:hint="eastAsia" w:ascii="楷体" w:hAnsi="楷体" w:eastAsia="楷体" w:cs="楷体"/>
              <w:sz w:val="28"/>
              <w:szCs w:val="28"/>
            </w:rPr>
            <w:t>72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_Toc21431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10环境管理检查</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_Toc21431 </w:instrText>
          </w:r>
          <w:r>
            <w:rPr>
              <w:rFonts w:hint="eastAsia" w:ascii="楷体" w:hAnsi="楷体" w:eastAsia="楷体" w:cs="楷体"/>
              <w:sz w:val="28"/>
              <w:szCs w:val="28"/>
            </w:rPr>
            <w:fldChar w:fldCharType="separate"/>
          </w:r>
          <w:r>
            <w:rPr>
              <w:rFonts w:hint="eastAsia" w:ascii="楷体" w:hAnsi="楷体" w:eastAsia="楷体" w:cs="楷体"/>
              <w:sz w:val="28"/>
              <w:szCs w:val="28"/>
            </w:rPr>
            <w:t>73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_Toc29810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10.1环境保护手续履行情况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_Toc29810 </w:instrText>
          </w:r>
          <w:r>
            <w:rPr>
              <w:rFonts w:hint="eastAsia" w:ascii="楷体" w:hAnsi="楷体" w:eastAsia="楷体" w:cs="楷体"/>
              <w:sz w:val="28"/>
              <w:szCs w:val="28"/>
            </w:rPr>
            <w:fldChar w:fldCharType="separate"/>
          </w:r>
          <w:r>
            <w:rPr>
              <w:rFonts w:hint="eastAsia" w:ascii="楷体" w:hAnsi="楷体" w:eastAsia="楷体" w:cs="楷体"/>
              <w:sz w:val="28"/>
              <w:szCs w:val="28"/>
            </w:rPr>
            <w:t>73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_Toc9740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10.2组织机构及规章管理制度情况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_Toc9740 </w:instrText>
          </w:r>
          <w:r>
            <w:rPr>
              <w:rFonts w:hint="eastAsia" w:ascii="楷体" w:hAnsi="楷体" w:eastAsia="楷体" w:cs="楷体"/>
              <w:sz w:val="28"/>
              <w:szCs w:val="28"/>
            </w:rPr>
            <w:fldChar w:fldCharType="separate"/>
          </w:r>
          <w:r>
            <w:rPr>
              <w:rFonts w:hint="eastAsia" w:ascii="楷体" w:hAnsi="楷体" w:eastAsia="楷体" w:cs="楷体"/>
              <w:sz w:val="28"/>
              <w:szCs w:val="28"/>
            </w:rPr>
            <w:t>73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_Toc29579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10.3固体废物产生、处理情况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_Toc29579 </w:instrText>
          </w:r>
          <w:r>
            <w:rPr>
              <w:rFonts w:hint="eastAsia" w:ascii="楷体" w:hAnsi="楷体" w:eastAsia="楷体" w:cs="楷体"/>
              <w:sz w:val="28"/>
              <w:szCs w:val="28"/>
            </w:rPr>
            <w:fldChar w:fldCharType="separate"/>
          </w:r>
          <w:r>
            <w:rPr>
              <w:rFonts w:hint="eastAsia" w:ascii="楷体" w:hAnsi="楷体" w:eastAsia="楷体" w:cs="楷体"/>
              <w:sz w:val="28"/>
              <w:szCs w:val="28"/>
            </w:rPr>
            <w:t>73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_Toc19222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10.4环境风险防范措施及应急预案落实情况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_Toc19222 </w:instrText>
          </w:r>
          <w:r>
            <w:rPr>
              <w:rFonts w:hint="eastAsia" w:ascii="楷体" w:hAnsi="楷体" w:eastAsia="楷体" w:cs="楷体"/>
              <w:sz w:val="28"/>
              <w:szCs w:val="28"/>
            </w:rPr>
            <w:fldChar w:fldCharType="separate"/>
          </w:r>
          <w:r>
            <w:rPr>
              <w:rFonts w:hint="eastAsia" w:ascii="楷体" w:hAnsi="楷体" w:eastAsia="楷体" w:cs="楷体"/>
              <w:sz w:val="28"/>
              <w:szCs w:val="28"/>
            </w:rPr>
            <w:t>74</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_Toc3979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10.5厂区污染源排放口规范化检查</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_Toc3979 </w:instrText>
          </w:r>
          <w:r>
            <w:rPr>
              <w:rFonts w:hint="eastAsia" w:ascii="楷体" w:hAnsi="楷体" w:eastAsia="楷体" w:cs="楷体"/>
              <w:sz w:val="28"/>
              <w:szCs w:val="28"/>
            </w:rPr>
            <w:fldChar w:fldCharType="separate"/>
          </w:r>
          <w:r>
            <w:rPr>
              <w:rFonts w:hint="eastAsia" w:ascii="楷体" w:hAnsi="楷体" w:eastAsia="楷体" w:cs="楷体"/>
              <w:sz w:val="28"/>
              <w:szCs w:val="28"/>
            </w:rPr>
            <w:t>75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_Toc32606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10.6排污许可证执行情况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_Toc32606 </w:instrText>
          </w:r>
          <w:r>
            <w:rPr>
              <w:rFonts w:hint="eastAsia" w:ascii="楷体" w:hAnsi="楷体" w:eastAsia="楷体" w:cs="楷体"/>
              <w:sz w:val="28"/>
              <w:szCs w:val="28"/>
            </w:rPr>
            <w:fldChar w:fldCharType="separate"/>
          </w:r>
          <w:r>
            <w:rPr>
              <w:rFonts w:hint="eastAsia" w:ascii="楷体" w:hAnsi="楷体" w:eastAsia="楷体" w:cs="楷体"/>
              <w:sz w:val="28"/>
              <w:szCs w:val="28"/>
            </w:rPr>
            <w:t>75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_Toc23809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11验收监测结论及建议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_Toc23809 </w:instrText>
          </w:r>
          <w:r>
            <w:rPr>
              <w:rFonts w:hint="eastAsia" w:ascii="楷体" w:hAnsi="楷体" w:eastAsia="楷体" w:cs="楷体"/>
              <w:sz w:val="28"/>
              <w:szCs w:val="28"/>
            </w:rPr>
            <w:fldChar w:fldCharType="separate"/>
          </w:r>
          <w:r>
            <w:rPr>
              <w:rFonts w:hint="eastAsia" w:ascii="楷体" w:hAnsi="楷体" w:eastAsia="楷体" w:cs="楷体"/>
              <w:sz w:val="28"/>
              <w:szCs w:val="28"/>
            </w:rPr>
            <w:t>76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_Toc20147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11.1环境保护设施调试效果</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_Toc20147 </w:instrText>
          </w:r>
          <w:r>
            <w:rPr>
              <w:rFonts w:hint="eastAsia" w:ascii="楷体" w:hAnsi="楷体" w:eastAsia="楷体" w:cs="楷体"/>
              <w:sz w:val="28"/>
              <w:szCs w:val="28"/>
            </w:rPr>
            <w:fldChar w:fldCharType="separate"/>
          </w:r>
          <w:r>
            <w:rPr>
              <w:rFonts w:hint="eastAsia" w:ascii="楷体" w:hAnsi="楷体" w:eastAsia="楷体" w:cs="楷体"/>
              <w:sz w:val="28"/>
              <w:szCs w:val="28"/>
            </w:rPr>
            <w:t>76</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_Toc25591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11.2污染物排放监测结果</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_Toc25591 </w:instrText>
          </w:r>
          <w:r>
            <w:rPr>
              <w:rFonts w:hint="eastAsia" w:ascii="楷体" w:hAnsi="楷体" w:eastAsia="楷体" w:cs="楷体"/>
              <w:sz w:val="28"/>
              <w:szCs w:val="28"/>
            </w:rPr>
            <w:fldChar w:fldCharType="separate"/>
          </w:r>
          <w:r>
            <w:rPr>
              <w:rFonts w:hint="eastAsia" w:ascii="楷体" w:hAnsi="楷体" w:eastAsia="楷体" w:cs="楷体"/>
              <w:sz w:val="28"/>
              <w:szCs w:val="28"/>
            </w:rPr>
            <w:t>77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_Toc1681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11.2.1废水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_Toc1681 </w:instrText>
          </w:r>
          <w:r>
            <w:rPr>
              <w:rFonts w:hint="eastAsia" w:ascii="楷体" w:hAnsi="楷体" w:eastAsia="楷体" w:cs="楷体"/>
              <w:sz w:val="28"/>
              <w:szCs w:val="28"/>
            </w:rPr>
            <w:fldChar w:fldCharType="separate"/>
          </w:r>
          <w:r>
            <w:rPr>
              <w:rFonts w:hint="eastAsia" w:ascii="楷体" w:hAnsi="楷体" w:eastAsia="楷体" w:cs="楷体"/>
              <w:sz w:val="28"/>
              <w:szCs w:val="28"/>
            </w:rPr>
            <w:t>77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_Toc21321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11.2.2废气</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_Toc21321 </w:instrText>
          </w:r>
          <w:r>
            <w:rPr>
              <w:rFonts w:hint="eastAsia" w:ascii="楷体" w:hAnsi="楷体" w:eastAsia="楷体" w:cs="楷体"/>
              <w:sz w:val="28"/>
              <w:szCs w:val="28"/>
            </w:rPr>
            <w:fldChar w:fldCharType="separate"/>
          </w:r>
          <w:r>
            <w:rPr>
              <w:rFonts w:hint="eastAsia" w:ascii="楷体" w:hAnsi="楷体" w:eastAsia="楷体" w:cs="楷体"/>
              <w:sz w:val="28"/>
              <w:szCs w:val="28"/>
            </w:rPr>
            <w:t>78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_Toc31869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11.2.3噪声</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_Toc31869 </w:instrText>
          </w:r>
          <w:r>
            <w:rPr>
              <w:rFonts w:hint="eastAsia" w:ascii="楷体" w:hAnsi="楷体" w:eastAsia="楷体" w:cs="楷体"/>
              <w:sz w:val="28"/>
              <w:szCs w:val="28"/>
            </w:rPr>
            <w:fldChar w:fldCharType="separate"/>
          </w:r>
          <w:r>
            <w:rPr>
              <w:rFonts w:hint="eastAsia" w:ascii="楷体" w:hAnsi="楷体" w:eastAsia="楷体" w:cs="楷体"/>
              <w:sz w:val="28"/>
              <w:szCs w:val="28"/>
            </w:rPr>
            <w:t>81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_Toc3067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11.2.4固体废物</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_Toc3067 </w:instrText>
          </w:r>
          <w:r>
            <w:rPr>
              <w:rFonts w:hint="eastAsia" w:ascii="楷体" w:hAnsi="楷体" w:eastAsia="楷体" w:cs="楷体"/>
              <w:sz w:val="28"/>
              <w:szCs w:val="28"/>
            </w:rPr>
            <w:fldChar w:fldCharType="separate"/>
          </w:r>
          <w:r>
            <w:rPr>
              <w:rFonts w:hint="eastAsia" w:ascii="楷体" w:hAnsi="楷体" w:eastAsia="楷体" w:cs="楷体"/>
              <w:sz w:val="28"/>
              <w:szCs w:val="28"/>
            </w:rPr>
            <w:t>81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4"/>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_Toc20640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11.2.5污染物总量排放情况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_Toc20640 </w:instrText>
          </w:r>
          <w:r>
            <w:rPr>
              <w:rFonts w:hint="eastAsia" w:ascii="楷体" w:hAnsi="楷体" w:eastAsia="楷体" w:cs="楷体"/>
              <w:sz w:val="28"/>
              <w:szCs w:val="28"/>
            </w:rPr>
            <w:fldChar w:fldCharType="separate"/>
          </w:r>
          <w:r>
            <w:rPr>
              <w:rFonts w:hint="eastAsia" w:ascii="楷体" w:hAnsi="楷体" w:eastAsia="楷体" w:cs="楷体"/>
              <w:sz w:val="28"/>
              <w:szCs w:val="28"/>
            </w:rPr>
            <w:t>82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_Toc11262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11.3结论</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_Toc11262 </w:instrText>
          </w:r>
          <w:r>
            <w:rPr>
              <w:rFonts w:hint="eastAsia" w:ascii="楷体" w:hAnsi="楷体" w:eastAsia="楷体" w:cs="楷体"/>
              <w:sz w:val="28"/>
              <w:szCs w:val="28"/>
            </w:rPr>
            <w:fldChar w:fldCharType="separate"/>
          </w:r>
          <w:r>
            <w:rPr>
              <w:rFonts w:hint="eastAsia" w:ascii="楷体" w:hAnsi="楷体" w:eastAsia="楷体" w:cs="楷体"/>
              <w:sz w:val="28"/>
              <w:szCs w:val="28"/>
            </w:rPr>
            <w:t>82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9"/>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_Toc21997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11.4建议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_Toc21997 </w:instrText>
          </w:r>
          <w:r>
            <w:rPr>
              <w:rFonts w:hint="eastAsia" w:ascii="楷体" w:hAnsi="楷体" w:eastAsia="楷体" w:cs="楷体"/>
              <w:sz w:val="28"/>
              <w:szCs w:val="28"/>
            </w:rPr>
            <w:fldChar w:fldCharType="separate"/>
          </w:r>
          <w:r>
            <w:rPr>
              <w:rFonts w:hint="eastAsia" w:ascii="楷体" w:hAnsi="楷体" w:eastAsia="楷体" w:cs="楷体"/>
              <w:sz w:val="28"/>
              <w:szCs w:val="28"/>
            </w:rPr>
            <w:t>82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jc w:val="both"/>
            <w:rPr>
              <w:rFonts w:asciiTheme="majorEastAsia" w:hAnsiTheme="majorEastAsia" w:eastAsiaTheme="majorEastAsia"/>
              <w:sz w:val="32"/>
              <w:szCs w:val="32"/>
            </w:rPr>
          </w:pPr>
          <w:r>
            <w:rPr>
              <w:rFonts w:hint="eastAsia" w:ascii="楷体" w:hAnsi="楷体" w:eastAsia="楷体" w:cs="楷体"/>
              <w:sz w:val="28"/>
              <w:szCs w:val="28"/>
            </w:rPr>
            <w:fldChar w:fldCharType="end"/>
          </w:r>
        </w:p>
      </w:sdtContent>
    </w:sdt>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_Toc3499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附件1：</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煤质分析报告</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_Toc24411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附件2：</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资质认定证书</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_Toc323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附件3：</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环评批复</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_Toc23377 </w:instrText>
      </w:r>
      <w:r>
        <w:rPr>
          <w:rFonts w:hint="eastAsia" w:ascii="楷体" w:hAnsi="楷体" w:eastAsia="楷体" w:cs="楷体"/>
          <w:sz w:val="28"/>
          <w:szCs w:val="28"/>
        </w:rPr>
        <w:fldChar w:fldCharType="separate"/>
      </w:r>
      <w:r>
        <w:rPr>
          <w:rFonts w:hint="eastAsia" w:ascii="楷体" w:hAnsi="楷体" w:eastAsia="楷体" w:cs="楷体"/>
          <w:bCs/>
          <w:sz w:val="28"/>
          <w:szCs w:val="28"/>
          <w:lang w:eastAsia="zh-CN"/>
        </w:rPr>
        <w:t>附件</w:t>
      </w:r>
      <w:r>
        <w:rPr>
          <w:rFonts w:hint="eastAsia" w:ascii="楷体" w:hAnsi="楷体" w:eastAsia="楷体" w:cs="楷体"/>
          <w:bCs/>
          <w:sz w:val="28"/>
          <w:szCs w:val="28"/>
          <w:lang w:val="en-US" w:eastAsia="zh-CN"/>
        </w:rPr>
        <w:t>4：</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危险化学品登记证</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_Toc16332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附件5：</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应急预案</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_Toc25756 </w:instrText>
      </w:r>
      <w:r>
        <w:rPr>
          <w:rFonts w:hint="eastAsia" w:ascii="楷体" w:hAnsi="楷体" w:eastAsia="楷体" w:cs="楷体"/>
          <w:sz w:val="28"/>
          <w:szCs w:val="28"/>
        </w:rPr>
        <w:fldChar w:fldCharType="separate"/>
      </w:r>
      <w:r>
        <w:rPr>
          <w:rFonts w:hint="eastAsia" w:ascii="楷体" w:hAnsi="楷体" w:eastAsia="楷体" w:cs="楷体"/>
          <w:bCs/>
          <w:sz w:val="28"/>
          <w:szCs w:val="28"/>
          <w:lang w:eastAsia="zh-CN"/>
        </w:rPr>
        <w:t>附件</w:t>
      </w:r>
      <w:r>
        <w:rPr>
          <w:rFonts w:hint="eastAsia" w:ascii="楷体" w:hAnsi="楷体" w:eastAsia="楷体" w:cs="楷体"/>
          <w:bCs/>
          <w:sz w:val="28"/>
          <w:szCs w:val="28"/>
          <w:lang w:val="en-US" w:eastAsia="zh-CN"/>
        </w:rPr>
        <w:t>6：</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应急预案备案登记表</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_Toc16598 </w:instrText>
      </w:r>
      <w:r>
        <w:rPr>
          <w:rFonts w:hint="eastAsia" w:ascii="楷体" w:hAnsi="楷体" w:eastAsia="楷体" w:cs="楷体"/>
          <w:sz w:val="28"/>
          <w:szCs w:val="28"/>
        </w:rPr>
        <w:fldChar w:fldCharType="separate"/>
      </w:r>
      <w:r>
        <w:rPr>
          <w:rFonts w:hint="eastAsia" w:ascii="楷体" w:hAnsi="楷体" w:eastAsia="楷体" w:cs="楷体"/>
          <w:bCs/>
          <w:sz w:val="28"/>
          <w:szCs w:val="28"/>
          <w:lang w:eastAsia="zh-CN"/>
        </w:rPr>
        <w:t>附件</w:t>
      </w:r>
      <w:r>
        <w:rPr>
          <w:rFonts w:hint="eastAsia" w:ascii="楷体" w:hAnsi="楷体" w:eastAsia="楷体" w:cs="楷体"/>
          <w:bCs/>
          <w:sz w:val="28"/>
          <w:szCs w:val="28"/>
          <w:lang w:val="en-US" w:eastAsia="zh-CN"/>
        </w:rPr>
        <w:t>7：</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危废处置协议</w:t>
      </w:r>
    </w:p>
    <w:p>
      <w:pPr>
        <w:pStyle w:val="3"/>
        <w:tabs>
          <w:tab w:val="right" w:leader="dot" w:pos="8300"/>
        </w:tabs>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_Toc18391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附件8：</w:t>
      </w:r>
      <w:r>
        <w:rPr>
          <w:rFonts w:hint="eastAsia" w:ascii="楷体" w:hAnsi="楷体" w:eastAsia="楷体" w:cs="楷体"/>
          <w:sz w:val="28"/>
          <w:szCs w:val="28"/>
        </w:rPr>
        <w:fldChar w:fldCharType="end"/>
      </w:r>
      <w:r>
        <w:rPr>
          <w:rFonts w:hint="eastAsia" w:ascii="楷体" w:hAnsi="楷体" w:eastAsia="楷体" w:cs="楷体"/>
          <w:bCs/>
          <w:sz w:val="28"/>
          <w:szCs w:val="28"/>
          <w:lang w:val="en-US" w:eastAsia="zh-CN"/>
        </w:rPr>
        <w:t>排污许可证</w:t>
      </w:r>
    </w:p>
    <w:p>
      <w:pPr>
        <w:pStyle w:val="3"/>
        <w:tabs>
          <w:tab w:val="right" w:leader="dot" w:pos="8300"/>
        </w:tabs>
        <w:rPr>
          <w:rFonts w:hint="eastAsia" w:ascii="楷体" w:hAnsi="楷体" w:eastAsia="楷体" w:cs="楷体"/>
          <w:sz w:val="28"/>
          <w:szCs w:val="28"/>
          <w:lang w:val="en-US" w:eastAsia="zh-CN"/>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_Toc11448 </w:instrText>
      </w:r>
      <w:r>
        <w:rPr>
          <w:rFonts w:hint="eastAsia" w:ascii="楷体" w:hAnsi="楷体" w:eastAsia="楷体" w:cs="楷体"/>
          <w:sz w:val="28"/>
          <w:szCs w:val="28"/>
        </w:rPr>
        <w:fldChar w:fldCharType="separate"/>
      </w:r>
      <w:r>
        <w:rPr>
          <w:rFonts w:hint="eastAsia" w:ascii="楷体" w:hAnsi="楷体" w:eastAsia="楷体" w:cs="楷体"/>
          <w:bCs/>
          <w:sz w:val="28"/>
          <w:szCs w:val="28"/>
          <w:lang w:val="en-US" w:eastAsia="zh-CN"/>
        </w:rPr>
        <w:t>附件9：</w:t>
      </w:r>
      <w:r>
        <w:rPr>
          <w:rFonts w:hint="eastAsia" w:ascii="楷体" w:hAnsi="楷体" w:eastAsia="楷体" w:cs="楷体"/>
          <w:sz w:val="28"/>
          <w:szCs w:val="28"/>
        </w:rPr>
        <w:fldChar w:fldCharType="end"/>
      </w:r>
      <w:r>
        <w:rPr>
          <w:rFonts w:hint="eastAsia" w:ascii="楷体" w:hAnsi="楷体" w:eastAsia="楷体" w:cs="楷体"/>
          <w:sz w:val="28"/>
          <w:szCs w:val="28"/>
          <w:lang w:val="en-US" w:eastAsia="zh-CN"/>
        </w:rPr>
        <w:t>委托书</w:t>
      </w:r>
    </w:p>
    <w:p>
      <w:pPr>
        <w:rPr>
          <w:rFonts w:hint="eastAsia" w:ascii="楷体" w:hAnsi="楷体" w:eastAsia="楷体" w:cs="楷体"/>
          <w:sz w:val="28"/>
          <w:szCs w:val="28"/>
          <w:lang w:val="en-US"/>
        </w:rPr>
      </w:pPr>
      <w:r>
        <w:rPr>
          <w:rFonts w:hint="eastAsia" w:ascii="楷体" w:hAnsi="楷体" w:eastAsia="楷体" w:cs="楷体"/>
          <w:sz w:val="28"/>
          <w:szCs w:val="28"/>
          <w:lang w:val="en-US" w:eastAsia="zh-CN"/>
        </w:rPr>
        <w:t>附件10：在线验收报告</w:t>
      </w:r>
    </w:p>
    <w:p>
      <w:pPr>
        <w:jc w:val="left"/>
        <w:rPr>
          <w:rFonts w:hint="eastAsia" w:asciiTheme="majorEastAsia" w:hAnsiTheme="majorEastAsia" w:eastAsiaTheme="majorEastAsia"/>
          <w:sz w:val="28"/>
          <w:szCs w:val="28"/>
          <w:lang w:val="en-US" w:eastAsia="zh-CN"/>
        </w:rPr>
      </w:pPr>
    </w:p>
    <w:p>
      <w:pPr>
        <w:jc w:val="center"/>
        <w:rPr>
          <w:rFonts w:asciiTheme="majorEastAsia" w:hAnsiTheme="majorEastAsia" w:eastAsiaTheme="majorEastAsia"/>
          <w:sz w:val="32"/>
          <w:szCs w:val="32"/>
        </w:rPr>
      </w:pPr>
    </w:p>
    <w:p>
      <w:pPr>
        <w:jc w:val="both"/>
        <w:rPr>
          <w:rFonts w:asciiTheme="majorEastAsia" w:hAnsiTheme="majorEastAsia" w:eastAsiaTheme="majorEastAsia"/>
          <w:sz w:val="32"/>
          <w:szCs w:val="32"/>
        </w:rPr>
      </w:pPr>
    </w:p>
    <w:p>
      <w:pPr>
        <w:jc w:val="both"/>
        <w:rPr>
          <w:rFonts w:asciiTheme="majorEastAsia" w:hAnsiTheme="majorEastAsia" w:eastAsiaTheme="majorEastAsia"/>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heme="majorEastAsia" w:hAnsiTheme="majorEastAsia" w:eastAsiaTheme="majorEastAsia"/>
          <w:b/>
          <w:bCs/>
          <w:sz w:val="32"/>
          <w:szCs w:val="32"/>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jc w:val="both"/>
        <w:textAlignment w:val="auto"/>
        <w:outlineLvl w:val="0"/>
        <w:rPr>
          <w:rFonts w:asciiTheme="majorEastAsia" w:hAnsiTheme="majorEastAsia" w:eastAsiaTheme="majorEastAsia"/>
          <w:b/>
          <w:bCs/>
          <w:sz w:val="32"/>
          <w:szCs w:val="32"/>
        </w:rPr>
      </w:pPr>
      <w:bookmarkStart w:id="0" w:name="_Toc15663"/>
      <w:r>
        <w:rPr>
          <w:rFonts w:hint="eastAsia" w:asciiTheme="majorEastAsia" w:hAnsiTheme="majorEastAsia" w:eastAsiaTheme="majorEastAsia"/>
          <w:b/>
          <w:bCs/>
          <w:sz w:val="32"/>
          <w:szCs w:val="32"/>
        </w:rPr>
        <w:t>1前言</w:t>
      </w:r>
      <w:bookmarkEnd w:id="0"/>
    </w:p>
    <w:p>
      <w:pPr>
        <w:ind w:firstLine="560" w:firstLineChars="200"/>
        <w:rPr>
          <w:rFonts w:ascii="宋体" w:hAnsi="宋体" w:eastAsia="宋体"/>
          <w:sz w:val="28"/>
          <w:szCs w:val="28"/>
        </w:rPr>
      </w:pPr>
      <w:r>
        <w:rPr>
          <w:rFonts w:hint="eastAsia" w:ascii="宋体" w:hAnsi="宋体" w:eastAsia="宋体"/>
          <w:sz w:val="28"/>
          <w:szCs w:val="28"/>
          <w:lang w:eastAsia="zh-CN"/>
        </w:rPr>
        <w:t>新疆国泰新华化工有限责任公司</w:t>
      </w:r>
      <w:r>
        <w:rPr>
          <w:rFonts w:ascii="宋体" w:hAnsi="宋体" w:eastAsia="宋体"/>
          <w:sz w:val="28"/>
          <w:szCs w:val="28"/>
        </w:rPr>
        <w:t>准东经济开发区煤基精细化工循环经济工业园一期项目包括</w:t>
      </w:r>
      <w:r>
        <w:rPr>
          <w:rFonts w:hint="eastAsia" w:ascii="宋体" w:hAnsi="宋体" w:eastAsia="宋体"/>
          <w:sz w:val="28"/>
          <w:szCs w:val="28"/>
          <w:lang w:eastAsia="zh-CN"/>
        </w:rPr>
        <w:t>建设</w:t>
      </w:r>
      <w:r>
        <w:rPr>
          <w:rFonts w:ascii="宋体" w:hAnsi="宋体" w:eastAsia="宋体"/>
          <w:sz w:val="28"/>
          <w:szCs w:val="28"/>
        </w:rPr>
        <w:t>年产 20 万吨 BDO</w:t>
      </w:r>
      <w:r>
        <w:rPr>
          <w:rFonts w:hint="eastAsia" w:ascii="宋体" w:hAnsi="宋体" w:eastAsia="宋体"/>
          <w:sz w:val="28"/>
          <w:szCs w:val="28"/>
          <w:lang w:eastAsia="zh-CN"/>
        </w:rPr>
        <w:t>、</w:t>
      </w:r>
      <w:r>
        <w:rPr>
          <w:rFonts w:ascii="宋体" w:hAnsi="宋体" w:eastAsia="宋体"/>
          <w:sz w:val="28"/>
          <w:szCs w:val="28"/>
        </w:rPr>
        <w:t>年产 6 万吨聚四亚甲基醚二醇(PTMEG)</w:t>
      </w:r>
      <w:r>
        <w:rPr>
          <w:rFonts w:hint="eastAsia" w:ascii="宋体" w:hAnsi="宋体" w:eastAsia="宋体"/>
          <w:sz w:val="28"/>
          <w:szCs w:val="28"/>
          <w:lang w:eastAsia="zh-CN"/>
        </w:rPr>
        <w:t>，配套建设</w:t>
      </w:r>
      <w:r>
        <w:rPr>
          <w:rFonts w:ascii="宋体" w:hAnsi="宋体" w:eastAsia="宋体"/>
          <w:sz w:val="28"/>
          <w:szCs w:val="28"/>
        </w:rPr>
        <w:t>年产 40 万吨电石、</w:t>
      </w:r>
      <w:r>
        <w:rPr>
          <w:rFonts w:hint="eastAsia" w:ascii="宋体" w:hAnsi="宋体" w:eastAsia="宋体"/>
          <w:sz w:val="28"/>
          <w:szCs w:val="28"/>
          <w:lang w:val="en-US" w:eastAsia="zh-CN"/>
        </w:rPr>
        <w:t>20万吨甲醇、</w:t>
      </w:r>
      <w:r>
        <w:rPr>
          <w:rFonts w:ascii="宋体" w:hAnsi="宋体" w:eastAsia="宋体"/>
          <w:sz w:val="28"/>
          <w:szCs w:val="28"/>
        </w:rPr>
        <w:t xml:space="preserve">年产 48 万吨甲醛、年产 </w:t>
      </w:r>
      <w:r>
        <w:rPr>
          <w:rFonts w:hint="eastAsia" w:ascii="宋体" w:hAnsi="宋体" w:eastAsia="宋体"/>
          <w:sz w:val="28"/>
          <w:szCs w:val="28"/>
          <w:lang w:val="en-US" w:eastAsia="zh-CN"/>
        </w:rPr>
        <w:t>10</w:t>
      </w:r>
      <w:r>
        <w:rPr>
          <w:rFonts w:ascii="宋体" w:hAnsi="宋体" w:eastAsia="宋体"/>
          <w:sz w:val="28"/>
          <w:szCs w:val="28"/>
        </w:rPr>
        <w:t xml:space="preserve"> 万吨乙炔发生等生产装置和公用工程设施。本</w:t>
      </w:r>
      <w:r>
        <w:rPr>
          <w:rFonts w:hint="eastAsia" w:ascii="宋体" w:hAnsi="宋体" w:eastAsia="宋体"/>
          <w:sz w:val="28"/>
          <w:szCs w:val="28"/>
          <w:lang w:eastAsia="zh-CN"/>
        </w:rPr>
        <w:t>项目</w:t>
      </w:r>
      <w:r>
        <w:rPr>
          <w:rFonts w:ascii="宋体" w:hAnsi="宋体" w:eastAsia="宋体"/>
          <w:sz w:val="28"/>
          <w:szCs w:val="28"/>
        </w:rPr>
        <w:t>动力站属于为主体装置服务的公用工程设施</w:t>
      </w:r>
      <w:r>
        <w:rPr>
          <w:rFonts w:hint="eastAsia" w:ascii="宋体" w:hAnsi="宋体" w:eastAsia="宋体"/>
          <w:sz w:val="28"/>
          <w:szCs w:val="28"/>
          <w:lang w:eastAsia="zh-CN"/>
        </w:rPr>
        <w:t>，主要包括主体工程、辅助工程、环保工程、贮运工程、公用工程、配套工程等。新疆国泰新华化工有限责任公司</w:t>
      </w:r>
      <w:r>
        <w:rPr>
          <w:rFonts w:hint="eastAsia" w:ascii="宋体" w:hAnsi="宋体" w:eastAsia="宋体"/>
          <w:sz w:val="28"/>
          <w:szCs w:val="28"/>
        </w:rPr>
        <w:t>位于准东经济开发区的一期2×350MW</w:t>
      </w:r>
      <w:r>
        <w:rPr>
          <w:rFonts w:hint="eastAsia" w:ascii="宋体" w:hAnsi="宋体" w:eastAsia="宋体"/>
          <w:sz w:val="28"/>
          <w:szCs w:val="28"/>
          <w:lang w:eastAsia="zh-CN"/>
        </w:rPr>
        <w:t>热电联产</w:t>
      </w:r>
      <w:r>
        <w:rPr>
          <w:rFonts w:hint="eastAsia" w:ascii="宋体" w:hAnsi="宋体" w:eastAsia="宋体"/>
          <w:sz w:val="28"/>
          <w:szCs w:val="28"/>
        </w:rPr>
        <w:t>机组动力站工程属于该公司自有循环经济工业园自备电站工程，为化工生产装置提供用电。</w:t>
      </w:r>
    </w:p>
    <w:p>
      <w:pPr>
        <w:ind w:firstLine="560" w:firstLineChars="200"/>
        <w:rPr>
          <w:rFonts w:hint="eastAsia" w:ascii="宋体" w:hAnsi="宋体" w:eastAsia="宋体"/>
          <w:sz w:val="28"/>
          <w:szCs w:val="28"/>
          <w:lang w:eastAsia="zh-CN"/>
        </w:rPr>
      </w:pPr>
      <w:r>
        <w:rPr>
          <w:rFonts w:hint="eastAsia" w:ascii="宋体" w:hAnsi="宋体" w:eastAsia="宋体"/>
          <w:sz w:val="28"/>
          <w:szCs w:val="28"/>
        </w:rPr>
        <w:t>该工程1#、2#机组于</w:t>
      </w:r>
      <w:r>
        <w:rPr>
          <w:rFonts w:hint="eastAsia" w:ascii="宋体" w:hAnsi="宋体" w:eastAsia="宋体"/>
          <w:sz w:val="28"/>
          <w:szCs w:val="28"/>
          <w:lang w:val="en-US" w:eastAsia="zh-CN"/>
        </w:rPr>
        <w:t>2014</w:t>
      </w:r>
      <w:r>
        <w:rPr>
          <w:rFonts w:hint="eastAsia" w:ascii="宋体" w:hAnsi="宋体" w:eastAsia="宋体"/>
          <w:sz w:val="28"/>
          <w:szCs w:val="28"/>
        </w:rPr>
        <w:t>年</w:t>
      </w:r>
      <w:r>
        <w:rPr>
          <w:rFonts w:hint="eastAsia" w:ascii="宋体" w:hAnsi="宋体" w:eastAsia="宋体"/>
          <w:sz w:val="28"/>
          <w:szCs w:val="28"/>
          <w:lang w:val="en-US" w:eastAsia="zh-CN"/>
        </w:rPr>
        <w:t>3</w:t>
      </w:r>
      <w:r>
        <w:rPr>
          <w:rFonts w:hint="eastAsia" w:ascii="宋体" w:hAnsi="宋体" w:eastAsia="宋体"/>
          <w:sz w:val="28"/>
          <w:szCs w:val="28"/>
        </w:rPr>
        <w:t>月</w:t>
      </w:r>
      <w:r>
        <w:rPr>
          <w:rFonts w:hint="eastAsia" w:ascii="宋体" w:hAnsi="宋体" w:eastAsia="宋体"/>
          <w:sz w:val="28"/>
          <w:szCs w:val="28"/>
          <w:lang w:val="en-US" w:eastAsia="zh-CN"/>
        </w:rPr>
        <w:t>18 日</w:t>
      </w:r>
      <w:r>
        <w:rPr>
          <w:rFonts w:hint="eastAsia" w:ascii="宋体" w:hAnsi="宋体" w:eastAsia="宋体"/>
          <w:sz w:val="28"/>
          <w:szCs w:val="28"/>
        </w:rPr>
        <w:t>开工建设，于</w:t>
      </w:r>
      <w:r>
        <w:rPr>
          <w:rFonts w:hint="eastAsia" w:ascii="宋体" w:hAnsi="宋体" w:eastAsia="宋体"/>
          <w:sz w:val="28"/>
          <w:szCs w:val="28"/>
          <w:lang w:val="en-US" w:eastAsia="zh-CN"/>
        </w:rPr>
        <w:t>2017</w:t>
      </w:r>
      <w:r>
        <w:rPr>
          <w:rFonts w:hint="eastAsia" w:ascii="宋体" w:hAnsi="宋体" w:eastAsia="宋体"/>
          <w:sz w:val="28"/>
          <w:szCs w:val="28"/>
        </w:rPr>
        <w:t>年</w:t>
      </w:r>
      <w:r>
        <w:rPr>
          <w:rFonts w:hint="eastAsia" w:ascii="宋体" w:hAnsi="宋体" w:eastAsia="宋体"/>
          <w:sz w:val="28"/>
          <w:szCs w:val="28"/>
          <w:lang w:val="en-US" w:eastAsia="zh-CN"/>
        </w:rPr>
        <w:t>10</w:t>
      </w:r>
      <w:r>
        <w:rPr>
          <w:rFonts w:hint="eastAsia" w:ascii="宋体" w:hAnsi="宋体" w:eastAsia="宋体"/>
          <w:sz w:val="28"/>
          <w:szCs w:val="28"/>
        </w:rPr>
        <w:t>月</w:t>
      </w:r>
      <w:r>
        <w:rPr>
          <w:rFonts w:hint="eastAsia" w:ascii="宋体" w:hAnsi="宋体" w:eastAsia="宋体"/>
          <w:sz w:val="28"/>
          <w:szCs w:val="28"/>
          <w:lang w:val="en-US" w:eastAsia="zh-CN"/>
        </w:rPr>
        <w:t>30日竣工，2018年8月1日</w:t>
      </w:r>
      <w:r>
        <w:rPr>
          <w:rFonts w:hint="eastAsia" w:ascii="宋体" w:hAnsi="宋体" w:eastAsia="宋体"/>
          <w:sz w:val="28"/>
          <w:szCs w:val="28"/>
        </w:rPr>
        <w:t>开始运行</w:t>
      </w:r>
      <w:r>
        <w:rPr>
          <w:rFonts w:hint="eastAsia" w:ascii="宋体" w:hAnsi="宋体" w:eastAsia="宋体"/>
          <w:sz w:val="28"/>
          <w:szCs w:val="28"/>
          <w:lang w:eastAsia="zh-CN"/>
        </w:rPr>
        <w:t>调试，脱硝、除尘和脱硫处理设施同时投运</w:t>
      </w:r>
      <w:r>
        <w:rPr>
          <w:rFonts w:hint="eastAsia" w:ascii="宋体" w:hAnsi="宋体" w:eastAsia="宋体"/>
          <w:sz w:val="28"/>
          <w:szCs w:val="28"/>
          <w:lang w:val="en-US" w:eastAsia="zh-CN"/>
        </w:rPr>
        <w:t>,2017年7月办理动力站排污许可证</w:t>
      </w:r>
      <w:r>
        <w:rPr>
          <w:rFonts w:hint="eastAsia" w:ascii="宋体" w:hAnsi="宋体" w:eastAsia="宋体"/>
          <w:sz w:val="28"/>
          <w:szCs w:val="28"/>
          <w:lang w:eastAsia="zh-CN"/>
        </w:rPr>
        <w:t>。</w:t>
      </w:r>
    </w:p>
    <w:p>
      <w:pPr>
        <w:ind w:firstLine="560" w:firstLineChars="200"/>
        <w:rPr>
          <w:rFonts w:ascii="宋体" w:hAnsi="宋体" w:eastAsia="宋体"/>
          <w:sz w:val="28"/>
          <w:szCs w:val="28"/>
        </w:rPr>
      </w:pPr>
      <w:r>
        <w:rPr>
          <w:rFonts w:hint="eastAsia" w:ascii="宋体" w:hAnsi="宋体" w:eastAsia="宋体"/>
          <w:sz w:val="28"/>
          <w:szCs w:val="28"/>
        </w:rPr>
        <w:t>2015年3月，环保部发布关于《环境保护部审批环境影响评价文件的建设项目目录（2015年本）的公告》（公告2015年第17号）</w:t>
      </w:r>
      <w:r>
        <w:rPr>
          <w:rFonts w:ascii="宋体" w:hAnsi="宋体" w:eastAsia="宋体"/>
          <w:sz w:val="28"/>
          <w:szCs w:val="28"/>
        </w:rPr>
        <w:t>，</w:t>
      </w:r>
      <w:r>
        <w:rPr>
          <w:rFonts w:hint="eastAsia" w:ascii="宋体" w:hAnsi="宋体" w:eastAsia="宋体"/>
          <w:sz w:val="28"/>
          <w:szCs w:val="28"/>
        </w:rPr>
        <w:t>根据公告规定，将火电厂项目环境影响评价文件的审批权限下放至省级环境保护部门，为落实环保部对环保工作的要求，</w:t>
      </w:r>
      <w:r>
        <w:rPr>
          <w:rFonts w:hint="eastAsia" w:ascii="宋体" w:hAnsi="宋体" w:eastAsia="宋体"/>
          <w:sz w:val="28"/>
          <w:szCs w:val="28"/>
          <w:lang w:eastAsia="zh-CN"/>
        </w:rPr>
        <w:t>新疆国泰新华化工有限责任公司</w:t>
      </w:r>
      <w:r>
        <w:rPr>
          <w:rFonts w:hint="eastAsia" w:ascii="宋体" w:hAnsi="宋体" w:eastAsia="宋体"/>
          <w:sz w:val="28"/>
          <w:szCs w:val="28"/>
        </w:rPr>
        <w:t>委托新疆化工设计研究院有限责任公司于2015年5月完成了项目环境影响评价，新疆维吾尔自治区环境保护厅于</w:t>
      </w:r>
      <w:r>
        <w:rPr>
          <w:rFonts w:hint="eastAsia" w:ascii="宋体" w:hAnsi="宋体" w:eastAsia="宋体"/>
          <w:sz w:val="28"/>
          <w:szCs w:val="28"/>
          <w:lang w:val="en-US" w:eastAsia="zh-CN"/>
        </w:rPr>
        <w:t>2015</w:t>
      </w:r>
      <w:r>
        <w:rPr>
          <w:rFonts w:hint="eastAsia" w:ascii="宋体" w:hAnsi="宋体" w:eastAsia="宋体"/>
          <w:sz w:val="28"/>
          <w:szCs w:val="28"/>
        </w:rPr>
        <w:t>年</w:t>
      </w:r>
      <w:r>
        <w:rPr>
          <w:rFonts w:hint="eastAsia" w:ascii="宋体" w:hAnsi="宋体" w:eastAsia="宋体"/>
          <w:sz w:val="28"/>
          <w:szCs w:val="28"/>
          <w:lang w:val="en-US" w:eastAsia="zh-CN"/>
        </w:rPr>
        <w:t>7</w:t>
      </w:r>
      <w:r>
        <w:rPr>
          <w:rFonts w:hint="eastAsia" w:ascii="宋体" w:hAnsi="宋体" w:eastAsia="宋体"/>
          <w:sz w:val="28"/>
          <w:szCs w:val="28"/>
        </w:rPr>
        <w:t>月</w:t>
      </w:r>
      <w:r>
        <w:rPr>
          <w:rFonts w:hint="eastAsia" w:ascii="宋体" w:hAnsi="宋体" w:eastAsia="宋体"/>
          <w:sz w:val="28"/>
          <w:szCs w:val="28"/>
          <w:lang w:val="en-US" w:eastAsia="zh-CN"/>
        </w:rPr>
        <w:t>8日</w:t>
      </w:r>
      <w:r>
        <w:rPr>
          <w:rFonts w:hint="eastAsia" w:ascii="宋体" w:hAnsi="宋体" w:eastAsia="宋体"/>
          <w:sz w:val="28"/>
          <w:szCs w:val="28"/>
        </w:rPr>
        <w:t>对项目环评</w:t>
      </w:r>
      <w:r>
        <w:rPr>
          <w:rFonts w:hint="eastAsia" w:ascii="宋体" w:hAnsi="宋体" w:eastAsia="宋体"/>
          <w:sz w:val="28"/>
          <w:szCs w:val="28"/>
          <w:lang w:eastAsia="zh-CN"/>
        </w:rPr>
        <w:t>予以</w:t>
      </w:r>
      <w:r>
        <w:rPr>
          <w:rFonts w:hint="eastAsia" w:ascii="宋体" w:hAnsi="宋体" w:eastAsia="宋体"/>
          <w:sz w:val="28"/>
          <w:szCs w:val="28"/>
        </w:rPr>
        <w:t>批复。</w:t>
      </w:r>
    </w:p>
    <w:p>
      <w:pPr>
        <w:ind w:firstLine="560" w:firstLineChars="200"/>
        <w:rPr>
          <w:rFonts w:ascii="宋体" w:hAnsi="宋体" w:eastAsia="宋体"/>
          <w:sz w:val="28"/>
          <w:szCs w:val="28"/>
        </w:rPr>
      </w:pPr>
      <w:r>
        <w:rPr>
          <w:rFonts w:ascii="宋体" w:hAnsi="宋体" w:eastAsia="宋体"/>
          <w:sz w:val="28"/>
          <w:szCs w:val="28"/>
        </w:rPr>
        <w:t>根据国务院令第</w:t>
      </w:r>
      <w:r>
        <w:rPr>
          <w:rFonts w:hint="eastAsia" w:ascii="宋体" w:hAnsi="宋体" w:eastAsia="宋体"/>
          <w:sz w:val="28"/>
          <w:szCs w:val="28"/>
        </w:rPr>
        <w:t>682</w:t>
      </w:r>
      <w:r>
        <w:rPr>
          <w:rFonts w:ascii="宋体" w:hAnsi="宋体" w:eastAsia="宋体"/>
          <w:sz w:val="28"/>
          <w:szCs w:val="28"/>
        </w:rPr>
        <w:t>号《建设项目环境保护管理条例》和</w:t>
      </w:r>
      <w:r>
        <w:rPr>
          <w:rFonts w:hint="eastAsia" w:ascii="宋体" w:hAnsi="宋体" w:eastAsia="宋体"/>
          <w:sz w:val="28"/>
          <w:szCs w:val="28"/>
        </w:rPr>
        <w:t>环保部《建设项目竣工环境保护验收暂行办法》</w:t>
      </w:r>
      <w:r>
        <w:rPr>
          <w:rFonts w:ascii="宋体" w:hAnsi="宋体" w:eastAsia="宋体"/>
          <w:sz w:val="28"/>
          <w:szCs w:val="28"/>
        </w:rPr>
        <w:t>等文件的规定</w:t>
      </w:r>
      <w:r>
        <w:rPr>
          <w:rFonts w:hint="eastAsia" w:ascii="宋体" w:hAnsi="宋体" w:eastAsia="宋体"/>
          <w:sz w:val="28"/>
          <w:szCs w:val="28"/>
        </w:rPr>
        <w:t>和要求</w:t>
      </w:r>
      <w:r>
        <w:rPr>
          <w:rFonts w:ascii="宋体" w:hAnsi="宋体" w:eastAsia="宋体"/>
          <w:sz w:val="28"/>
          <w:szCs w:val="28"/>
        </w:rPr>
        <w:t>，</w:t>
      </w:r>
      <w:r>
        <w:rPr>
          <w:rFonts w:hint="eastAsia" w:ascii="宋体" w:hAnsi="宋体" w:eastAsia="宋体"/>
          <w:sz w:val="28"/>
          <w:szCs w:val="28"/>
        </w:rPr>
        <w:t>受</w:t>
      </w:r>
      <w:r>
        <w:rPr>
          <w:rFonts w:hint="eastAsia" w:ascii="宋体" w:hAnsi="宋体" w:eastAsia="宋体"/>
          <w:sz w:val="28"/>
          <w:szCs w:val="28"/>
          <w:lang w:eastAsia="zh-CN"/>
        </w:rPr>
        <w:t>新疆国泰新华化工有限责任公司</w:t>
      </w:r>
      <w:r>
        <w:rPr>
          <w:rFonts w:hint="eastAsia" w:ascii="宋体" w:hAnsi="宋体" w:eastAsia="宋体"/>
          <w:sz w:val="28"/>
          <w:szCs w:val="28"/>
        </w:rPr>
        <w:t>委托，新疆新环监测检测研究院（有限公司）承担了</w:t>
      </w:r>
      <w:r>
        <w:rPr>
          <w:rFonts w:hint="eastAsia" w:ascii="宋体" w:hAnsi="宋体" w:eastAsia="宋体"/>
          <w:sz w:val="28"/>
          <w:szCs w:val="28"/>
          <w:lang w:eastAsia="zh-CN"/>
        </w:rPr>
        <w:t>新疆国泰新华化工有限责任公司</w:t>
      </w:r>
      <w:r>
        <w:rPr>
          <w:rFonts w:ascii="宋体" w:hAnsi="宋体" w:eastAsia="宋体"/>
          <w:sz w:val="28"/>
          <w:szCs w:val="28"/>
        </w:rPr>
        <w:t>准东经济开发区煤基精细化工循环经济工业园一期项目</w:t>
      </w:r>
      <w:r>
        <w:rPr>
          <w:rFonts w:hint="eastAsia" w:ascii="宋体" w:hAnsi="宋体" w:eastAsia="宋体"/>
          <w:sz w:val="28"/>
          <w:szCs w:val="28"/>
        </w:rPr>
        <w:t>动力站的环境保护验收监测工作，在</w:t>
      </w:r>
      <w:r>
        <w:rPr>
          <w:rFonts w:ascii="宋体" w:hAnsi="宋体" w:eastAsia="宋体"/>
          <w:sz w:val="28"/>
          <w:szCs w:val="28"/>
        </w:rPr>
        <w:t>认真查阅了建设项目主体工程和环保设施建设的有关资料</w:t>
      </w:r>
      <w:r>
        <w:rPr>
          <w:rFonts w:hint="eastAsia" w:ascii="宋体" w:hAnsi="宋体" w:eastAsia="宋体"/>
          <w:sz w:val="28"/>
          <w:szCs w:val="28"/>
        </w:rPr>
        <w:t>基础上</w:t>
      </w:r>
      <w:r>
        <w:rPr>
          <w:rFonts w:ascii="宋体" w:hAnsi="宋体" w:eastAsia="宋体"/>
          <w:sz w:val="28"/>
          <w:szCs w:val="28"/>
        </w:rPr>
        <w:t>，于201</w:t>
      </w:r>
      <w:r>
        <w:rPr>
          <w:rFonts w:hint="eastAsia" w:ascii="宋体" w:hAnsi="宋体" w:eastAsia="宋体"/>
          <w:sz w:val="28"/>
          <w:szCs w:val="28"/>
        </w:rPr>
        <w:t>8</w:t>
      </w:r>
      <w:r>
        <w:rPr>
          <w:rFonts w:ascii="宋体" w:hAnsi="宋体" w:eastAsia="宋体"/>
          <w:sz w:val="28"/>
          <w:szCs w:val="28"/>
        </w:rPr>
        <w:t>年</w:t>
      </w:r>
      <w:r>
        <w:rPr>
          <w:rFonts w:hint="eastAsia" w:ascii="宋体" w:hAnsi="宋体" w:eastAsia="宋体"/>
          <w:sz w:val="28"/>
          <w:szCs w:val="28"/>
          <w:lang w:val="en-US" w:eastAsia="zh-CN"/>
        </w:rPr>
        <w:t>7</w:t>
      </w:r>
      <w:r>
        <w:rPr>
          <w:rFonts w:ascii="宋体" w:hAnsi="宋体" w:eastAsia="宋体"/>
          <w:sz w:val="28"/>
          <w:szCs w:val="28"/>
        </w:rPr>
        <w:t>月对该工程进行了现场勘察，制定了</w:t>
      </w:r>
      <w:r>
        <w:rPr>
          <w:rFonts w:hint="eastAsia" w:ascii="宋体" w:hAnsi="宋体" w:eastAsia="宋体"/>
          <w:sz w:val="28"/>
          <w:szCs w:val="28"/>
        </w:rPr>
        <w:t>验收</w:t>
      </w:r>
      <w:r>
        <w:rPr>
          <w:rFonts w:ascii="宋体" w:hAnsi="宋体" w:eastAsia="宋体"/>
          <w:sz w:val="28"/>
          <w:szCs w:val="28"/>
        </w:rPr>
        <w:t>监测方案</w:t>
      </w:r>
      <w:r>
        <w:rPr>
          <w:rFonts w:hint="eastAsia" w:ascii="宋体" w:hAnsi="宋体" w:eastAsia="宋体"/>
          <w:sz w:val="28"/>
          <w:szCs w:val="28"/>
          <w:lang w:eastAsia="zh-CN"/>
        </w:rPr>
        <w:t>，</w:t>
      </w:r>
      <w:r>
        <w:rPr>
          <w:rFonts w:hint="eastAsia" w:hAnsi="宋体" w:eastAsia="宋体" w:cstheme="minorBidi"/>
          <w:b w:val="0"/>
          <w:bCs w:val="0"/>
          <w:kern w:val="2"/>
          <w:sz w:val="28"/>
          <w:szCs w:val="28"/>
          <w:lang w:val="en-US" w:eastAsia="zh-CN" w:bidi="ar-SA"/>
        </w:rPr>
        <w:t>本次验收监测期间，动力站</w:t>
      </w:r>
      <w:r>
        <w:rPr>
          <w:rFonts w:hint="eastAsia" w:ascii="宋体" w:hAnsi="宋体" w:eastAsia="宋体" w:cs="宋体"/>
          <w:b w:val="0"/>
          <w:bCs w:val="0"/>
          <w:kern w:val="2"/>
          <w:sz w:val="28"/>
          <w:szCs w:val="28"/>
          <w:lang w:val="en-US" w:eastAsia="zh-CN" w:bidi="ar-SA"/>
        </w:rPr>
        <w:t>1#</w:t>
      </w:r>
      <w:r>
        <w:rPr>
          <w:rFonts w:hint="eastAsia" w:hAnsi="宋体" w:eastAsia="宋体" w:cstheme="minorBidi"/>
          <w:b w:val="0"/>
          <w:bCs w:val="0"/>
          <w:kern w:val="2"/>
          <w:sz w:val="28"/>
          <w:szCs w:val="28"/>
          <w:lang w:val="en-US" w:eastAsia="zh-CN" w:bidi="ar-SA"/>
        </w:rPr>
        <w:t>机组正在进行超低排放改造，未进行验收监测。</w:t>
      </w:r>
      <w:r>
        <w:rPr>
          <w:rFonts w:hint="eastAsia" w:ascii="宋体" w:hAnsi="宋体" w:eastAsia="宋体"/>
          <w:sz w:val="28"/>
          <w:szCs w:val="28"/>
        </w:rPr>
        <w:t>依据验收监测方案，</w:t>
      </w:r>
      <w:r>
        <w:rPr>
          <w:rFonts w:ascii="宋体" w:hAnsi="宋体" w:eastAsia="宋体"/>
          <w:color w:val="000000" w:themeColor="text1"/>
          <w:sz w:val="28"/>
          <w:szCs w:val="28"/>
        </w:rPr>
        <w:t>201</w:t>
      </w:r>
      <w:r>
        <w:rPr>
          <w:rFonts w:hint="eastAsia" w:ascii="宋体" w:hAnsi="宋体" w:eastAsia="宋体"/>
          <w:color w:val="000000" w:themeColor="text1"/>
          <w:sz w:val="28"/>
          <w:szCs w:val="28"/>
        </w:rPr>
        <w:t>8</w:t>
      </w:r>
      <w:r>
        <w:rPr>
          <w:rFonts w:ascii="宋体" w:hAnsi="宋体" w:eastAsia="宋体"/>
          <w:color w:val="000000" w:themeColor="text1"/>
          <w:sz w:val="28"/>
          <w:szCs w:val="28"/>
        </w:rPr>
        <w:t>年</w:t>
      </w:r>
      <w:r>
        <w:rPr>
          <w:rFonts w:hint="eastAsia" w:ascii="宋体" w:hAnsi="宋体" w:eastAsia="宋体"/>
          <w:color w:val="000000" w:themeColor="text1"/>
          <w:sz w:val="28"/>
          <w:szCs w:val="28"/>
        </w:rPr>
        <w:t>9</w:t>
      </w:r>
      <w:r>
        <w:rPr>
          <w:rFonts w:ascii="宋体" w:hAnsi="宋体" w:eastAsia="宋体"/>
          <w:color w:val="000000" w:themeColor="text1"/>
          <w:sz w:val="28"/>
          <w:szCs w:val="28"/>
        </w:rPr>
        <w:t>月</w:t>
      </w:r>
      <w:r>
        <w:rPr>
          <w:rFonts w:hint="eastAsia" w:ascii="宋体" w:hAnsi="宋体" w:eastAsia="宋体"/>
          <w:color w:val="000000" w:themeColor="text1"/>
          <w:sz w:val="28"/>
          <w:szCs w:val="28"/>
        </w:rPr>
        <w:t>2</w:t>
      </w:r>
      <w:r>
        <w:rPr>
          <w:rFonts w:hint="eastAsia" w:ascii="宋体" w:hAnsi="宋体" w:eastAsia="宋体"/>
          <w:color w:val="000000" w:themeColor="text1"/>
          <w:sz w:val="28"/>
          <w:szCs w:val="28"/>
          <w:lang w:val="en-US" w:eastAsia="zh-CN"/>
        </w:rPr>
        <w:t>4</w:t>
      </w:r>
      <w:r>
        <w:rPr>
          <w:rFonts w:ascii="宋体" w:hAnsi="宋体" w:eastAsia="宋体"/>
          <w:color w:val="000000" w:themeColor="text1"/>
          <w:sz w:val="28"/>
          <w:szCs w:val="28"/>
        </w:rPr>
        <w:t>日～</w:t>
      </w:r>
      <w:r>
        <w:rPr>
          <w:rFonts w:hint="eastAsia" w:ascii="宋体" w:hAnsi="宋体" w:eastAsia="宋体"/>
          <w:color w:val="000000" w:themeColor="text1"/>
          <w:sz w:val="28"/>
          <w:szCs w:val="28"/>
        </w:rPr>
        <w:t>10月</w:t>
      </w:r>
      <w:r>
        <w:rPr>
          <w:rFonts w:hint="eastAsia" w:ascii="宋体" w:hAnsi="宋体" w:eastAsia="宋体"/>
          <w:color w:val="000000" w:themeColor="text1"/>
          <w:sz w:val="28"/>
          <w:szCs w:val="28"/>
          <w:lang w:val="en-US" w:eastAsia="zh-CN"/>
        </w:rPr>
        <w:t>24</w:t>
      </w:r>
      <w:r>
        <w:rPr>
          <w:rFonts w:ascii="宋体" w:hAnsi="宋体" w:eastAsia="宋体"/>
          <w:color w:val="000000" w:themeColor="text1"/>
          <w:sz w:val="28"/>
          <w:szCs w:val="28"/>
        </w:rPr>
        <w:t>日</w:t>
      </w:r>
      <w:r>
        <w:rPr>
          <w:rFonts w:ascii="宋体" w:hAnsi="宋体" w:eastAsia="宋体"/>
          <w:sz w:val="28"/>
          <w:szCs w:val="28"/>
        </w:rPr>
        <w:t>对该工程进行了现场监测和环境</w:t>
      </w:r>
      <w:r>
        <w:rPr>
          <w:rFonts w:hint="eastAsia" w:ascii="宋体" w:hAnsi="宋体" w:eastAsia="宋体"/>
          <w:sz w:val="28"/>
          <w:szCs w:val="28"/>
        </w:rPr>
        <w:t>保护</w:t>
      </w:r>
      <w:r>
        <w:rPr>
          <w:rFonts w:ascii="宋体" w:hAnsi="宋体" w:eastAsia="宋体"/>
          <w:sz w:val="28"/>
          <w:szCs w:val="28"/>
        </w:rPr>
        <w:t>管理检查，</w:t>
      </w:r>
      <w:r>
        <w:rPr>
          <w:rFonts w:hint="eastAsia" w:ascii="宋体" w:hAnsi="宋体" w:eastAsia="宋体"/>
          <w:sz w:val="28"/>
          <w:szCs w:val="28"/>
        </w:rPr>
        <w:t>并</w:t>
      </w:r>
      <w:r>
        <w:rPr>
          <w:rFonts w:ascii="宋体" w:hAnsi="宋体" w:eastAsia="宋体"/>
          <w:sz w:val="28"/>
          <w:szCs w:val="28"/>
        </w:rPr>
        <w:t>根据监测和环保检查</w:t>
      </w:r>
      <w:r>
        <w:rPr>
          <w:rFonts w:hint="eastAsia" w:ascii="宋体" w:hAnsi="宋体" w:eastAsia="宋体"/>
          <w:sz w:val="28"/>
          <w:szCs w:val="28"/>
        </w:rPr>
        <w:t>结果</w:t>
      </w:r>
      <w:r>
        <w:rPr>
          <w:rFonts w:ascii="宋体" w:hAnsi="宋体" w:eastAsia="宋体"/>
          <w:sz w:val="28"/>
          <w:szCs w:val="28"/>
        </w:rPr>
        <w:t>编制</w:t>
      </w:r>
      <w:r>
        <w:rPr>
          <w:rFonts w:hint="eastAsia" w:ascii="宋体" w:hAnsi="宋体" w:eastAsia="宋体"/>
          <w:sz w:val="28"/>
          <w:szCs w:val="28"/>
        </w:rPr>
        <w:t>了</w:t>
      </w:r>
      <w:r>
        <w:rPr>
          <w:rFonts w:ascii="宋体" w:hAnsi="宋体" w:eastAsia="宋体"/>
          <w:sz w:val="28"/>
          <w:szCs w:val="28"/>
        </w:rPr>
        <w:t>本</w:t>
      </w:r>
      <w:r>
        <w:rPr>
          <w:rFonts w:hint="eastAsia" w:ascii="宋体" w:hAnsi="宋体" w:eastAsia="宋体"/>
          <w:sz w:val="28"/>
          <w:szCs w:val="28"/>
        </w:rPr>
        <w:t>项目</w:t>
      </w:r>
      <w:r>
        <w:rPr>
          <w:rFonts w:ascii="宋体" w:hAnsi="宋体" w:eastAsia="宋体"/>
          <w:sz w:val="28"/>
          <w:szCs w:val="28"/>
        </w:rPr>
        <w:t>验收监测报告。</w:t>
      </w:r>
    </w:p>
    <w:p>
      <w:pPr>
        <w:jc w:val="left"/>
        <w:rPr>
          <w:rFonts w:ascii="宋体" w:hAnsi="宋体" w:eastAsia="宋体"/>
          <w:sz w:val="28"/>
          <w:szCs w:val="28"/>
        </w:rPr>
      </w:pPr>
    </w:p>
    <w:p>
      <w:pPr>
        <w:jc w:val="left"/>
        <w:rPr>
          <w:rFonts w:ascii="宋体" w:hAnsi="宋体" w:eastAsia="宋体"/>
          <w:sz w:val="28"/>
          <w:szCs w:val="28"/>
        </w:rPr>
      </w:pPr>
    </w:p>
    <w:p>
      <w:pPr>
        <w:jc w:val="left"/>
        <w:rPr>
          <w:rFonts w:ascii="宋体" w:hAnsi="宋体" w:eastAsia="宋体"/>
          <w:sz w:val="28"/>
          <w:szCs w:val="28"/>
        </w:rPr>
      </w:pPr>
    </w:p>
    <w:p>
      <w:pPr>
        <w:jc w:val="left"/>
        <w:rPr>
          <w:rFonts w:ascii="宋体" w:hAnsi="宋体" w:eastAsia="宋体"/>
          <w:sz w:val="28"/>
          <w:szCs w:val="28"/>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jc w:val="left"/>
        <w:rPr>
          <w:rFonts w:asciiTheme="majorEastAsia" w:hAnsiTheme="majorEastAsia" w:eastAsiaTheme="majorEastAsia"/>
          <w:sz w:val="32"/>
          <w:szCs w:val="32"/>
        </w:rPr>
      </w:pPr>
    </w:p>
    <w:p>
      <w:pPr>
        <w:keepNext w:val="0"/>
        <w:keepLines w:val="0"/>
        <w:pageBreakBefore w:val="0"/>
        <w:widowControl w:val="0"/>
        <w:kinsoku/>
        <w:wordWrap/>
        <w:overflowPunct/>
        <w:topLinePunct w:val="0"/>
        <w:autoSpaceDE/>
        <w:autoSpaceDN/>
        <w:bidi w:val="0"/>
        <w:adjustRightInd/>
        <w:snapToGrid/>
        <w:textAlignment w:val="auto"/>
        <w:outlineLvl w:val="0"/>
        <w:rPr>
          <w:rFonts w:asciiTheme="majorEastAsia" w:hAnsiTheme="majorEastAsia" w:eastAsiaTheme="majorEastAsia"/>
          <w:b/>
          <w:sz w:val="36"/>
          <w:szCs w:val="36"/>
        </w:rPr>
      </w:pPr>
      <w:bookmarkStart w:id="1" w:name="_Toc21348"/>
      <w:r>
        <w:rPr>
          <w:rFonts w:hint="eastAsia" w:asciiTheme="majorEastAsia" w:hAnsiTheme="majorEastAsia" w:eastAsiaTheme="majorEastAsia"/>
          <w:b/>
          <w:sz w:val="36"/>
          <w:szCs w:val="36"/>
        </w:rPr>
        <w:t>2验收依据</w:t>
      </w:r>
      <w:bookmarkEnd w:id="1"/>
    </w:p>
    <w:p>
      <w:pPr>
        <w:keepNext w:val="0"/>
        <w:keepLines w:val="0"/>
        <w:pageBreakBefore w:val="0"/>
        <w:widowControl w:val="0"/>
        <w:kinsoku/>
        <w:wordWrap/>
        <w:overflowPunct/>
        <w:topLinePunct w:val="0"/>
        <w:autoSpaceDE/>
        <w:autoSpaceDN/>
        <w:bidi w:val="0"/>
        <w:adjustRightInd/>
        <w:snapToGrid/>
        <w:textAlignment w:val="auto"/>
        <w:outlineLvl w:val="1"/>
        <w:rPr>
          <w:rFonts w:asciiTheme="majorEastAsia" w:hAnsiTheme="majorEastAsia" w:eastAsiaTheme="majorEastAsia"/>
          <w:b/>
          <w:sz w:val="32"/>
          <w:szCs w:val="32"/>
        </w:rPr>
      </w:pPr>
      <w:bookmarkStart w:id="2" w:name="_Toc17323"/>
      <w:r>
        <w:rPr>
          <w:rFonts w:hint="eastAsia" w:asciiTheme="majorEastAsia" w:hAnsiTheme="majorEastAsia" w:eastAsiaTheme="majorEastAsia"/>
          <w:b/>
          <w:color w:val="auto"/>
          <w:sz w:val="32"/>
          <w:szCs w:val="32"/>
        </w:rPr>
        <w:t>2.1环境保护法律法规及相关技术规范</w:t>
      </w:r>
      <w:bookmarkEnd w:id="2"/>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kern w:val="0"/>
          <w:sz w:val="28"/>
        </w:rPr>
      </w:pPr>
      <w:r>
        <w:rPr>
          <w:rFonts w:ascii="宋体" w:hAnsi="宋体"/>
          <w:kern w:val="0"/>
          <w:sz w:val="28"/>
        </w:rPr>
        <w:t>（</w:t>
      </w:r>
      <w:r>
        <w:rPr>
          <w:rFonts w:hint="eastAsia" w:ascii="宋体" w:hAnsi="宋体"/>
          <w:kern w:val="0"/>
          <w:sz w:val="28"/>
        </w:rPr>
        <w:t>1</w:t>
      </w:r>
      <w:r>
        <w:rPr>
          <w:rFonts w:ascii="宋体" w:hAnsi="宋体"/>
          <w:kern w:val="0"/>
          <w:sz w:val="28"/>
        </w:rPr>
        <w:t>）</w:t>
      </w:r>
      <w:r>
        <w:rPr>
          <w:rFonts w:hint="eastAsia" w:ascii="宋体" w:hAnsi="宋体"/>
          <w:kern w:val="0"/>
          <w:sz w:val="28"/>
        </w:rPr>
        <w:t>《中华人民共和国环境保护法》</w:t>
      </w:r>
      <w:r>
        <w:rPr>
          <w:rFonts w:hint="eastAsia" w:ascii="宋体" w:hAnsi="宋体"/>
          <w:kern w:val="0"/>
          <w:sz w:val="28"/>
          <w:lang w:eastAsia="zh-CN"/>
        </w:rPr>
        <w:t>，</w:t>
      </w:r>
      <w:r>
        <w:rPr>
          <w:rFonts w:hint="eastAsia" w:ascii="宋体" w:hAnsi="宋体"/>
          <w:kern w:val="0"/>
          <w:sz w:val="28"/>
        </w:rPr>
        <w:t>2015年；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kern w:val="0"/>
          <w:sz w:val="28"/>
        </w:rPr>
      </w:pPr>
      <w:r>
        <w:rPr>
          <w:rFonts w:hint="eastAsia" w:ascii="宋体" w:hAnsi="宋体"/>
          <w:kern w:val="0"/>
          <w:sz w:val="28"/>
        </w:rPr>
        <w:t>（2）《中华人民共和国大气污染防治法》</w:t>
      </w:r>
      <w:r>
        <w:rPr>
          <w:rFonts w:hint="eastAsia" w:ascii="宋体" w:hAnsi="宋体"/>
          <w:kern w:val="0"/>
          <w:sz w:val="28"/>
          <w:lang w:eastAsia="zh-CN"/>
        </w:rPr>
        <w:t>，</w:t>
      </w:r>
      <w:r>
        <w:rPr>
          <w:rFonts w:hint="eastAsia" w:ascii="宋体" w:hAnsi="宋体"/>
          <w:kern w:val="0"/>
          <w:sz w:val="28"/>
        </w:rPr>
        <w:t>2015年；</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hAnsi="宋体"/>
          <w:kern w:val="0"/>
          <w:sz w:val="28"/>
          <w:lang w:eastAsia="zh-CN"/>
        </w:rPr>
      </w:pPr>
      <w:r>
        <w:rPr>
          <w:rFonts w:hint="eastAsia" w:hAnsi="宋体"/>
          <w:kern w:val="0"/>
          <w:sz w:val="28"/>
          <w:lang w:eastAsia="zh-CN"/>
        </w:rPr>
        <w:t>（</w:t>
      </w:r>
      <w:r>
        <w:rPr>
          <w:rFonts w:hint="eastAsia" w:hAnsi="宋体"/>
          <w:kern w:val="0"/>
          <w:sz w:val="28"/>
          <w:lang w:val="en-US" w:eastAsia="zh-CN"/>
        </w:rPr>
        <w:t>3）</w:t>
      </w:r>
      <w:r>
        <w:rPr>
          <w:rFonts w:hint="eastAsia" w:ascii="宋体" w:hAnsi="宋体"/>
          <w:kern w:val="0"/>
          <w:sz w:val="28"/>
        </w:rPr>
        <w:t>《中华人民共和国</w:t>
      </w:r>
      <w:r>
        <w:rPr>
          <w:rFonts w:hint="eastAsia" w:hAnsi="宋体"/>
          <w:kern w:val="0"/>
          <w:sz w:val="28"/>
          <w:lang w:eastAsia="zh-CN"/>
        </w:rPr>
        <w:t>水</w:t>
      </w:r>
      <w:r>
        <w:rPr>
          <w:rFonts w:hint="eastAsia" w:ascii="宋体" w:hAnsi="宋体"/>
          <w:kern w:val="0"/>
          <w:sz w:val="28"/>
        </w:rPr>
        <w:t>污染防治法》</w:t>
      </w:r>
      <w:r>
        <w:rPr>
          <w:rFonts w:hint="eastAsia" w:ascii="宋体" w:hAnsi="宋体"/>
          <w:kern w:val="0"/>
          <w:sz w:val="28"/>
          <w:lang w:eastAsia="zh-CN"/>
        </w:rPr>
        <w:t>，</w:t>
      </w:r>
      <w:r>
        <w:rPr>
          <w:rFonts w:hint="eastAsia" w:ascii="宋体" w:hAnsi="宋体"/>
          <w:kern w:val="0"/>
          <w:sz w:val="28"/>
        </w:rPr>
        <w:t>201</w:t>
      </w:r>
      <w:r>
        <w:rPr>
          <w:rFonts w:hint="eastAsia" w:hAnsi="宋体"/>
          <w:kern w:val="0"/>
          <w:sz w:val="28"/>
          <w:lang w:val="en-US" w:eastAsia="zh-CN"/>
        </w:rPr>
        <w:t>7</w:t>
      </w:r>
      <w:r>
        <w:rPr>
          <w:rFonts w:hint="eastAsia" w:ascii="宋体" w:hAnsi="宋体"/>
          <w:kern w:val="0"/>
          <w:sz w:val="28"/>
        </w:rPr>
        <w:t>年</w:t>
      </w:r>
      <w:r>
        <w:rPr>
          <w:rFonts w:hint="eastAsia" w:hAnsi="宋体"/>
          <w:kern w:val="0"/>
          <w:sz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kern w:val="0"/>
          <w:sz w:val="28"/>
          <w:lang w:val="en-US" w:eastAsia="zh-CN"/>
        </w:rPr>
      </w:pPr>
      <w:r>
        <w:rPr>
          <w:rFonts w:hint="eastAsia" w:ascii="宋体" w:hAnsi="宋体"/>
          <w:kern w:val="0"/>
          <w:sz w:val="28"/>
        </w:rPr>
        <w:t>（</w:t>
      </w:r>
      <w:r>
        <w:rPr>
          <w:rFonts w:hint="eastAsia" w:ascii="宋体" w:hAnsi="宋体"/>
          <w:kern w:val="0"/>
          <w:sz w:val="28"/>
          <w:lang w:val="en-US" w:eastAsia="zh-CN"/>
        </w:rPr>
        <w:t>4</w:t>
      </w:r>
      <w:r>
        <w:rPr>
          <w:rFonts w:hint="eastAsia" w:ascii="宋体" w:hAnsi="宋体"/>
          <w:kern w:val="0"/>
          <w:sz w:val="28"/>
        </w:rPr>
        <w:t>）</w:t>
      </w:r>
      <w:r>
        <w:rPr>
          <w:rFonts w:hint="eastAsia" w:ascii="宋体" w:hAnsi="宋体"/>
          <w:kern w:val="0"/>
          <w:sz w:val="28"/>
          <w:lang w:eastAsia="zh-CN"/>
        </w:rPr>
        <w:t>《中华人民共和共和国环境噪声污染防治法》，</w:t>
      </w:r>
      <w:r>
        <w:rPr>
          <w:rFonts w:hint="eastAsia" w:ascii="宋体" w:hAnsi="宋体"/>
          <w:kern w:val="0"/>
          <w:sz w:val="28"/>
          <w:lang w:val="en-US" w:eastAsia="zh-CN"/>
        </w:rPr>
        <w:t>1997年；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kern w:val="0"/>
          <w:sz w:val="28"/>
          <w:lang w:val="en-US" w:eastAsia="zh-CN"/>
        </w:rPr>
      </w:pPr>
      <w:r>
        <w:rPr>
          <w:rFonts w:hint="eastAsia" w:ascii="宋体" w:hAnsi="宋体"/>
          <w:kern w:val="0"/>
          <w:sz w:val="28"/>
          <w:lang w:val="en-US" w:eastAsia="zh-CN"/>
        </w:rPr>
        <w:t>（5）《中华人民共和国固体废物污染环境防治法》，2016年；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sz w:val="28"/>
          <w:szCs w:val="28"/>
        </w:rPr>
      </w:pPr>
      <w:r>
        <w:rPr>
          <w:rFonts w:hint="eastAsia" w:ascii="宋体" w:hAnsi="宋体"/>
          <w:kern w:val="0"/>
          <w:sz w:val="28"/>
          <w:lang w:val="en-US" w:eastAsia="zh-CN"/>
        </w:rPr>
        <w:t>（6）</w:t>
      </w:r>
      <w:r>
        <w:rPr>
          <w:rFonts w:hint="eastAsia" w:ascii="宋体" w:hAnsi="宋体"/>
          <w:kern w:val="0"/>
          <w:sz w:val="28"/>
        </w:rPr>
        <w:t>中华人民共和国</w:t>
      </w:r>
      <w:r>
        <w:rPr>
          <w:rFonts w:hint="eastAsia" w:ascii="宋体" w:hAnsi="宋体"/>
          <w:sz w:val="28"/>
          <w:szCs w:val="28"/>
        </w:rPr>
        <w:t>国务院令第253号《建设项目环境保护管理条例》，1998年12月；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kern w:val="0"/>
          <w:sz w:val="28"/>
        </w:rPr>
      </w:pPr>
      <w:r>
        <w:rPr>
          <w:rFonts w:hint="eastAsia" w:ascii="宋体" w:hAnsi="宋体"/>
          <w:sz w:val="28"/>
          <w:szCs w:val="28"/>
        </w:rPr>
        <w:t>（</w:t>
      </w:r>
      <w:r>
        <w:rPr>
          <w:rFonts w:hint="eastAsia" w:ascii="宋体" w:hAnsi="宋体"/>
          <w:sz w:val="28"/>
          <w:szCs w:val="28"/>
          <w:lang w:val="en-US" w:eastAsia="zh-CN"/>
        </w:rPr>
        <w:t>7</w:t>
      </w:r>
      <w:r>
        <w:rPr>
          <w:rFonts w:hint="eastAsia" w:ascii="宋体" w:hAnsi="宋体"/>
          <w:sz w:val="28"/>
          <w:szCs w:val="28"/>
        </w:rPr>
        <w:t>）《建设项目竣工环境保护验收暂行办法》,国环规环评</w:t>
      </w:r>
      <w:r>
        <w:rPr>
          <w:rFonts w:hint="eastAsia" w:asciiTheme="minorEastAsia" w:hAnsiTheme="minorEastAsia"/>
          <w:sz w:val="28"/>
          <w:szCs w:val="28"/>
        </w:rPr>
        <w:t>〔2017〕4号，</w:t>
      </w:r>
      <w:r>
        <w:rPr>
          <w:rFonts w:hint="eastAsia" w:ascii="宋体" w:hAnsi="宋体"/>
          <w:sz w:val="28"/>
          <w:szCs w:val="28"/>
        </w:rPr>
        <w:t>2017年11月；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kern w:val="0"/>
          <w:sz w:val="28"/>
        </w:rPr>
      </w:pPr>
      <w:r>
        <w:rPr>
          <w:rFonts w:hint="eastAsia" w:ascii="宋体" w:hAnsi="宋体"/>
          <w:kern w:val="0"/>
          <w:sz w:val="28"/>
        </w:rPr>
        <w:t>（</w:t>
      </w:r>
      <w:r>
        <w:rPr>
          <w:rFonts w:hint="eastAsia" w:ascii="宋体" w:hAnsi="宋体"/>
          <w:kern w:val="0"/>
          <w:sz w:val="28"/>
          <w:lang w:val="en-US" w:eastAsia="zh-CN"/>
        </w:rPr>
        <w:t>8</w:t>
      </w:r>
      <w:r>
        <w:rPr>
          <w:rFonts w:hint="eastAsia" w:ascii="宋体" w:hAnsi="宋体"/>
          <w:kern w:val="0"/>
          <w:sz w:val="28"/>
        </w:rPr>
        <w:t>）《新疆维吾尔自治区环境保护条例》，2017年1月；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28"/>
          <w:szCs w:val="28"/>
          <w:lang w:eastAsia="zh-CN"/>
        </w:rPr>
      </w:pPr>
      <w:r>
        <w:rPr>
          <w:rFonts w:hint="eastAsia" w:ascii="宋体" w:hAnsi="宋体"/>
          <w:kern w:val="0"/>
          <w:sz w:val="28"/>
        </w:rPr>
        <w:t>（</w:t>
      </w:r>
      <w:r>
        <w:rPr>
          <w:rFonts w:hint="eastAsia" w:ascii="宋体" w:hAnsi="宋体"/>
          <w:kern w:val="0"/>
          <w:sz w:val="28"/>
          <w:lang w:val="en-US" w:eastAsia="zh-CN"/>
        </w:rPr>
        <w:t>9</w:t>
      </w:r>
      <w:r>
        <w:rPr>
          <w:rFonts w:hint="eastAsia" w:ascii="宋体" w:hAnsi="宋体"/>
          <w:kern w:val="0"/>
          <w:sz w:val="28"/>
        </w:rPr>
        <w:t>）《</w:t>
      </w:r>
      <w:r>
        <w:rPr>
          <w:rFonts w:ascii="宋体" w:hAnsi="宋体"/>
          <w:sz w:val="28"/>
          <w:szCs w:val="28"/>
        </w:rPr>
        <w:t>建设项目竣工环境保护验收技术规范</w:t>
      </w:r>
      <w:r>
        <w:rPr>
          <w:rFonts w:hint="eastAsia" w:ascii="宋体" w:hAnsi="宋体"/>
          <w:sz w:val="28"/>
          <w:szCs w:val="28"/>
          <w:lang w:val="en-US" w:eastAsia="zh-CN"/>
        </w:rPr>
        <w:t xml:space="preserve"> </w:t>
      </w:r>
      <w:r>
        <w:rPr>
          <w:rFonts w:ascii="宋体" w:hAnsi="宋体"/>
          <w:sz w:val="28"/>
          <w:szCs w:val="28"/>
        </w:rPr>
        <w:t>火力发电厂》(HJ/T255-2006)</w:t>
      </w:r>
      <w:r>
        <w:rPr>
          <w:rFonts w:hint="eastAsia" w:ascii="宋体" w:hAnsi="宋体"/>
          <w:sz w:val="28"/>
          <w:szCs w:val="28"/>
        </w:rPr>
        <w:t>，2006年5月</w:t>
      </w:r>
      <w:r>
        <w:rPr>
          <w:rFonts w:hint="eastAsia" w:ascii="宋体" w:hAnsi="宋体"/>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28"/>
          <w:szCs w:val="28"/>
          <w:lang w:val="en-US" w:eastAsia="zh-CN"/>
        </w:rPr>
      </w:pPr>
      <w:r>
        <w:rPr>
          <w:rFonts w:hint="eastAsia" w:ascii="宋体" w:hAnsi="宋体"/>
          <w:sz w:val="28"/>
          <w:szCs w:val="28"/>
          <w:lang w:eastAsia="zh-CN"/>
        </w:rPr>
        <w:t>（</w:t>
      </w:r>
      <w:r>
        <w:rPr>
          <w:rFonts w:hint="eastAsia" w:ascii="宋体" w:hAnsi="宋体"/>
          <w:sz w:val="28"/>
          <w:szCs w:val="28"/>
          <w:lang w:val="en-US" w:eastAsia="zh-CN"/>
        </w:rPr>
        <w:t>10）《火电厂大气污染物排放标准》（GB13223-2011）；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（11）《大气污染物综合排放标准》（GB16297-1996）；</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（12）《污水综合排放标准》（GB8978-1996）；</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vertAlign w:val="baseline"/>
          <w:lang w:val="en-US" w:eastAsia="zh-CN" w:bidi="ar-SA"/>
        </w:rPr>
      </w:pPr>
      <w:r>
        <w:rPr>
          <w:rFonts w:hint="eastAsia" w:ascii="宋体" w:hAnsi="宋体"/>
          <w:sz w:val="28"/>
          <w:szCs w:val="28"/>
          <w:lang w:val="en-US" w:eastAsia="zh-CN"/>
        </w:rPr>
        <w:t>（13）</w:t>
      </w:r>
      <w:r>
        <w:rPr>
          <w:rFonts w:hint="eastAsia" w:ascii="宋体" w:hAnsi="宋体" w:eastAsia="宋体" w:cstheme="minorBidi"/>
          <w:b w:val="0"/>
          <w:bCs w:val="0"/>
          <w:kern w:val="2"/>
          <w:sz w:val="28"/>
          <w:szCs w:val="28"/>
          <w:vertAlign w:val="baseline"/>
          <w:lang w:val="en-US" w:eastAsia="zh-CN" w:bidi="ar-SA"/>
        </w:rPr>
        <w:t>《恶臭污染物排放标准》（GB14554-93）；</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vertAlign w:val="baseline"/>
          <w:lang w:val="en-US" w:eastAsia="zh-CN" w:bidi="ar-SA"/>
        </w:rPr>
        <w:t>（14）</w:t>
      </w:r>
      <w:r>
        <w:rPr>
          <w:rFonts w:hint="eastAsia" w:ascii="宋体" w:hAnsi="宋体" w:eastAsia="宋体" w:cstheme="minorBidi"/>
          <w:b w:val="0"/>
          <w:bCs w:val="0"/>
          <w:kern w:val="2"/>
          <w:sz w:val="28"/>
          <w:szCs w:val="28"/>
          <w:lang w:val="en-US" w:eastAsia="zh-CN" w:bidi="ar-SA"/>
        </w:rPr>
        <w:t>《火电厂烟气脱硝工程技术规范 选择性催化还原法》（HJ 562-2010）；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（15）《火电厂石灰石-石膏湿法脱硫废水水质控制标准》（DL/T997-2006)；</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（16）《一般工业固体废物贮存、处置场污染控制标准》（GB18599-2001）；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（17）《国家危险废物名录》，2016年；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（18）《危险废物贮存污染控制标准》（GB18597-2001）；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（19）《排污单位自行监测技术指南 总则》（HJ819-2017）；</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（20）《排污单位自行监测技术指南 火力发电及锅炉》（HJ820-2017）；</w:t>
      </w:r>
    </w:p>
    <w:p>
      <w:pPr>
        <w:outlineLvl w:val="1"/>
        <w:rPr>
          <w:rFonts w:asciiTheme="majorEastAsia" w:hAnsiTheme="majorEastAsia" w:eastAsiaTheme="majorEastAsia"/>
          <w:b/>
          <w:sz w:val="32"/>
          <w:szCs w:val="32"/>
        </w:rPr>
      </w:pPr>
      <w:bookmarkStart w:id="3" w:name="_Toc17872"/>
      <w:r>
        <w:rPr>
          <w:rFonts w:hint="eastAsia" w:asciiTheme="majorEastAsia" w:hAnsiTheme="majorEastAsia" w:eastAsiaTheme="majorEastAsia"/>
          <w:b/>
          <w:sz w:val="32"/>
          <w:szCs w:val="32"/>
        </w:rPr>
        <w:t>2.2相关技术文件</w:t>
      </w:r>
      <w:bookmarkEnd w:id="3"/>
    </w:p>
    <w:p>
      <w:pPr>
        <w:ind w:firstLine="560" w:firstLineChars="200"/>
        <w:rPr>
          <w:rFonts w:hint="eastAsia" w:ascii="宋体" w:hAnsi="宋体" w:eastAsiaTheme="minorEastAsia"/>
          <w:sz w:val="28"/>
          <w:szCs w:val="28"/>
          <w:lang w:val="en-US" w:eastAsia="zh-CN"/>
        </w:rPr>
      </w:pPr>
      <w:r>
        <w:rPr>
          <w:rFonts w:hint="eastAsia" w:ascii="宋体" w:hAnsi="宋体" w:eastAsia="宋体"/>
          <w:sz w:val="28"/>
          <w:szCs w:val="28"/>
        </w:rPr>
        <w:t>（1）</w:t>
      </w:r>
      <w:r>
        <w:rPr>
          <w:rFonts w:hint="eastAsia" w:ascii="宋体" w:hAnsi="宋体" w:eastAsia="宋体"/>
          <w:color w:val="000000" w:themeColor="text1"/>
          <w:sz w:val="28"/>
          <w:szCs w:val="28"/>
          <w:lang w:eastAsia="zh-CN"/>
        </w:rPr>
        <w:t>《建设项目竣工环境保护验收技术指南</w:t>
      </w:r>
      <w:r>
        <w:rPr>
          <w:rFonts w:hint="eastAsia" w:ascii="宋体" w:hAnsi="宋体" w:eastAsia="宋体"/>
          <w:color w:val="000000" w:themeColor="text1"/>
          <w:sz w:val="28"/>
          <w:szCs w:val="28"/>
          <w:lang w:val="en-US" w:eastAsia="zh-CN"/>
        </w:rPr>
        <w:t xml:space="preserve"> 污染影响类</w:t>
      </w:r>
      <w:r>
        <w:rPr>
          <w:rFonts w:hint="eastAsia" w:ascii="宋体" w:hAnsi="宋体" w:eastAsia="宋体"/>
          <w:color w:val="000000" w:themeColor="text1"/>
          <w:sz w:val="28"/>
          <w:szCs w:val="28"/>
          <w:lang w:eastAsia="zh-CN"/>
        </w:rPr>
        <w:t>》，生态环境部公告</w:t>
      </w:r>
      <w:r>
        <w:rPr>
          <w:rFonts w:hint="eastAsia" w:asciiTheme="minorEastAsia" w:hAnsiTheme="minorEastAsia"/>
          <w:color w:val="000000" w:themeColor="text1"/>
          <w:sz w:val="28"/>
          <w:szCs w:val="28"/>
        </w:rPr>
        <w:t>〔201</w:t>
      </w:r>
      <w:r>
        <w:rPr>
          <w:rFonts w:hint="eastAsia" w:asciiTheme="minorEastAsia" w:hAnsiTheme="minorEastAsia"/>
          <w:color w:val="000000" w:themeColor="text1"/>
          <w:sz w:val="28"/>
          <w:szCs w:val="28"/>
          <w:lang w:val="en-US" w:eastAsia="zh-CN"/>
        </w:rPr>
        <w:t>8</w:t>
      </w:r>
      <w:r>
        <w:rPr>
          <w:rFonts w:hint="eastAsia"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第</w:t>
      </w:r>
      <w:r>
        <w:rPr>
          <w:rFonts w:hint="eastAsia" w:asciiTheme="minorEastAsia" w:hAnsiTheme="minorEastAsia"/>
          <w:color w:val="000000" w:themeColor="text1"/>
          <w:sz w:val="28"/>
          <w:szCs w:val="28"/>
          <w:lang w:val="en-US" w:eastAsia="zh-CN"/>
        </w:rPr>
        <w:t>9号；</w:t>
      </w:r>
    </w:p>
    <w:p>
      <w:pPr>
        <w:ind w:firstLine="560" w:firstLineChars="200"/>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2</w:t>
      </w:r>
      <w:r>
        <w:rPr>
          <w:rFonts w:hint="eastAsia" w:ascii="宋体" w:hAnsi="宋体" w:eastAsia="宋体"/>
          <w:sz w:val="28"/>
          <w:szCs w:val="28"/>
          <w:lang w:eastAsia="zh-CN"/>
        </w:rPr>
        <w:t>）</w:t>
      </w:r>
      <w:r>
        <w:rPr>
          <w:rFonts w:hint="eastAsia" w:ascii="宋体" w:hAnsi="宋体" w:eastAsia="宋体"/>
          <w:sz w:val="28"/>
          <w:szCs w:val="28"/>
        </w:rPr>
        <w:t>《</w:t>
      </w:r>
      <w:r>
        <w:rPr>
          <w:rFonts w:hint="eastAsia" w:ascii="宋体" w:hAnsi="宋体" w:eastAsia="宋体"/>
          <w:sz w:val="28"/>
          <w:szCs w:val="28"/>
          <w:lang w:eastAsia="zh-CN"/>
        </w:rPr>
        <w:t>新疆国泰新华化工有限责任公司</w:t>
      </w:r>
      <w:r>
        <w:rPr>
          <w:rFonts w:hint="eastAsia" w:ascii="宋体" w:hAnsi="宋体" w:eastAsia="宋体"/>
          <w:sz w:val="28"/>
          <w:szCs w:val="28"/>
        </w:rPr>
        <w:t>准东经济技术开发区煤基精细化工循环经济工业园一期动力站环境影响评价专篇》，新疆化工设计研究院有限责任公司，2015年5月；</w:t>
      </w:r>
    </w:p>
    <w:p>
      <w:pPr>
        <w:ind w:firstLine="560" w:firstLineChars="200"/>
        <w:rPr>
          <w:rFonts w:hint="eastAsia" w:asciiTheme="minorEastAsia" w:hAnsiTheme="minorEastAsia"/>
          <w:sz w:val="28"/>
          <w:szCs w:val="28"/>
          <w:lang w:val="en-US" w:eastAsia="zh-CN"/>
        </w:rPr>
      </w:pPr>
      <w:r>
        <w:rPr>
          <w:rFonts w:hint="eastAsia" w:ascii="宋体" w:hAnsi="宋体" w:eastAsia="宋体"/>
          <w:sz w:val="28"/>
          <w:szCs w:val="28"/>
        </w:rPr>
        <w:t>（</w:t>
      </w:r>
      <w:r>
        <w:rPr>
          <w:rFonts w:hint="eastAsia" w:ascii="宋体" w:hAnsi="宋体" w:eastAsia="宋体"/>
          <w:sz w:val="28"/>
          <w:szCs w:val="28"/>
          <w:lang w:val="en-US" w:eastAsia="zh-CN"/>
        </w:rPr>
        <w:t>3</w:t>
      </w:r>
      <w:r>
        <w:rPr>
          <w:rFonts w:hint="eastAsia" w:ascii="宋体" w:hAnsi="宋体" w:eastAsia="宋体"/>
          <w:sz w:val="28"/>
          <w:szCs w:val="28"/>
        </w:rPr>
        <w:t>）</w:t>
      </w:r>
      <w:r>
        <w:rPr>
          <w:rFonts w:hint="eastAsia" w:ascii="宋体" w:hAnsi="宋体" w:eastAsia="宋体"/>
          <w:sz w:val="28"/>
          <w:szCs w:val="28"/>
          <w:lang w:eastAsia="zh-CN"/>
        </w:rPr>
        <w:t>《关于新疆国泰新华化工有限责任公司准东经济技术开发区煤基精细化工循环经济工业园一期项目环境影响报告书的批复》，</w:t>
      </w:r>
      <w:r>
        <w:rPr>
          <w:rFonts w:hint="eastAsia" w:ascii="宋体" w:hAnsi="宋体" w:eastAsia="宋体"/>
          <w:sz w:val="28"/>
          <w:szCs w:val="28"/>
          <w:lang w:val="en-US" w:eastAsia="zh-CN"/>
        </w:rPr>
        <w:t>(</w:t>
      </w:r>
      <w:r>
        <w:rPr>
          <w:rFonts w:hint="eastAsia" w:ascii="宋体" w:hAnsi="宋体" w:eastAsia="宋体"/>
          <w:sz w:val="28"/>
          <w:szCs w:val="28"/>
          <w:lang w:eastAsia="zh-CN"/>
        </w:rPr>
        <w:t>新环函</w:t>
      </w:r>
      <w:r>
        <w:rPr>
          <w:rFonts w:hint="eastAsia" w:asciiTheme="minorEastAsia" w:hAnsiTheme="minorEastAsia"/>
          <w:sz w:val="28"/>
          <w:szCs w:val="28"/>
        </w:rPr>
        <w:t>〔201</w:t>
      </w:r>
      <w:r>
        <w:rPr>
          <w:rFonts w:hint="eastAsia" w:asciiTheme="minorEastAsia" w:hAnsiTheme="minorEastAsia"/>
          <w:sz w:val="28"/>
          <w:szCs w:val="28"/>
          <w:lang w:val="en-US" w:eastAsia="zh-CN"/>
        </w:rPr>
        <w:t>5</w:t>
      </w:r>
      <w:r>
        <w:rPr>
          <w:rFonts w:hint="eastAsia" w:asciiTheme="minorEastAsia" w:hAnsiTheme="minorEastAsia"/>
          <w:sz w:val="28"/>
          <w:szCs w:val="28"/>
        </w:rPr>
        <w:t>〕</w:t>
      </w:r>
      <w:r>
        <w:rPr>
          <w:rFonts w:hint="eastAsia" w:asciiTheme="minorEastAsia" w:hAnsiTheme="minorEastAsia"/>
          <w:sz w:val="28"/>
          <w:szCs w:val="28"/>
          <w:lang w:val="en-US" w:eastAsia="zh-CN"/>
        </w:rPr>
        <w:t>784号)，2015年7月8日；</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theme="minorBidi"/>
          <w:kern w:val="2"/>
          <w:sz w:val="28"/>
          <w:szCs w:val="28"/>
          <w:lang w:val="en-US" w:eastAsia="zh-CN" w:bidi="ar-SA"/>
        </w:rPr>
      </w:pPr>
      <w:r>
        <w:rPr>
          <w:rFonts w:hint="eastAsia" w:ascii="宋体" w:hAnsi="宋体" w:eastAsia="宋体" w:cstheme="minorBidi"/>
          <w:kern w:val="2"/>
          <w:sz w:val="28"/>
          <w:szCs w:val="28"/>
          <w:lang w:val="en-US" w:eastAsia="zh-CN" w:bidi="ar-SA"/>
        </w:rPr>
        <w:t>（4）《新疆国泰新华化工有限责任公司委托书》</w:t>
      </w:r>
      <w:r>
        <w:rPr>
          <w:rFonts w:hint="eastAsia" w:hAnsi="宋体" w:eastAsia="宋体" w:cstheme="minorBidi"/>
          <w:kern w:val="2"/>
          <w:sz w:val="28"/>
          <w:szCs w:val="28"/>
          <w:lang w:val="en-US" w:eastAsia="zh-CN" w:bidi="ar-SA"/>
        </w:rPr>
        <w:t>（国泰新华化工函</w:t>
      </w:r>
      <w:r>
        <w:rPr>
          <w:rFonts w:hint="eastAsia" w:asciiTheme="minorEastAsia" w:hAnsiTheme="minorEastAsia"/>
          <w:sz w:val="28"/>
          <w:szCs w:val="28"/>
        </w:rPr>
        <w:t>〔201</w:t>
      </w:r>
      <w:r>
        <w:rPr>
          <w:rFonts w:hint="eastAsia" w:asciiTheme="minorEastAsia" w:hAnsiTheme="minorEastAsia"/>
          <w:sz w:val="28"/>
          <w:szCs w:val="28"/>
          <w:lang w:val="en-US" w:eastAsia="zh-CN"/>
        </w:rPr>
        <w:t>8</w:t>
      </w:r>
      <w:r>
        <w:rPr>
          <w:rFonts w:hint="eastAsia" w:asciiTheme="minorEastAsia" w:hAnsiTheme="minorEastAsia"/>
          <w:sz w:val="28"/>
          <w:szCs w:val="28"/>
        </w:rPr>
        <w:t>〕</w:t>
      </w:r>
      <w:r>
        <w:rPr>
          <w:rFonts w:hint="eastAsia" w:asciiTheme="minorEastAsia" w:hAnsiTheme="minorEastAsia"/>
          <w:sz w:val="28"/>
          <w:szCs w:val="28"/>
          <w:lang w:val="en-US" w:eastAsia="zh-CN"/>
        </w:rPr>
        <w:t>134号），</w:t>
      </w:r>
      <w:r>
        <w:rPr>
          <w:rFonts w:hint="eastAsia" w:ascii="宋体" w:hAnsi="宋体" w:eastAsia="宋体" w:cstheme="minorBidi"/>
          <w:kern w:val="2"/>
          <w:sz w:val="28"/>
          <w:szCs w:val="28"/>
          <w:lang w:val="en-US" w:eastAsia="zh-CN" w:bidi="ar-SA"/>
        </w:rPr>
        <w:t>2018年7月2</w:t>
      </w:r>
      <w:r>
        <w:rPr>
          <w:rFonts w:hint="eastAsia" w:hAnsi="宋体" w:eastAsia="宋体" w:cstheme="minorBidi"/>
          <w:kern w:val="2"/>
          <w:sz w:val="28"/>
          <w:szCs w:val="28"/>
          <w:lang w:val="en-US" w:eastAsia="zh-CN" w:bidi="ar-SA"/>
        </w:rPr>
        <w:t>5</w:t>
      </w:r>
      <w:r>
        <w:rPr>
          <w:rFonts w:hint="eastAsia" w:ascii="宋体" w:hAnsi="宋体" w:eastAsia="宋体" w:cstheme="minorBidi"/>
          <w:kern w:val="2"/>
          <w:sz w:val="28"/>
          <w:szCs w:val="28"/>
          <w:lang w:val="en-US" w:eastAsia="zh-CN" w:bidi="ar-SA"/>
        </w:rPr>
        <w:t>日。</w:t>
      </w:r>
    </w:p>
    <w:p>
      <w:pPr>
        <w:outlineLvl w:val="0"/>
        <w:rPr>
          <w:rFonts w:hint="eastAsia" w:ascii="宋体" w:hAnsi="宋体" w:eastAsia="宋体"/>
          <w:b/>
          <w:sz w:val="32"/>
          <w:szCs w:val="32"/>
        </w:rPr>
      </w:pPr>
    </w:p>
    <w:p>
      <w:pPr>
        <w:outlineLvl w:val="0"/>
        <w:rPr>
          <w:rFonts w:hint="eastAsia" w:ascii="宋体" w:hAnsi="宋体" w:eastAsia="宋体"/>
          <w:b/>
          <w:sz w:val="32"/>
          <w:szCs w:val="32"/>
        </w:rPr>
      </w:pPr>
    </w:p>
    <w:p>
      <w:pPr>
        <w:outlineLvl w:val="0"/>
        <w:rPr>
          <w:rFonts w:hint="eastAsia" w:ascii="宋体" w:hAnsi="宋体" w:eastAsia="宋体"/>
          <w:b/>
          <w:sz w:val="32"/>
          <w:szCs w:val="32"/>
        </w:rPr>
      </w:pPr>
    </w:p>
    <w:p>
      <w:pPr>
        <w:outlineLvl w:val="0"/>
        <w:rPr>
          <w:rFonts w:hint="eastAsia" w:ascii="宋体" w:hAnsi="宋体" w:eastAsia="宋体"/>
          <w:b/>
          <w:sz w:val="32"/>
          <w:szCs w:val="32"/>
        </w:rPr>
      </w:pPr>
    </w:p>
    <w:p>
      <w:pPr>
        <w:jc w:val="left"/>
        <w:outlineLvl w:val="0"/>
        <w:rPr>
          <w:rFonts w:ascii="宋体" w:hAnsi="宋体" w:eastAsia="宋体"/>
          <w:b/>
          <w:sz w:val="32"/>
          <w:szCs w:val="32"/>
        </w:rPr>
      </w:pPr>
      <w:bookmarkStart w:id="4" w:name="_Toc17250"/>
      <w:r>
        <w:rPr>
          <w:rFonts w:hint="eastAsia" w:ascii="宋体" w:hAnsi="宋体" w:eastAsia="宋体"/>
          <w:b/>
          <w:sz w:val="32"/>
          <w:szCs w:val="32"/>
        </w:rPr>
        <w:t>3项目建设情况</w:t>
      </w:r>
      <w:bookmarkEnd w:id="4"/>
    </w:p>
    <w:p>
      <w:pPr>
        <w:jc w:val="left"/>
        <w:outlineLvl w:val="1"/>
        <w:rPr>
          <w:rFonts w:ascii="宋体" w:hAnsi="宋体" w:eastAsia="宋体"/>
          <w:b/>
          <w:sz w:val="30"/>
          <w:szCs w:val="30"/>
        </w:rPr>
      </w:pPr>
      <w:bookmarkStart w:id="5" w:name="_Toc2012"/>
      <w:r>
        <w:rPr>
          <w:rFonts w:hint="eastAsia" w:ascii="宋体" w:hAnsi="宋体" w:eastAsia="宋体"/>
          <w:b/>
          <w:sz w:val="30"/>
          <w:szCs w:val="30"/>
        </w:rPr>
        <w:t>3.1地理位置及平面布置</w:t>
      </w:r>
      <w:bookmarkEnd w:id="5"/>
    </w:p>
    <w:p>
      <w:pPr>
        <w:ind w:firstLine="560" w:firstLineChars="200"/>
        <w:rPr>
          <w:rFonts w:hint="eastAsia" w:ascii="宋体" w:hAnsi="宋体" w:eastAsia="宋体"/>
          <w:sz w:val="28"/>
          <w:szCs w:val="28"/>
          <w:lang w:val="en-US" w:eastAsia="zh-CN"/>
        </w:rPr>
      </w:pPr>
      <w:r>
        <w:rPr>
          <w:rFonts w:hint="eastAsia" w:ascii="宋体" w:hAnsi="宋体" w:eastAsia="宋体"/>
          <w:sz w:val="28"/>
          <w:szCs w:val="28"/>
          <w:lang w:eastAsia="zh-CN"/>
        </w:rPr>
        <w:t>新疆国泰新华化工有限责任公司</w:t>
      </w:r>
      <w:r>
        <w:rPr>
          <w:rFonts w:ascii="宋体" w:hAnsi="宋体" w:eastAsia="宋体"/>
          <w:sz w:val="28"/>
          <w:szCs w:val="28"/>
        </w:rPr>
        <w:t>准东经济技术开发区煤基精细化工循环经济工业园一期项目动力站</w:t>
      </w:r>
      <w:r>
        <w:rPr>
          <w:rFonts w:hint="eastAsia" w:ascii="宋体" w:hAnsi="宋体" w:eastAsia="宋体"/>
          <w:sz w:val="28"/>
          <w:szCs w:val="28"/>
        </w:rPr>
        <w:t>位于</w:t>
      </w:r>
      <w:r>
        <w:rPr>
          <w:rFonts w:hint="eastAsia" w:ascii="宋体" w:hAnsi="宋体" w:eastAsia="宋体"/>
          <w:sz w:val="28"/>
          <w:szCs w:val="28"/>
          <w:lang w:eastAsia="zh-CN"/>
        </w:rPr>
        <w:t>新疆国泰新华化工有限责任公司</w:t>
      </w:r>
      <w:r>
        <w:rPr>
          <w:rFonts w:ascii="宋体" w:hAnsi="宋体" w:eastAsia="宋体"/>
          <w:sz w:val="28"/>
          <w:szCs w:val="28"/>
        </w:rPr>
        <w:t>准东经济技术开发区煤基精细化工循环经济工业园</w:t>
      </w:r>
      <w:r>
        <w:rPr>
          <w:rFonts w:hint="eastAsia" w:ascii="宋体" w:hAnsi="宋体" w:eastAsia="宋体"/>
          <w:sz w:val="28"/>
          <w:szCs w:val="28"/>
        </w:rPr>
        <w:t>，地理坐标为北纬</w:t>
      </w:r>
      <w:r>
        <w:rPr>
          <w:rFonts w:ascii="宋体" w:hAnsi="宋体" w:eastAsia="宋体"/>
          <w:sz w:val="28"/>
          <w:szCs w:val="28"/>
        </w:rPr>
        <w:t>44°41′56"，东经 89°3′57"</w:t>
      </w:r>
      <w:r>
        <w:rPr>
          <w:rFonts w:hint="eastAsia" w:ascii="宋体" w:hAnsi="宋体" w:eastAsia="宋体"/>
          <w:sz w:val="28"/>
          <w:szCs w:val="28"/>
        </w:rPr>
        <w:t>。</w:t>
      </w:r>
      <w:r>
        <w:rPr>
          <w:rFonts w:hint="eastAsia" w:ascii="宋体" w:hAnsi="宋体" w:eastAsia="宋体"/>
          <w:sz w:val="28"/>
          <w:szCs w:val="28"/>
          <w:lang w:eastAsia="zh-CN"/>
        </w:rPr>
        <w:t>地理位置见图</w:t>
      </w:r>
      <w:r>
        <w:rPr>
          <w:rFonts w:hint="eastAsia" w:ascii="宋体" w:hAnsi="宋体" w:eastAsia="宋体"/>
          <w:sz w:val="28"/>
          <w:szCs w:val="28"/>
          <w:lang w:val="en-US" w:eastAsia="zh-CN"/>
        </w:rPr>
        <w:t>3-1。</w:t>
      </w:r>
    </w:p>
    <w:p>
      <w:pPr>
        <w:ind w:firstLine="560" w:firstLineChars="200"/>
        <w:rPr>
          <w:rFonts w:ascii="宋体" w:hAnsi="宋体" w:eastAsia="宋体"/>
          <w:sz w:val="28"/>
          <w:szCs w:val="28"/>
        </w:rPr>
      </w:pPr>
      <w:r>
        <w:rPr>
          <w:rFonts w:hint="eastAsia" w:ascii="宋体" w:hAnsi="宋体" w:eastAsia="宋体"/>
          <w:sz w:val="28"/>
          <w:szCs w:val="28"/>
          <w:lang w:eastAsia="zh-CN"/>
        </w:rPr>
        <w:t>新疆国泰新华化工有限责任公司</w:t>
      </w:r>
      <w:r>
        <w:rPr>
          <w:rFonts w:ascii="宋体" w:hAnsi="宋体" w:eastAsia="宋体"/>
          <w:sz w:val="28"/>
          <w:szCs w:val="28"/>
        </w:rPr>
        <w:t>准东经济技术开发区煤基精细化工循环经济工业园</w:t>
      </w:r>
      <w:r>
        <w:rPr>
          <w:rFonts w:hint="eastAsia" w:ascii="宋体" w:hAnsi="宋体" w:eastAsia="宋体"/>
          <w:sz w:val="28"/>
          <w:szCs w:val="28"/>
        </w:rPr>
        <w:t>位于新疆昌吉市吉木萨尔县，准东经济技术开发区南端，地形平坦，场地为荒漠地。南向距吉木萨尔县城约85km，距奇台县城约120km，北邻富蕴县，西距216国道17km，东距神华准东露天矿专用铁路约0.3km。</w:t>
      </w:r>
    </w:p>
    <w:p>
      <w:pPr>
        <w:ind w:firstLine="560" w:firstLineChars="200"/>
        <w:rPr>
          <w:rFonts w:hint="eastAsia" w:ascii="宋体" w:hAnsi="宋体" w:eastAsia="宋体"/>
          <w:sz w:val="28"/>
          <w:szCs w:val="28"/>
          <w:lang w:val="en-US" w:eastAsia="zh-CN"/>
        </w:rPr>
      </w:pPr>
      <w:r>
        <w:rPr>
          <w:rFonts w:hint="eastAsia" w:ascii="宋体" w:hAnsi="宋体" w:eastAsia="宋体"/>
          <w:sz w:val="28"/>
          <w:szCs w:val="28"/>
        </w:rPr>
        <w:t>动力站属于为主体工程服务的公用工程，其场址位于国泰新华工业园东南部，东侧为煤基精细化工循环经济工业园一期项目铁路站场，东北距五彩湾调节水池约10km，北侧为工业园建设的3套150t/h中温中压化工蒸汽锅炉区及本动力站配套的煤场区，西侧为电石、石灰</w:t>
      </w:r>
      <w:r>
        <w:rPr>
          <w:rFonts w:hint="eastAsia" w:ascii="宋体" w:hAnsi="宋体" w:eastAsia="宋体"/>
          <w:sz w:val="28"/>
          <w:szCs w:val="28"/>
          <w:lang w:eastAsia="zh-CN"/>
        </w:rPr>
        <w:t>石</w:t>
      </w:r>
      <w:r>
        <w:rPr>
          <w:rFonts w:hint="eastAsia" w:ascii="宋体" w:hAnsi="宋体" w:eastAsia="宋体"/>
          <w:sz w:val="28"/>
          <w:szCs w:val="28"/>
        </w:rPr>
        <w:t>装置区，南侧为预留空地。</w:t>
      </w:r>
      <w:r>
        <w:rPr>
          <w:rFonts w:hint="eastAsia" w:ascii="宋体" w:hAnsi="宋体" w:eastAsia="宋体"/>
          <w:sz w:val="28"/>
          <w:szCs w:val="28"/>
          <w:lang w:eastAsia="zh-CN"/>
        </w:rPr>
        <w:t>厂区平面布置见图</w:t>
      </w:r>
      <w:r>
        <w:rPr>
          <w:rFonts w:hint="eastAsia" w:ascii="宋体" w:hAnsi="宋体" w:eastAsia="宋体"/>
          <w:sz w:val="28"/>
          <w:szCs w:val="28"/>
          <w:lang w:val="en-US" w:eastAsia="zh-CN"/>
        </w:rPr>
        <w:t>3-2。</w:t>
      </w:r>
    </w:p>
    <w:p>
      <w:pPr>
        <w:ind w:firstLine="560" w:firstLineChars="200"/>
        <w:rPr>
          <w:rFonts w:hint="eastAsia" w:ascii="宋体" w:hAnsi="宋体" w:eastAsia="宋体"/>
          <w:sz w:val="28"/>
          <w:szCs w:val="28"/>
          <w:lang w:eastAsia="zh-CN"/>
        </w:rPr>
      </w:pPr>
      <w:r>
        <w:rPr>
          <w:rFonts w:hint="eastAsia" w:ascii="宋体" w:hAnsi="宋体" w:eastAsia="宋体"/>
          <w:sz w:val="28"/>
          <w:szCs w:val="28"/>
        </w:rPr>
        <w:t>动力站由北向南</w:t>
      </w:r>
      <w:r>
        <w:rPr>
          <w:rFonts w:hint="eastAsia" w:ascii="宋体" w:hAnsi="宋体" w:eastAsia="宋体"/>
          <w:sz w:val="28"/>
          <w:szCs w:val="28"/>
          <w:lang w:eastAsia="zh-CN"/>
        </w:rPr>
        <w:t>依次</w:t>
      </w:r>
      <w:r>
        <w:rPr>
          <w:rFonts w:hint="eastAsia" w:ascii="宋体" w:hAnsi="宋体" w:eastAsia="宋体"/>
          <w:sz w:val="28"/>
          <w:szCs w:val="28"/>
        </w:rPr>
        <w:t>为辅助生产区、主厂房区（脱硫装置区），冷却塔区布置在固定端。</w:t>
      </w:r>
      <w:r>
        <w:rPr>
          <w:rFonts w:hint="eastAsia" w:ascii="宋体" w:hAnsi="宋体" w:eastAsia="宋体"/>
          <w:sz w:val="28"/>
          <w:szCs w:val="28"/>
          <w:lang w:eastAsia="zh-CN"/>
        </w:rPr>
        <w:t>动力站布置见图</w:t>
      </w:r>
      <w:r>
        <w:rPr>
          <w:rFonts w:hint="eastAsia" w:ascii="宋体" w:hAnsi="宋体" w:eastAsia="宋体"/>
          <w:sz w:val="28"/>
          <w:szCs w:val="28"/>
          <w:lang w:val="en-US" w:eastAsia="zh-CN"/>
        </w:rPr>
        <w:t>3-3。</w:t>
      </w:r>
    </w:p>
    <w:p>
      <w:pPr>
        <w:outlineLvl w:val="1"/>
        <w:rPr>
          <w:rFonts w:hint="eastAsia" w:ascii="宋体" w:hAnsi="宋体" w:eastAsia="宋体"/>
          <w:b/>
          <w:sz w:val="32"/>
          <w:szCs w:val="32"/>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b/>
          <w:sz w:val="32"/>
          <w:szCs w:val="32"/>
        </w:rPr>
      </w:pPr>
      <w:bookmarkStart w:id="68" w:name="_GoBack"/>
      <w:bookmarkEnd w:id="68"/>
      <w:r>
        <w:rPr>
          <w:rFonts w:hint="eastAsia" w:ascii="宋体" w:hAnsi="宋体" w:eastAsia="宋体"/>
          <w:b/>
          <w:sz w:val="32"/>
          <w:szCs w:val="32"/>
        </w:rPr>
        <w:drawing>
          <wp:inline distT="0" distB="0" distL="114300" distR="114300">
            <wp:extent cx="9980295" cy="5910580"/>
            <wp:effectExtent l="0" t="0" r="1905" b="13970"/>
            <wp:docPr id="13" name="图片 13" descr="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厂区平面图"/>
                    <pic:cNvPicPr>
                      <a:picLocks noChangeAspect="1"/>
                    </pic:cNvPicPr>
                  </pic:nvPicPr>
                  <pic:blipFill>
                    <a:blip r:embed="rId23"/>
                    <a:stretch>
                      <a:fillRect/>
                    </a:stretch>
                  </pic:blipFill>
                  <pic:spPr>
                    <a:xfrm>
                      <a:off x="0" y="0"/>
                      <a:ext cx="9980295" cy="5910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sz w:val="24"/>
          <w:szCs w:val="24"/>
          <w:lang w:val="en-US" w:eastAsia="zh-CN"/>
        </w:rPr>
      </w:pPr>
      <w:r>
        <w:rPr>
          <w:rFonts w:hint="eastAsia" w:ascii="宋体" w:hAnsi="宋体" w:eastAsia="宋体"/>
          <w:b/>
          <w:sz w:val="24"/>
          <w:szCs w:val="24"/>
          <w:lang w:eastAsia="zh-CN"/>
        </w:rPr>
        <w:t>图</w:t>
      </w:r>
      <w:r>
        <w:rPr>
          <w:rFonts w:hint="eastAsia" w:ascii="宋体" w:hAnsi="宋体" w:eastAsia="宋体"/>
          <w:b/>
          <w:sz w:val="24"/>
          <w:szCs w:val="24"/>
          <w:lang w:val="en-US" w:eastAsia="zh-CN"/>
        </w:rPr>
        <w:t>3-2  项目厂区平面布置图</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b/>
          <w:sz w:val="32"/>
          <w:szCs w:val="32"/>
          <w:lang w:eastAsia="zh-CN"/>
        </w:rPr>
      </w:pPr>
      <w:r>
        <w:rPr>
          <w:rFonts w:hint="eastAsia" w:ascii="宋体" w:hAnsi="宋体" w:eastAsia="宋体"/>
          <w:b/>
          <w:sz w:val="32"/>
          <w:szCs w:val="32"/>
          <w:lang w:eastAsia="zh-CN"/>
        </w:rPr>
        <w:drawing>
          <wp:inline distT="0" distB="0" distL="114300" distR="114300">
            <wp:extent cx="10234295" cy="5812790"/>
            <wp:effectExtent l="0" t="0" r="14605" b="16510"/>
            <wp:docPr id="14" name="图片 14" descr="微信图片_201811131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1113124913"/>
                    <pic:cNvPicPr>
                      <a:picLocks noChangeAspect="1"/>
                    </pic:cNvPicPr>
                  </pic:nvPicPr>
                  <pic:blipFill>
                    <a:blip r:embed="rId24"/>
                    <a:stretch>
                      <a:fillRect/>
                    </a:stretch>
                  </pic:blipFill>
                  <pic:spPr>
                    <a:xfrm>
                      <a:off x="0" y="0"/>
                      <a:ext cx="10234295" cy="5812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sz w:val="24"/>
          <w:szCs w:val="24"/>
          <w:lang w:val="en-US" w:eastAsia="zh-CN"/>
        </w:rPr>
        <w:sectPr>
          <w:pgSz w:w="16838" w:h="11906" w:orient="landscape"/>
          <w:pgMar w:top="567" w:right="567" w:bottom="567"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b/>
          <w:sz w:val="24"/>
          <w:szCs w:val="24"/>
          <w:lang w:eastAsia="zh-CN"/>
        </w:rPr>
        <w:t>图</w:t>
      </w:r>
      <w:r>
        <w:rPr>
          <w:rFonts w:hint="eastAsia" w:ascii="宋体" w:hAnsi="宋体" w:eastAsia="宋体"/>
          <w:b/>
          <w:sz w:val="24"/>
          <w:szCs w:val="24"/>
          <w:lang w:val="en-US" w:eastAsia="zh-CN"/>
        </w:rPr>
        <w:t>3-3  动力站平面布置图</w:t>
      </w:r>
    </w:p>
    <w:p>
      <w:pPr>
        <w:outlineLvl w:val="1"/>
        <w:rPr>
          <w:rFonts w:ascii="宋体" w:hAnsi="宋体" w:eastAsia="宋体"/>
          <w:b/>
          <w:sz w:val="30"/>
          <w:szCs w:val="30"/>
        </w:rPr>
      </w:pPr>
      <w:bookmarkStart w:id="6" w:name="_Toc26450"/>
      <w:r>
        <w:rPr>
          <w:rFonts w:hint="eastAsia" w:ascii="宋体" w:hAnsi="宋体" w:eastAsia="宋体"/>
          <w:b/>
          <w:sz w:val="30"/>
          <w:szCs w:val="30"/>
        </w:rPr>
        <w:t>3.2建设内容</w:t>
      </w:r>
      <w:bookmarkEnd w:id="6"/>
    </w:p>
    <w:p>
      <w:pPr>
        <w:ind w:firstLine="560" w:firstLineChars="200"/>
        <w:rPr>
          <w:rFonts w:hint="eastAsia"/>
          <w:sz w:val="28"/>
          <w:szCs w:val="28"/>
        </w:rPr>
      </w:pPr>
      <w:r>
        <w:rPr>
          <w:rFonts w:hint="eastAsia"/>
          <w:sz w:val="28"/>
          <w:szCs w:val="28"/>
          <w:lang w:eastAsia="zh-CN"/>
        </w:rPr>
        <w:t>新疆国泰新华化工有限责任公司</w:t>
      </w:r>
      <w:r>
        <w:rPr>
          <w:sz w:val="28"/>
          <w:szCs w:val="28"/>
        </w:rPr>
        <w:t>一期项目</w:t>
      </w:r>
      <w:r>
        <w:rPr>
          <w:rFonts w:hint="eastAsia"/>
          <w:sz w:val="28"/>
          <w:szCs w:val="28"/>
          <w:lang w:eastAsia="zh-CN"/>
        </w:rPr>
        <w:t>动力站</w:t>
      </w:r>
      <w:r>
        <w:rPr>
          <w:sz w:val="28"/>
          <w:szCs w:val="28"/>
        </w:rPr>
        <w:t>占地面积23.36hm</w:t>
      </w:r>
      <w:r>
        <w:rPr>
          <w:rFonts w:hint="eastAsia"/>
          <w:sz w:val="28"/>
          <w:szCs w:val="28"/>
          <w:vertAlign w:val="superscript"/>
        </w:rPr>
        <w:t>2</w:t>
      </w:r>
      <w:r>
        <w:rPr>
          <w:sz w:val="28"/>
          <w:szCs w:val="28"/>
        </w:rPr>
        <w:t xml:space="preserve"> ，</w:t>
      </w:r>
      <w:r>
        <w:rPr>
          <w:color w:val="000000" w:themeColor="text1"/>
          <w:sz w:val="28"/>
          <w:szCs w:val="28"/>
        </w:rPr>
        <w:t>主要包括主体工程、辅助工程、环保工程、贮运工程、公用工程、配套工程等。</w:t>
      </w:r>
      <w:r>
        <w:rPr>
          <w:rFonts w:hint="eastAsia"/>
          <w:sz w:val="28"/>
          <w:szCs w:val="28"/>
          <w:lang w:eastAsia="zh-CN"/>
        </w:rPr>
        <w:t>项目新建</w:t>
      </w:r>
      <w:r>
        <w:rPr>
          <w:rFonts w:hint="eastAsia"/>
          <w:sz w:val="28"/>
          <w:szCs w:val="28"/>
          <w:lang w:val="en-US" w:eastAsia="zh-CN"/>
        </w:rPr>
        <w:t>2</w:t>
      </w:r>
      <w:r>
        <w:rPr>
          <w:sz w:val="28"/>
          <w:szCs w:val="28"/>
        </w:rPr>
        <w:t>×</w:t>
      </w:r>
      <w:r>
        <w:rPr>
          <w:rFonts w:hint="eastAsia"/>
          <w:sz w:val="28"/>
          <w:szCs w:val="28"/>
          <w:lang w:val="en-US" w:eastAsia="zh-CN"/>
        </w:rPr>
        <w:t>350MW超临界空冷发电机组，采用低氮燃烧和SCR法脱硝、布袋除尘、电石渣石膏法脱硫处理工艺、在烟气排放口设置在线监测装置；配套建设供排水系统，除灰渣系统、液氨储罐区等公用及辅助设施；建设工艺废水处理装置、生活污水处理装置、脱硫废水处理装置、含煤废水处理装置、含油废水处理装置</w:t>
      </w:r>
      <w:r>
        <w:rPr>
          <w:rFonts w:hint="eastAsia"/>
          <w:color w:val="000000" w:themeColor="text1"/>
          <w:sz w:val="28"/>
          <w:szCs w:val="28"/>
          <w:lang w:val="en-US" w:eastAsia="zh-CN"/>
        </w:rPr>
        <w:t>，灰场</w:t>
      </w:r>
      <w:r>
        <w:rPr>
          <w:rFonts w:hint="eastAsia"/>
          <w:sz w:val="28"/>
          <w:szCs w:val="28"/>
          <w:lang w:val="en-US" w:eastAsia="zh-CN"/>
        </w:rPr>
        <w:t>依托新疆神彩东晟环保科技有限公司。</w:t>
      </w:r>
      <w:r>
        <w:rPr>
          <w:sz w:val="28"/>
          <w:szCs w:val="28"/>
        </w:rPr>
        <w:t xml:space="preserve">建设项目工程组成见表 </w:t>
      </w:r>
      <w:r>
        <w:rPr>
          <w:rFonts w:hint="eastAsia"/>
          <w:sz w:val="28"/>
          <w:szCs w:val="28"/>
        </w:rPr>
        <w:t>3-</w:t>
      </w:r>
      <w:r>
        <w:rPr>
          <w:rFonts w:hint="eastAsia"/>
          <w:sz w:val="28"/>
          <w:szCs w:val="28"/>
          <w:lang w:val="en-US" w:eastAsia="zh-CN"/>
        </w:rPr>
        <w:t>1</w:t>
      </w:r>
      <w:r>
        <w:rPr>
          <w:rFonts w:hint="eastAsia"/>
          <w:sz w:val="28"/>
          <w:szCs w:val="28"/>
          <w:lang w:eastAsia="zh-CN"/>
        </w:rPr>
        <w:t>，项目备案与实际情况比对一览表见</w:t>
      </w:r>
      <w:r>
        <w:rPr>
          <w:rFonts w:hint="eastAsia"/>
          <w:sz w:val="28"/>
          <w:szCs w:val="28"/>
          <w:lang w:val="en-US" w:eastAsia="zh-CN"/>
        </w:rPr>
        <w:t>3-2</w:t>
      </w:r>
      <w:r>
        <w:rPr>
          <w:sz w:val="28"/>
          <w:szCs w:val="28"/>
        </w:rPr>
        <w:t>。</w:t>
      </w:r>
    </w:p>
    <w:p>
      <w:pPr>
        <w:jc w:val="center"/>
        <w:rPr>
          <w:b/>
          <w:sz w:val="24"/>
          <w:szCs w:val="24"/>
        </w:rPr>
      </w:pPr>
      <w:r>
        <w:rPr>
          <w:rFonts w:hint="eastAsia"/>
          <w:b/>
          <w:sz w:val="24"/>
          <w:szCs w:val="24"/>
        </w:rPr>
        <w:t>表3-1  建设项目工程组成表</w:t>
      </w:r>
    </w:p>
    <w:tbl>
      <w:tblPr>
        <w:tblStyle w:val="12"/>
        <w:tblW w:w="8522"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53"/>
        <w:gridCol w:w="1789"/>
        <w:gridCol w:w="548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工程分类</w:t>
            </w: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工程名称</w:t>
            </w:r>
          </w:p>
        </w:tc>
        <w:tc>
          <w:tcPr>
            <w:tcW w:w="548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建设内容</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主体工程</w:t>
            </w: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锅炉</w:t>
            </w:r>
          </w:p>
        </w:tc>
        <w:tc>
          <w:tcPr>
            <w:tcW w:w="5480" w:type="dxa"/>
            <w:tcBorders>
              <w:tl2br w:val="nil"/>
              <w:tr2bl w:val="nil"/>
            </w:tcBorders>
            <w:vAlign w:val="center"/>
          </w:tcPr>
          <w:p>
            <w:r>
              <w:t>2×</w:t>
            </w:r>
            <w:r>
              <w:rPr>
                <w:rFonts w:hint="eastAsia"/>
                <w:lang w:val="en-US" w:eastAsia="zh-CN"/>
              </w:rPr>
              <w:t>1190</w:t>
            </w:r>
            <w:r>
              <w:t>t/h 超临界，紧身封闭布置、单炉膛、一次中间再热、平衡通风、固态排渣、全钢构架、悬吊结构、三分仓回转式空气预热器。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空冷汽轮机</w:t>
            </w:r>
          </w:p>
        </w:tc>
        <w:tc>
          <w:tcPr>
            <w:tcW w:w="5480" w:type="dxa"/>
            <w:tcBorders>
              <w:tl2br w:val="nil"/>
              <w:tr2bl w:val="nil"/>
            </w:tcBorders>
            <w:vAlign w:val="center"/>
          </w:tcPr>
          <w:p>
            <w:pPr>
              <w:rPr>
                <w:rFonts w:hint="eastAsia"/>
              </w:rPr>
            </w:pPr>
            <w:r>
              <w:t>2×350MW超临界、一次中间再热、单轴、双缸双排汽，间接空冷</w:t>
            </w:r>
            <w:r>
              <w:rPr>
                <w:rFonts w:hint="eastAsia"/>
                <w:lang w:eastAsia="zh-CN"/>
              </w:rPr>
              <w:t>抽气</w:t>
            </w:r>
            <w:r>
              <w:t>凝汽式汽轮机。</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发电机</w:t>
            </w:r>
          </w:p>
        </w:tc>
        <w:tc>
          <w:tcPr>
            <w:tcW w:w="5480" w:type="dxa"/>
            <w:tcBorders>
              <w:tl2br w:val="nil"/>
              <w:tr2bl w:val="nil"/>
            </w:tcBorders>
            <w:vAlign w:val="center"/>
          </w:tcPr>
          <w:p>
            <w:pPr>
              <w:rPr>
                <w:rFonts w:hint="eastAsia"/>
              </w:rPr>
            </w:pPr>
            <w:r>
              <w:t>2×350MW三相两极同步发电机，采用水氢氢冷却方式，励磁方式采用自并励静止励磁系统。</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辅助工程</w:t>
            </w: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供水工程</w:t>
            </w:r>
          </w:p>
        </w:tc>
        <w:tc>
          <w:tcPr>
            <w:tcW w:w="5480" w:type="dxa"/>
            <w:tcBorders>
              <w:tl2br w:val="nil"/>
              <w:tr2bl w:val="nil"/>
            </w:tcBorders>
            <w:vAlign w:val="center"/>
          </w:tcPr>
          <w:p>
            <w:pPr>
              <w:rPr>
                <w:rFonts w:hint="eastAsia"/>
              </w:rPr>
            </w:pPr>
            <w:r>
              <w:t>本工程用水由园区统一供给</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主机冷却系统</w:t>
            </w:r>
          </w:p>
        </w:tc>
        <w:tc>
          <w:tcPr>
            <w:tcW w:w="5480" w:type="dxa"/>
            <w:tcBorders>
              <w:tl2br w:val="nil"/>
              <w:tr2bl w:val="nil"/>
            </w:tcBorders>
            <w:vAlign w:val="center"/>
          </w:tcPr>
          <w:p>
            <w:pPr>
              <w:rPr>
                <w:rFonts w:hint="eastAsia"/>
              </w:rPr>
            </w:pPr>
            <w:r>
              <w:t>主机及小机排汽冷却采用带自然通风冷却塔的间接空冷系统，主机循环水系统按扩大单元制设置（一机二泵），每 2 台机组设一座间冷塔，一座循环水泵房。</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辅机循环冷却水工程</w:t>
            </w:r>
          </w:p>
        </w:tc>
        <w:tc>
          <w:tcPr>
            <w:tcW w:w="5480" w:type="dxa"/>
            <w:tcBorders>
              <w:tl2br w:val="nil"/>
              <w:tr2bl w:val="nil"/>
            </w:tcBorders>
            <w:vAlign w:val="center"/>
          </w:tcPr>
          <w:p>
            <w:r>
              <w:t>空冷机组辅机循环冷却水量</w:t>
            </w:r>
            <w:r>
              <w:rPr>
                <w:color w:val="000000" w:themeColor="text1"/>
              </w:rPr>
              <w:t xml:space="preserve"> </w:t>
            </w:r>
            <w:r>
              <w:rPr>
                <w:rFonts w:hint="eastAsia"/>
                <w:color w:val="000000" w:themeColor="text1"/>
                <w:lang w:val="en-US" w:eastAsia="zh-CN"/>
              </w:rPr>
              <w:t>4000</w:t>
            </w:r>
            <w:r>
              <w:rPr>
                <w:color w:val="000000" w:themeColor="text1"/>
              </w:rPr>
              <w:t>m</w:t>
            </w:r>
            <w:r>
              <w:rPr>
                <w:rFonts w:hint="eastAsia"/>
                <w:color w:val="000000" w:themeColor="text1"/>
                <w:vertAlign w:val="superscript"/>
                <w:lang w:val="en-US" w:eastAsia="zh-CN"/>
              </w:rPr>
              <w:t>3</w:t>
            </w:r>
            <w:r>
              <w:rPr>
                <w:rFonts w:hint="eastAsia"/>
                <w:color w:val="000000" w:themeColor="text1"/>
              </w:rPr>
              <w:t>，</w:t>
            </w:r>
            <w:r>
              <w:t>2 台机组配 3 段机力通风冷却塔和 3 台</w:t>
            </w:r>
            <w:r>
              <w:rPr>
                <w:rFonts w:hint="eastAsia"/>
                <w:lang w:eastAsia="zh-CN"/>
              </w:rPr>
              <w:t>辅机</w:t>
            </w:r>
            <w:r>
              <w:t>循环水泵，设一座辅机循环水泵房，冷却塔型式为 3 段式逆流式机械通风冷却塔</w:t>
            </w:r>
            <w:r>
              <w:rPr>
                <w:rFonts w:hint="eastAsia"/>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除灰渣系统</w:t>
            </w:r>
          </w:p>
        </w:tc>
        <w:tc>
          <w:tcPr>
            <w:tcW w:w="5480" w:type="dxa"/>
            <w:tcBorders>
              <w:tl2br w:val="nil"/>
              <w:tr2bl w:val="nil"/>
            </w:tcBorders>
            <w:vAlign w:val="center"/>
          </w:tcPr>
          <w:p>
            <w:r>
              <w:t>每台炉按一个单元考虑。布袋除尘器、省煤器排出的灰采用干除灰输送方式。除渣采用湿式自平衡系统，采用刮板捞渣机机械除渣方式。锅炉中速磨煤机排出的石子煤用电瓶叉车输送方式。灰库：每 2 台炉共用 3 座灰库，单</w:t>
            </w:r>
            <w:r>
              <w:rPr>
                <w:color w:val="000000" w:themeColor="text1"/>
              </w:rPr>
              <w:t>座容积 500m</w:t>
            </w:r>
            <w:r>
              <w:rPr>
                <w:rFonts w:hint="eastAsia"/>
                <w:color w:val="000000" w:themeColor="text1"/>
                <w:vertAlign w:val="superscript"/>
              </w:rPr>
              <w:t>3</w:t>
            </w:r>
            <w:r>
              <w:rPr>
                <w:color w:val="000000" w:themeColor="text1"/>
              </w:rPr>
              <w:t>渣仓：每台炉设一套渣仓，单座容积 50m</w:t>
            </w:r>
            <w:r>
              <w:rPr>
                <w:rFonts w:hint="eastAsia"/>
                <w:color w:val="000000" w:themeColor="text1"/>
                <w:vertAlign w:val="superscript"/>
              </w:rPr>
              <w:t>3</w:t>
            </w:r>
            <w:r>
              <w:rPr>
                <w:color w:val="000000" w:themeColor="text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环保工程</w:t>
            </w: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煤场</w:t>
            </w:r>
          </w:p>
        </w:tc>
        <w:tc>
          <w:tcPr>
            <w:tcW w:w="5480" w:type="dxa"/>
            <w:tcBorders>
              <w:tl2br w:val="nil"/>
              <w:tr2bl w:val="nil"/>
            </w:tcBorders>
            <w:vAlign w:val="center"/>
          </w:tcPr>
          <w:p>
            <w:r>
              <w:t>采用 1 座全封闭式煤场，规格为</w:t>
            </w:r>
            <w:r>
              <w:rPr>
                <w:color w:val="FF0000"/>
              </w:rPr>
              <w:t xml:space="preserve"> </w:t>
            </w:r>
            <w:r>
              <w:rPr>
                <w:color w:val="000000" w:themeColor="text1"/>
              </w:rPr>
              <w:t>170m×174m</w:t>
            </w:r>
          </w:p>
          <w:p>
            <w:pPr>
              <w:rPr>
                <w:rFonts w:hAnsi="Calibri"/>
              </w:rPr>
            </w:pPr>
            <w:r>
              <w:t>输煤栈桥采用全封闭，设</w:t>
            </w:r>
            <w:r>
              <w:rPr>
                <w:color w:val="000000" w:themeColor="text1"/>
              </w:rPr>
              <w:t xml:space="preserve"> 18</w:t>
            </w:r>
            <w:r>
              <w:rPr>
                <w:color w:val="FF0000"/>
              </w:rPr>
              <w:t xml:space="preserve"> </w:t>
            </w:r>
            <w:r>
              <w:t>套</w:t>
            </w:r>
            <w:r>
              <w:rPr>
                <w:rFonts w:hint="eastAsia"/>
              </w:rPr>
              <w:t>煤场喷淋喷雾除尘；</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煤栈桥/廊道</w:t>
            </w:r>
          </w:p>
        </w:tc>
        <w:tc>
          <w:tcPr>
            <w:tcW w:w="5480" w:type="dxa"/>
            <w:tcBorders>
              <w:tl2br w:val="nil"/>
              <w:tr2bl w:val="nil"/>
            </w:tcBorders>
            <w:vAlign w:val="center"/>
          </w:tcPr>
          <w:p>
            <w:r>
              <w:rPr>
                <w:rFonts w:hint="eastAsia"/>
              </w:rPr>
              <w:t>设</w:t>
            </w:r>
            <w:r>
              <w:t xml:space="preserve"> 6 </w:t>
            </w:r>
            <w:r>
              <w:rPr>
                <w:rFonts w:hint="eastAsia"/>
              </w:rPr>
              <w:t>条全封闭输煤通廊</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转运点</w:t>
            </w:r>
          </w:p>
        </w:tc>
        <w:tc>
          <w:tcPr>
            <w:tcW w:w="5480" w:type="dxa"/>
            <w:tcBorders>
              <w:tl2br w:val="nil"/>
              <w:tr2bl w:val="nil"/>
            </w:tcBorders>
            <w:vAlign w:val="center"/>
          </w:tcPr>
          <w:p>
            <w:r>
              <w:t xml:space="preserve">6 </w:t>
            </w:r>
            <w:r>
              <w:rPr>
                <w:rFonts w:hint="eastAsia"/>
              </w:rPr>
              <w:t>个转运点设</w:t>
            </w:r>
            <w:r>
              <w:t xml:space="preserve"> </w:t>
            </w:r>
            <w:r>
              <w:rPr>
                <w:color w:val="000000" w:themeColor="text1"/>
              </w:rPr>
              <w:t>12</w:t>
            </w:r>
            <w:r>
              <w:rPr>
                <w:color w:val="FF0000"/>
              </w:rPr>
              <w:t xml:space="preserve"> </w:t>
            </w:r>
            <w:r>
              <w:rPr>
                <w:rFonts w:hint="eastAsia"/>
              </w:rPr>
              <w:t>个袋式除尘器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lang w:eastAsia="zh-CN"/>
              </w:rPr>
            </w:pPr>
            <w:r>
              <w:rPr>
                <w:rFonts w:hint="eastAsia" w:ascii="宋体" w:hAnsi="宋体" w:eastAsia="宋体"/>
                <w:szCs w:val="21"/>
                <w:lang w:eastAsia="zh-CN"/>
              </w:rPr>
              <w:t>卸煤沟</w:t>
            </w:r>
          </w:p>
        </w:tc>
        <w:tc>
          <w:tcPr>
            <w:tcW w:w="5480" w:type="dxa"/>
            <w:tcBorders>
              <w:tl2br w:val="nil"/>
              <w:tr2bl w:val="nil"/>
            </w:tcBorders>
            <w:vAlign w:val="center"/>
          </w:tcPr>
          <w:p>
            <w:r>
              <w:rPr>
                <w:rFonts w:hint="eastAsia"/>
              </w:rPr>
              <w:t>设</w:t>
            </w:r>
            <w:r>
              <w:t xml:space="preserve"> 4 </w:t>
            </w:r>
            <w:r>
              <w:rPr>
                <w:rFonts w:hint="eastAsia"/>
              </w:rPr>
              <w:t>个</w:t>
            </w:r>
            <w:r>
              <w:rPr>
                <w:rFonts w:hint="eastAsia"/>
                <w:color w:val="000000" w:themeColor="text1"/>
                <w:lang w:eastAsia="zh-CN"/>
              </w:rPr>
              <w:t>袋式</w:t>
            </w:r>
            <w:r>
              <w:rPr>
                <w:rFonts w:hint="eastAsia"/>
              </w:rPr>
              <w:t>除尘器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lang w:eastAsia="zh-CN"/>
              </w:rPr>
            </w:pPr>
            <w:r>
              <w:rPr>
                <w:rFonts w:hint="eastAsia" w:ascii="宋体" w:hAnsi="宋体" w:eastAsia="宋体"/>
                <w:szCs w:val="21"/>
                <w:lang w:eastAsia="zh-CN"/>
              </w:rPr>
              <w:t>原煤斗</w:t>
            </w:r>
          </w:p>
        </w:tc>
        <w:tc>
          <w:tcPr>
            <w:tcW w:w="5480" w:type="dxa"/>
            <w:tcBorders>
              <w:tl2br w:val="nil"/>
              <w:tr2bl w:val="nil"/>
            </w:tcBorders>
            <w:vAlign w:val="center"/>
          </w:tcPr>
          <w:p>
            <w:r>
              <w:rPr>
                <w:rFonts w:hint="eastAsia"/>
              </w:rPr>
              <w:t>设</w:t>
            </w:r>
            <w:r>
              <w:rPr>
                <w:rFonts w:hint="eastAsia"/>
                <w:color w:val="000000" w:themeColor="text1"/>
                <w:lang w:val="en-US" w:eastAsia="zh-CN"/>
              </w:rPr>
              <w:t>12个</w:t>
            </w:r>
            <w:r>
              <w:rPr>
                <w:rFonts w:hint="eastAsia"/>
              </w:rPr>
              <w:t>袋式除尘器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lang w:eastAsia="zh-CN"/>
              </w:rPr>
              <w:t>脱</w:t>
            </w:r>
            <w:r>
              <w:rPr>
                <w:rFonts w:hint="eastAsia" w:ascii="宋体" w:hAnsi="宋体" w:eastAsia="宋体"/>
                <w:szCs w:val="21"/>
              </w:rPr>
              <w:t>硫剂制备系统</w:t>
            </w:r>
          </w:p>
        </w:tc>
        <w:tc>
          <w:tcPr>
            <w:tcW w:w="5480" w:type="dxa"/>
            <w:tcBorders>
              <w:tl2br w:val="nil"/>
              <w:tr2bl w:val="nil"/>
            </w:tcBorders>
            <w:vAlign w:val="center"/>
          </w:tcPr>
          <w:p>
            <w:pPr>
              <w:rPr>
                <w:rFonts w:ascii="宋体" w:hAnsi="宋体" w:eastAsia="宋体"/>
                <w:sz w:val="28"/>
                <w:szCs w:val="28"/>
              </w:rPr>
            </w:pPr>
            <w:r>
              <w:rPr>
                <w:rFonts w:ascii="宋体" w:hAnsi="宋体" w:eastAsia="Calibri" w:cs="宋体"/>
                <w:color w:val="000000"/>
              </w:rPr>
              <w:t>电石渣仓设</w:t>
            </w:r>
            <w:r>
              <w:rPr>
                <w:rFonts w:hint="eastAsia" w:ascii="宋体" w:hAnsi="宋体" w:eastAsia="宋体" w:cs="宋体"/>
                <w:color w:val="000000"/>
                <w:lang w:val="en-US" w:eastAsia="zh-CN"/>
              </w:rPr>
              <w:t>8个</w:t>
            </w:r>
            <w:r>
              <w:rPr>
                <w:rFonts w:ascii="宋体" w:hAnsi="宋体" w:eastAsia="Calibri" w:cs="宋体"/>
                <w:color w:val="000000"/>
              </w:rPr>
              <w:t>袋式除尘器/石灰石库配置</w:t>
            </w:r>
            <w:r>
              <w:rPr>
                <w:rFonts w:hint="eastAsia" w:ascii="宋体" w:hAnsi="宋体" w:eastAsia="宋体" w:cs="宋体"/>
                <w:color w:val="000000"/>
                <w:lang w:val="en-US" w:eastAsia="zh-CN"/>
              </w:rPr>
              <w:t>1个</w:t>
            </w:r>
            <w:r>
              <w:rPr>
                <w:rFonts w:ascii="宋体" w:hAnsi="宋体" w:eastAsia="Calibri" w:cs="宋体"/>
                <w:color w:val="000000"/>
              </w:rPr>
              <w:t>除尘装置。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灰渣治理</w:t>
            </w:r>
          </w:p>
        </w:tc>
        <w:tc>
          <w:tcPr>
            <w:tcW w:w="5480" w:type="dxa"/>
            <w:tcBorders>
              <w:tl2br w:val="nil"/>
              <w:tr2bl w:val="nil"/>
            </w:tcBorders>
            <w:vAlign w:val="center"/>
          </w:tcPr>
          <w:p>
            <w:pPr>
              <w:rPr>
                <w:rFonts w:ascii="宋体" w:hAnsi="宋体" w:eastAsia="宋体"/>
                <w:sz w:val="28"/>
                <w:szCs w:val="28"/>
              </w:rPr>
            </w:pPr>
            <w:r>
              <w:rPr>
                <w:rFonts w:hint="eastAsia" w:ascii="宋体" w:hAnsi="宋体" w:eastAsia="宋体" w:cs="宋体"/>
                <w:color w:val="000000"/>
              </w:rPr>
              <w:t>设有3</w:t>
            </w:r>
            <w:r>
              <w:rPr>
                <w:rFonts w:hint="eastAsia" w:ascii="宋体" w:hAnsi="宋体" w:eastAsia="宋体" w:cs="宋体"/>
                <w:color w:val="000000" w:themeColor="text1"/>
              </w:rPr>
              <w:t>座500m</w:t>
            </w:r>
            <w:r>
              <w:rPr>
                <w:rFonts w:hint="eastAsia" w:ascii="宋体" w:hAnsi="宋体" w:eastAsia="宋体" w:cs="宋体"/>
                <w:color w:val="000000" w:themeColor="text1"/>
                <w:vertAlign w:val="superscript"/>
                <w:lang w:val="en-US" w:eastAsia="zh-CN"/>
              </w:rPr>
              <w:t>3</w:t>
            </w:r>
            <w:r>
              <w:rPr>
                <w:rFonts w:hint="eastAsia" w:ascii="宋体" w:hAnsi="宋体" w:eastAsia="宋体" w:cs="宋体"/>
                <w:color w:val="000000" w:themeColor="text1"/>
              </w:rPr>
              <w:t>灰库和2座50m</w:t>
            </w:r>
            <w:r>
              <w:rPr>
                <w:rFonts w:hint="eastAsia" w:ascii="宋体" w:hAnsi="宋体" w:eastAsia="宋体" w:cs="宋体"/>
                <w:color w:val="000000" w:themeColor="text1"/>
                <w:vertAlign w:val="superscript"/>
                <w:lang w:val="en-US" w:eastAsia="zh-CN"/>
              </w:rPr>
              <w:t>3</w:t>
            </w:r>
            <w:r>
              <w:rPr>
                <w:rFonts w:ascii="宋体" w:hAnsi="宋体" w:eastAsia="Calibri" w:cs="宋体"/>
                <w:color w:val="000000"/>
              </w:rPr>
              <w:t>渣仓，灰库配置布</w:t>
            </w:r>
            <w:r>
              <w:rPr>
                <w:rFonts w:hint="eastAsia" w:ascii="宋体" w:hAnsi="宋体" w:eastAsia="宋体" w:cs="宋体"/>
                <w:color w:val="000000"/>
                <w:lang w:val="en-US" w:eastAsia="zh-CN"/>
              </w:rPr>
              <w:t>3个</w:t>
            </w:r>
            <w:r>
              <w:rPr>
                <w:rFonts w:ascii="宋体" w:hAnsi="宋体" w:eastAsia="Calibri" w:cs="宋体"/>
                <w:color w:val="000000"/>
              </w:rPr>
              <w:t>袋除尘器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灰场</w:t>
            </w:r>
          </w:p>
        </w:tc>
        <w:tc>
          <w:tcPr>
            <w:tcW w:w="5480" w:type="dxa"/>
            <w:tcBorders>
              <w:tl2br w:val="nil"/>
              <w:tr2bl w:val="nil"/>
            </w:tcBorders>
            <w:vAlign w:val="center"/>
          </w:tcPr>
          <w:p>
            <w:r>
              <w:rPr>
                <w:rFonts w:hint="eastAsia"/>
              </w:rPr>
              <w:t>委托处置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烟气除尘工程</w:t>
            </w:r>
          </w:p>
        </w:tc>
        <w:tc>
          <w:tcPr>
            <w:tcW w:w="5480" w:type="dxa"/>
            <w:tcBorders>
              <w:tl2br w:val="nil"/>
              <w:tr2bl w:val="nil"/>
            </w:tcBorders>
            <w:vAlign w:val="center"/>
          </w:tcPr>
          <w:p>
            <w:pPr>
              <w:rPr>
                <w:rFonts w:hint="eastAsia"/>
              </w:rPr>
            </w:pPr>
            <w:r>
              <w:t>采用 16 仓 32 室布袋除尘</w:t>
            </w:r>
            <w:r>
              <w:rPr>
                <w:rFonts w:hint="eastAsia"/>
              </w:rPr>
              <w:t>。</w:t>
            </w:r>
            <w:r>
              <w:rPr>
                <w:rFonts w:hint="eastAsia"/>
                <w:color w:val="FF0000"/>
              </w:rPr>
              <w:t xml:space="preserve"> </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烟气脱硫工程</w:t>
            </w:r>
          </w:p>
        </w:tc>
        <w:tc>
          <w:tcPr>
            <w:tcW w:w="5480" w:type="dxa"/>
            <w:tcBorders>
              <w:tl2br w:val="nil"/>
              <w:tr2bl w:val="nil"/>
            </w:tcBorders>
            <w:vAlign w:val="center"/>
          </w:tcPr>
          <w:p>
            <w:r>
              <w:t>同步建设烟气脱硫装置，采用电石渣/石膏湿法脱硫工艺(3层喷淋)，不设置 GGH 及脱硫烟气旁路，脱硫系统</w:t>
            </w:r>
            <w:r>
              <w:rPr>
                <w:rFonts w:hint="eastAsia"/>
                <w:lang w:eastAsia="zh-CN"/>
              </w:rPr>
              <w:t>安装除雾器</w:t>
            </w:r>
            <w: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烟气脱硝工程</w:t>
            </w:r>
          </w:p>
        </w:tc>
        <w:tc>
          <w:tcPr>
            <w:tcW w:w="5480" w:type="dxa"/>
            <w:tcBorders>
              <w:tl2br w:val="nil"/>
              <w:tr2bl w:val="nil"/>
            </w:tcBorders>
            <w:vAlign w:val="center"/>
          </w:tcPr>
          <w:p>
            <w:pPr>
              <w:rPr>
                <w:rFonts w:hint="eastAsia" w:ascii="宋体" w:hAnsi="宋体" w:eastAsiaTheme="minorEastAsia"/>
                <w:sz w:val="28"/>
                <w:szCs w:val="28"/>
                <w:lang w:val="en-US" w:eastAsia="zh-CN"/>
              </w:rPr>
            </w:pPr>
            <w:r>
              <w:t>同步建设采用高效低氮燃烧技术，SCR 法脱硝</w:t>
            </w:r>
            <w:r>
              <w:rPr>
                <w:rFonts w:hint="eastAsia"/>
                <w:lang w:eastAsia="zh-CN"/>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废水循环处理装置</w:t>
            </w:r>
          </w:p>
        </w:tc>
        <w:tc>
          <w:tcPr>
            <w:tcW w:w="5480" w:type="dxa"/>
            <w:tcBorders>
              <w:tl2br w:val="nil"/>
              <w:tr2bl w:val="nil"/>
            </w:tcBorders>
            <w:vAlign w:val="center"/>
          </w:tcPr>
          <w:p>
            <w:r>
              <w:rPr>
                <w:rFonts w:hint="eastAsia"/>
              </w:rPr>
              <w:t>工业废水及生活污水分别经工业废水处理系统及生活污水处理系统处理后全部复用，正常工况无废污水排放。</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噪声治理</w:t>
            </w:r>
          </w:p>
        </w:tc>
        <w:tc>
          <w:tcPr>
            <w:tcW w:w="5480" w:type="dxa"/>
            <w:tcBorders>
              <w:tl2br w:val="nil"/>
              <w:tr2bl w:val="nil"/>
            </w:tcBorders>
            <w:vAlign w:val="center"/>
          </w:tcPr>
          <w:p>
            <w:pPr>
              <w:rPr>
                <w:rFonts w:ascii="宋体" w:hAnsi="宋体" w:eastAsia="宋体"/>
                <w:sz w:val="28"/>
                <w:szCs w:val="28"/>
              </w:rPr>
            </w:pPr>
            <w:r>
              <w:rPr>
                <w:rFonts w:ascii="宋体" w:hAnsi="宋体" w:eastAsia="Calibri" w:cs="宋体"/>
                <w:color w:val="000000"/>
              </w:rPr>
              <w:t>采取隔声罩、消音器、厂房隔声、绿化等措施</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防渗措施</w:t>
            </w:r>
          </w:p>
        </w:tc>
        <w:tc>
          <w:tcPr>
            <w:tcW w:w="5480" w:type="dxa"/>
            <w:tcBorders>
              <w:tl2br w:val="nil"/>
              <w:tr2bl w:val="nil"/>
            </w:tcBorders>
            <w:vAlign w:val="center"/>
          </w:tcPr>
          <w:p>
            <w:pPr>
              <w:rPr>
                <w:rFonts w:hint="eastAsia"/>
              </w:rPr>
            </w:pPr>
            <w:r>
              <w:t>厂区采取分区防渗措施，对集中废水的污水处理及贮存系统、液氨储罐围堰内地面及油罐区防油堤内地面均采用重点防渗处理；其他一般防渗区采用混凝土防渗，在混凝土面层(包括钢筋混凝土、钢纤维混凝土)中掺水泥基渗透结晶型防水剂，混凝土下铺砌砂石基层，原土夯实。</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贮运工程</w:t>
            </w: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原料运输</w:t>
            </w:r>
          </w:p>
        </w:tc>
        <w:tc>
          <w:tcPr>
            <w:tcW w:w="5480" w:type="dxa"/>
            <w:tcBorders>
              <w:tl2br w:val="nil"/>
              <w:tr2bl w:val="nil"/>
            </w:tcBorders>
            <w:vAlign w:val="center"/>
          </w:tcPr>
          <w:p>
            <w:pPr>
              <w:rPr>
                <w:rFonts w:hint="eastAsia" w:eastAsiaTheme="minorEastAsia"/>
                <w:lang w:val="en-US" w:eastAsia="zh-CN"/>
              </w:rPr>
            </w:pPr>
            <w:r>
              <w:rPr>
                <w:rFonts w:hint="eastAsia"/>
              </w:rPr>
              <w:t>燃煤拟由项目场址附近的准东煤田五彩湾矿区煤矿供应，运距约</w:t>
            </w:r>
            <w:r>
              <w:t xml:space="preserve"> 15km</w:t>
            </w:r>
            <w:r>
              <w:rPr>
                <w:rFonts w:hint="eastAsia"/>
              </w:rPr>
              <w:t>；用煤统一由园区汽车运输进入区内。脱硫剂：采用乙炔发生装置产生的电石渣做脱硫剂。脱硝剂：选择液氨做脱硝剂，由供应方送至动力站</w:t>
            </w:r>
            <w:r>
              <w:rPr>
                <w:rFonts w:hint="eastAsia"/>
                <w:lang w:eastAsia="zh-CN"/>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原料贮存</w:t>
            </w:r>
          </w:p>
        </w:tc>
        <w:tc>
          <w:tcPr>
            <w:tcW w:w="5480" w:type="dxa"/>
            <w:tcBorders>
              <w:tl2br w:val="nil"/>
              <w:tr2bl w:val="nil"/>
            </w:tcBorders>
            <w:vAlign w:val="center"/>
          </w:tcPr>
          <w:p>
            <w:pPr>
              <w:rPr>
                <w:rFonts w:hint="eastAsia" w:eastAsiaTheme="minorEastAsia"/>
                <w:lang w:eastAsia="zh-CN"/>
              </w:rPr>
            </w:pPr>
            <w:r>
              <w:t>根据工业园区总平面规划布置，煤场统一考虑设置在动力站</w:t>
            </w:r>
            <w:r>
              <w:rPr>
                <w:rFonts w:hint="eastAsia"/>
                <w:lang w:eastAsia="zh-CN"/>
              </w:rPr>
              <w:t>东北</w:t>
            </w:r>
            <w:r>
              <w:t>侧，动力站用煤</w:t>
            </w:r>
            <w:r>
              <w:rPr>
                <w:rFonts w:hint="eastAsia"/>
                <w:lang w:eastAsia="zh-CN"/>
              </w:rPr>
              <w:t>由煤场</w:t>
            </w:r>
            <w:r>
              <w:t>经输煤栈桥送至动力站</w:t>
            </w:r>
            <w:r>
              <w:rPr>
                <w:rFonts w:hint="eastAsia"/>
                <w:lang w:eastAsia="zh-CN"/>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71" w:hRule="atLeast"/>
        </w:trPr>
        <w:tc>
          <w:tcPr>
            <w:tcW w:w="125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公用工程</w:t>
            </w: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道路</w:t>
            </w:r>
          </w:p>
        </w:tc>
        <w:tc>
          <w:tcPr>
            <w:tcW w:w="5480" w:type="dxa"/>
            <w:tcBorders>
              <w:tl2br w:val="nil"/>
              <w:tr2bl w:val="nil"/>
            </w:tcBorders>
            <w:vAlign w:val="center"/>
          </w:tcPr>
          <w:p>
            <w:pPr>
              <w:rPr>
                <w:rFonts w:hint="eastAsia" w:eastAsiaTheme="minorEastAsia"/>
                <w:lang w:val="en-US" w:eastAsia="zh-CN"/>
              </w:rPr>
            </w:pPr>
            <w:r>
              <w:rPr>
                <w:rFonts w:hint="eastAsia"/>
              </w:rPr>
              <w:t>设有主次三个出入口，主出入口进出人流，次出入口为物流出入口：动力站设进站、运灰二个入口，各出入口道路直接与之相连</w:t>
            </w:r>
            <w:r>
              <w:rPr>
                <w:rFonts w:hint="eastAsia"/>
                <w:lang w:eastAsia="zh-CN"/>
              </w:rPr>
              <w:t>，厂区运煤道路约</w:t>
            </w:r>
            <w:r>
              <w:rPr>
                <w:rFonts w:hint="eastAsia"/>
                <w:lang w:val="en-US" w:eastAsia="zh-CN"/>
              </w:rPr>
              <w:t>1公里，厂区距北塔山煤矿约250公里，距天池能源南矿约35公里。</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0" w:hRule="atLeast"/>
        </w:trPr>
        <w:tc>
          <w:tcPr>
            <w:tcW w:w="1253" w:type="dxa"/>
            <w:vMerge w:val="continue"/>
            <w:tcBorders>
              <w:tl2br w:val="nil"/>
              <w:tr2bl w:val="nil"/>
            </w:tcBorders>
            <w:vAlign w:val="center"/>
          </w:tcPr>
          <w:p>
            <w:pPr>
              <w:jc w:val="center"/>
              <w:rPr>
                <w:rFonts w:hint="eastAsia"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rPr>
            </w:pPr>
            <w:r>
              <w:rPr>
                <w:rFonts w:hint="eastAsia"/>
                <w:lang w:eastAsia="zh-CN"/>
              </w:rPr>
              <w:t>检修厂房</w:t>
            </w:r>
          </w:p>
        </w:tc>
        <w:tc>
          <w:tcPr>
            <w:tcW w:w="5480" w:type="dxa"/>
            <w:tcBorders>
              <w:tl2br w:val="nil"/>
              <w:tr2bl w:val="nil"/>
            </w:tcBorders>
            <w:vAlign w:val="center"/>
          </w:tcPr>
          <w:p>
            <w:pPr>
              <w:rPr>
                <w:rFonts w:hint="eastAsia" w:eastAsiaTheme="minorEastAsia"/>
                <w:lang w:eastAsia="zh-CN"/>
              </w:rPr>
            </w:pPr>
            <w:r>
              <w:rPr>
                <w:rFonts w:hint="eastAsia"/>
                <w:lang w:eastAsia="zh-CN"/>
              </w:rPr>
              <w:t>建设一座检修厂房</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restart"/>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办公生活</w:t>
            </w: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办公楼</w:t>
            </w:r>
          </w:p>
        </w:tc>
        <w:tc>
          <w:tcPr>
            <w:tcW w:w="5480" w:type="dxa"/>
            <w:tcBorders>
              <w:tl2br w:val="nil"/>
              <w:tr2bl w:val="nil"/>
            </w:tcBorders>
            <w:vAlign w:val="center"/>
          </w:tcPr>
          <w:p>
            <w:pPr>
              <w:rPr>
                <w:rFonts w:hint="eastAsia"/>
              </w:rPr>
            </w:pPr>
            <w:r>
              <w:rPr>
                <w:rFonts w:hint="eastAsia"/>
              </w:rPr>
              <w:t>建设一座综合办公楼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53" w:type="dxa"/>
            <w:vMerge w:val="continue"/>
            <w:tcBorders>
              <w:tl2br w:val="nil"/>
              <w:tr2bl w:val="nil"/>
            </w:tcBorders>
            <w:vAlign w:val="center"/>
          </w:tcPr>
          <w:p>
            <w:pPr>
              <w:jc w:val="center"/>
              <w:rPr>
                <w:rFonts w:hint="eastAsia" w:ascii="宋体" w:hAnsi="宋体" w:eastAsia="宋体"/>
                <w:szCs w:val="21"/>
              </w:rPr>
            </w:pPr>
          </w:p>
        </w:tc>
        <w:tc>
          <w:tcPr>
            <w:tcW w:w="1789" w:type="dxa"/>
            <w:tcBorders>
              <w:tl2br w:val="nil"/>
              <w:tr2bl w:val="nil"/>
            </w:tcBorders>
            <w:vAlign w:val="center"/>
          </w:tcPr>
          <w:p>
            <w:pPr>
              <w:jc w:val="center"/>
              <w:rPr>
                <w:rFonts w:hint="eastAsia" w:ascii="宋体" w:hAnsi="宋体" w:eastAsia="宋体"/>
                <w:szCs w:val="21"/>
              </w:rPr>
            </w:pPr>
            <w:r>
              <w:rPr>
                <w:rFonts w:hint="eastAsia" w:ascii="宋体" w:hAnsi="宋体" w:eastAsia="宋体"/>
                <w:szCs w:val="21"/>
              </w:rPr>
              <w:t>生活设施</w:t>
            </w:r>
          </w:p>
        </w:tc>
        <w:tc>
          <w:tcPr>
            <w:tcW w:w="5480" w:type="dxa"/>
            <w:tcBorders>
              <w:tl2br w:val="nil"/>
              <w:tr2bl w:val="nil"/>
            </w:tcBorders>
            <w:vAlign w:val="center"/>
          </w:tcPr>
          <w:p>
            <w:pPr>
              <w:rPr>
                <w:rFonts w:hint="eastAsia"/>
              </w:rPr>
            </w:pPr>
            <w:r>
              <w:rPr>
                <w:rFonts w:hint="eastAsia"/>
              </w:rPr>
              <w:t>依托国泰新华自有工业园统一规划的生活设施</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b/>
          <w:bCs/>
          <w:sz w:val="24"/>
          <w:szCs w:val="24"/>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b/>
          <w:bCs/>
          <w:sz w:val="24"/>
          <w:szCs w:val="24"/>
          <w:lang w:eastAsia="zh-CN"/>
        </w:rPr>
      </w:pPr>
      <w:r>
        <w:rPr>
          <w:rFonts w:hint="eastAsia"/>
          <w:b/>
          <w:bCs/>
          <w:sz w:val="24"/>
          <w:szCs w:val="24"/>
          <w:lang w:eastAsia="zh-CN"/>
        </w:rPr>
        <w:t>表</w:t>
      </w:r>
      <w:r>
        <w:rPr>
          <w:rFonts w:hint="eastAsia"/>
          <w:b/>
          <w:bCs/>
          <w:sz w:val="24"/>
          <w:szCs w:val="24"/>
          <w:lang w:val="en-US" w:eastAsia="zh-CN"/>
        </w:rPr>
        <w:t xml:space="preserve">3-2  </w:t>
      </w:r>
      <w:r>
        <w:rPr>
          <w:rFonts w:hint="eastAsia"/>
          <w:b/>
          <w:bCs/>
          <w:sz w:val="24"/>
          <w:szCs w:val="24"/>
          <w:lang w:eastAsia="zh-CN"/>
        </w:rPr>
        <w:t>项目备案与实际情况比对一览表</w:t>
      </w:r>
    </w:p>
    <w:tbl>
      <w:tblPr>
        <w:tblStyle w:val="11"/>
        <w:tblW w:w="1421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0"/>
        <w:gridCol w:w="1305"/>
        <w:gridCol w:w="1368"/>
        <w:gridCol w:w="417"/>
        <w:gridCol w:w="4469"/>
        <w:gridCol w:w="4561"/>
        <w:gridCol w:w="15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25" w:hRule="atLeast"/>
          <w:tblHeader/>
          <w:jc w:val="center"/>
        </w:trPr>
        <w:tc>
          <w:tcPr>
            <w:tcW w:w="3173" w:type="dxa"/>
            <w:gridSpan w:val="3"/>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color w:val="000000" w:themeColor="text1"/>
                <w:sz w:val="21"/>
                <w:szCs w:val="21"/>
              </w:rPr>
            </w:pPr>
            <w:r>
              <w:rPr>
                <w:color w:val="000000" w:themeColor="text1"/>
                <w:sz w:val="21"/>
                <w:szCs w:val="21"/>
              </w:rPr>
              <w:t>项        目</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单 位</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环评</w:t>
            </w:r>
            <w:r>
              <w:rPr>
                <w:color w:val="000000" w:themeColor="text1"/>
                <w:sz w:val="21"/>
                <w:szCs w:val="21"/>
              </w:rPr>
              <w:t>资料</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实际情况</w:t>
            </w: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变更情况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5" w:hRule="atLeast"/>
          <w:jc w:val="center"/>
        </w:trPr>
        <w:tc>
          <w:tcPr>
            <w:tcW w:w="1805" w:type="dxa"/>
            <w:gridSpan w:val="2"/>
            <w:vAlign w:val="center"/>
          </w:tcPr>
          <w:p>
            <w:pPr>
              <w:pStyle w:val="2"/>
              <w:adjustRightInd w:val="0"/>
              <w:spacing w:line="240" w:lineRule="exact"/>
              <w:jc w:val="center"/>
              <w:rPr>
                <w:color w:val="000000" w:themeColor="text1"/>
                <w:sz w:val="21"/>
                <w:szCs w:val="21"/>
              </w:rPr>
            </w:pPr>
            <w:r>
              <w:rPr>
                <w:color w:val="000000" w:themeColor="text1"/>
                <w:sz w:val="21"/>
                <w:szCs w:val="21"/>
              </w:rPr>
              <w:t>出力及开始</w:t>
            </w:r>
          </w:p>
          <w:p>
            <w:pPr>
              <w:pStyle w:val="2"/>
              <w:adjustRightInd w:val="0"/>
              <w:spacing w:line="240" w:lineRule="exact"/>
              <w:jc w:val="center"/>
              <w:rPr>
                <w:color w:val="000000" w:themeColor="text1"/>
                <w:sz w:val="21"/>
                <w:szCs w:val="21"/>
              </w:rPr>
            </w:pPr>
            <w:r>
              <w:rPr>
                <w:color w:val="000000" w:themeColor="text1"/>
                <w:sz w:val="21"/>
                <w:szCs w:val="21"/>
              </w:rPr>
              <w:t>运行时间</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出 力</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MW</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810"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锅    炉</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both"/>
              <w:rPr>
                <w:rFonts w:hint="eastAsia"/>
                <w:color w:val="000000" w:themeColor="text1"/>
                <w:sz w:val="21"/>
                <w:szCs w:val="21"/>
              </w:rPr>
            </w:pPr>
            <w:r>
              <w:rPr>
                <w:color w:val="000000" w:themeColor="text1"/>
                <w:sz w:val="21"/>
                <w:szCs w:val="21"/>
              </w:rPr>
              <w:t>2×1200t/h 超临界，紧身封闭布置、单炉膛、一次中间再热、平衡通风、固态排渣、全钢构架、悬吊结构、三分仓回转式空气预热器。</w:t>
            </w:r>
          </w:p>
        </w:tc>
        <w:tc>
          <w:tcPr>
            <w:tcW w:w="4561" w:type="dxa"/>
            <w:tcBorders>
              <w:right w:val="single" w:color="auto" w:sz="4" w:space="0"/>
            </w:tcBorders>
            <w:vAlign w:val="center"/>
          </w:tcPr>
          <w:p>
            <w:pPr>
              <w:pStyle w:val="2"/>
              <w:adjustRightInd w:val="0"/>
              <w:spacing w:line="240" w:lineRule="exact"/>
              <w:jc w:val="both"/>
              <w:rPr>
                <w:color w:val="000000" w:themeColor="text1"/>
                <w:sz w:val="21"/>
                <w:szCs w:val="21"/>
              </w:rPr>
            </w:pPr>
            <w:r>
              <w:rPr>
                <w:color w:val="000000" w:themeColor="text1"/>
                <w:sz w:val="21"/>
                <w:szCs w:val="21"/>
              </w:rPr>
              <w:t>2×1</w:t>
            </w:r>
            <w:r>
              <w:rPr>
                <w:rFonts w:hint="eastAsia"/>
                <w:color w:val="000000" w:themeColor="text1"/>
                <w:sz w:val="21"/>
                <w:szCs w:val="21"/>
                <w:lang w:val="en-US" w:eastAsia="zh-CN"/>
              </w:rPr>
              <w:t>19</w:t>
            </w:r>
            <w:r>
              <w:rPr>
                <w:color w:val="000000" w:themeColor="text1"/>
                <w:sz w:val="21"/>
                <w:szCs w:val="21"/>
              </w:rPr>
              <w:t>0t/h 超临界</w:t>
            </w:r>
            <w:r>
              <w:rPr>
                <w:rFonts w:hint="eastAsia"/>
                <w:color w:val="000000" w:themeColor="text1"/>
                <w:sz w:val="21"/>
                <w:szCs w:val="21"/>
              </w:rPr>
              <w:t>DG1190/25.4-Ⅱ6</w:t>
            </w:r>
            <w:r>
              <w:rPr>
                <w:color w:val="000000" w:themeColor="text1"/>
                <w:sz w:val="21"/>
                <w:szCs w:val="21"/>
              </w:rPr>
              <w:t>，紧身封闭布置、单炉膛、一次中间再热、平衡通风、固态排渣、全钢构架、悬吊结构、三分仓回转式空气预热器。</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基本一致，锅炉比环评小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73"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蒸发量</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t/h</w:t>
            </w:r>
          </w:p>
        </w:tc>
        <w:tc>
          <w:tcPr>
            <w:tcW w:w="4469" w:type="dxa"/>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lang w:val="en-US" w:eastAsia="zh-CN"/>
              </w:rPr>
              <w:t>2</w:t>
            </w:r>
            <w:r>
              <w:rPr>
                <w:color w:val="000000" w:themeColor="text1"/>
                <w:sz w:val="21"/>
                <w:szCs w:val="21"/>
              </w:rPr>
              <w:t>×</w:t>
            </w:r>
            <w:r>
              <w:rPr>
                <w:rFonts w:hint="eastAsia"/>
                <w:color w:val="000000" w:themeColor="text1"/>
                <w:sz w:val="21"/>
                <w:szCs w:val="21"/>
                <w:lang w:val="en-GB"/>
              </w:rPr>
              <w:t>12</w:t>
            </w:r>
            <w:r>
              <w:rPr>
                <w:rFonts w:hint="eastAsia"/>
                <w:color w:val="000000" w:themeColor="text1"/>
                <w:sz w:val="21"/>
                <w:szCs w:val="21"/>
                <w:lang w:val="en-US" w:eastAsia="zh-CN"/>
              </w:rPr>
              <w:t>00</w:t>
            </w:r>
          </w:p>
        </w:tc>
        <w:tc>
          <w:tcPr>
            <w:tcW w:w="4561" w:type="dxa"/>
            <w:tcBorders>
              <w:right w:val="single" w:color="auto" w:sz="4" w:space="0"/>
            </w:tcBorders>
            <w:vAlign w:val="center"/>
          </w:tcPr>
          <w:p>
            <w:pPr>
              <w:pStyle w:val="2"/>
              <w:adjustRightInd w:val="0"/>
              <w:spacing w:line="240" w:lineRule="exact"/>
              <w:jc w:val="center"/>
              <w:rPr>
                <w:rFonts w:hint="eastAsia"/>
                <w:color w:val="000000" w:themeColor="text1"/>
                <w:sz w:val="21"/>
                <w:szCs w:val="21"/>
                <w:lang w:val="en-US"/>
              </w:rPr>
            </w:pPr>
            <w:r>
              <w:rPr>
                <w:rFonts w:hint="eastAsia"/>
                <w:color w:val="000000" w:themeColor="text1"/>
                <w:sz w:val="21"/>
                <w:szCs w:val="21"/>
                <w:lang w:val="en-US" w:eastAsia="zh-CN"/>
              </w:rPr>
              <w:t>2</w:t>
            </w:r>
            <w:r>
              <w:rPr>
                <w:color w:val="000000" w:themeColor="text1"/>
                <w:sz w:val="21"/>
                <w:szCs w:val="21"/>
              </w:rPr>
              <w:t>×</w:t>
            </w:r>
            <w:r>
              <w:rPr>
                <w:rFonts w:hint="eastAsia"/>
                <w:color w:val="000000" w:themeColor="text1"/>
                <w:sz w:val="21"/>
                <w:szCs w:val="21"/>
                <w:lang w:val="en-GB"/>
              </w:rPr>
              <w:t>1</w:t>
            </w:r>
            <w:r>
              <w:rPr>
                <w:rFonts w:hint="eastAsia"/>
                <w:color w:val="000000" w:themeColor="text1"/>
                <w:sz w:val="21"/>
                <w:szCs w:val="21"/>
                <w:lang w:val="en-US" w:eastAsia="zh-CN"/>
              </w:rPr>
              <w:t>190</w:t>
            </w:r>
          </w:p>
        </w:tc>
        <w:tc>
          <w:tcPr>
            <w:tcW w:w="1598" w:type="dxa"/>
            <w:tcBorders>
              <w:lef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eastAsia="zh-CN"/>
              </w:rPr>
              <w:t>基本一致，锅炉比环评小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29"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汽    机</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both"/>
              <w:rPr>
                <w:color w:val="000000" w:themeColor="text1"/>
                <w:sz w:val="21"/>
                <w:szCs w:val="21"/>
              </w:rPr>
            </w:pPr>
            <w:r>
              <w:rPr>
                <w:color w:val="000000" w:themeColor="text1"/>
                <w:sz w:val="21"/>
                <w:szCs w:val="21"/>
              </w:rPr>
              <w:t>2×350MW超临界、一次中间再热、单轴、双缸双排汽，间接空冷凝汽式汽轮机。</w:t>
            </w:r>
          </w:p>
        </w:tc>
        <w:tc>
          <w:tcPr>
            <w:tcW w:w="4561" w:type="dxa"/>
            <w:tcBorders>
              <w:right w:val="single" w:color="auto" w:sz="4" w:space="0"/>
            </w:tcBorders>
            <w:vAlign w:val="center"/>
          </w:tcPr>
          <w:p>
            <w:pPr>
              <w:pStyle w:val="2"/>
              <w:adjustRightInd w:val="0"/>
              <w:spacing w:line="240" w:lineRule="exact"/>
              <w:jc w:val="both"/>
              <w:rPr>
                <w:color w:val="000000" w:themeColor="text1"/>
                <w:sz w:val="21"/>
                <w:szCs w:val="21"/>
              </w:rPr>
            </w:pPr>
            <w:r>
              <w:rPr>
                <w:color w:val="000000" w:themeColor="text1"/>
                <w:sz w:val="21"/>
                <w:szCs w:val="21"/>
              </w:rPr>
              <w:t>2×350MW超临界、一次中间再热、单轴、双缸双排汽，间接空冷</w:t>
            </w:r>
            <w:r>
              <w:rPr>
                <w:rFonts w:hint="eastAsia"/>
                <w:color w:val="000000" w:themeColor="text1"/>
                <w:sz w:val="21"/>
                <w:szCs w:val="21"/>
                <w:lang w:eastAsia="zh-CN"/>
              </w:rPr>
              <w:t>抽气</w:t>
            </w:r>
            <w:r>
              <w:rPr>
                <w:color w:val="000000" w:themeColor="text1"/>
                <w:sz w:val="21"/>
                <w:szCs w:val="21"/>
              </w:rPr>
              <w:t>凝汽式汽轮机。</w:t>
            </w:r>
          </w:p>
        </w:tc>
        <w:tc>
          <w:tcPr>
            <w:tcW w:w="1598" w:type="dxa"/>
            <w:tcBorders>
              <w:left w:val="single" w:color="auto" w:sz="4" w:space="0"/>
            </w:tcBorders>
            <w:vAlign w:val="center"/>
          </w:tcPr>
          <w:p>
            <w:pPr>
              <w:pStyle w:val="2"/>
              <w:adjustRightInd w:val="0"/>
              <w:spacing w:line="240" w:lineRule="exact"/>
              <w:jc w:val="center"/>
              <w:rPr>
                <w:snapToGrid w:val="0"/>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出 力</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MW</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发 电 机</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adjustRightInd w:val="0"/>
              <w:spacing w:line="320" w:lineRule="exact"/>
              <w:jc w:val="both"/>
              <w:rPr>
                <w:color w:val="000000" w:themeColor="text1"/>
                <w:sz w:val="21"/>
                <w:szCs w:val="21"/>
              </w:rPr>
            </w:pPr>
            <w:r>
              <w:rPr>
                <w:color w:val="000000" w:themeColor="text1"/>
                <w:sz w:val="21"/>
                <w:szCs w:val="21"/>
              </w:rPr>
              <w:t>2×350MW三相两极同步发电机，采用水氢氢冷却方式，励磁方式采用自并励静止励磁系统。</w:t>
            </w:r>
          </w:p>
        </w:tc>
        <w:tc>
          <w:tcPr>
            <w:tcW w:w="4561" w:type="dxa"/>
            <w:tcBorders>
              <w:right w:val="single" w:color="auto" w:sz="4" w:space="0"/>
            </w:tcBorders>
            <w:vAlign w:val="center"/>
          </w:tcPr>
          <w:p>
            <w:pPr>
              <w:adjustRightInd w:val="0"/>
              <w:spacing w:line="320" w:lineRule="exact"/>
              <w:jc w:val="center"/>
              <w:rPr>
                <w:color w:val="000000" w:themeColor="text1"/>
                <w:sz w:val="21"/>
                <w:szCs w:val="21"/>
              </w:rPr>
            </w:pPr>
            <w:r>
              <w:rPr>
                <w:color w:val="000000" w:themeColor="text1"/>
                <w:sz w:val="21"/>
                <w:szCs w:val="21"/>
              </w:rPr>
              <w:t>2×350MW三相两极同步发电机，采用水氢氢冷却方式，励磁方式采用自并励静止励磁系统。</w:t>
            </w:r>
          </w:p>
        </w:tc>
        <w:tc>
          <w:tcPr>
            <w:tcW w:w="1598" w:type="dxa"/>
            <w:tcBorders>
              <w:left w:val="single" w:color="auto" w:sz="4" w:space="0"/>
            </w:tcBorders>
            <w:vAlign w:val="center"/>
          </w:tcPr>
          <w:p>
            <w:pPr>
              <w:adjustRightInd w:val="0"/>
              <w:spacing w:line="320" w:lineRule="exact"/>
              <w:jc w:val="center"/>
              <w:rPr>
                <w:rFonts w:hAnsi="宋体"/>
                <w:snapToGrid w:val="0"/>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容 量</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MW</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val="en-US" w:eastAsia="zh-CN"/>
              </w:rPr>
              <w:t>2</w:t>
            </w:r>
            <w:r>
              <w:rPr>
                <w:color w:val="000000" w:themeColor="text1"/>
                <w:sz w:val="21"/>
                <w:szCs w:val="21"/>
              </w:rPr>
              <w:t>×3</w:t>
            </w:r>
            <w:r>
              <w:rPr>
                <w:rFonts w:hint="eastAsia"/>
                <w:color w:val="000000" w:themeColor="text1"/>
                <w:sz w:val="21"/>
                <w:szCs w:val="21"/>
              </w:rPr>
              <w:t>5</w:t>
            </w:r>
            <w:r>
              <w:rPr>
                <w:color w:val="000000" w:themeColor="text1"/>
                <w:sz w:val="21"/>
                <w:szCs w:val="21"/>
              </w:rPr>
              <w:t>0</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500"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烟气治理设备</w:t>
            </w:r>
          </w:p>
        </w:tc>
        <w:tc>
          <w:tcPr>
            <w:tcW w:w="1305"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烟气脱</w:t>
            </w:r>
          </w:p>
          <w:p>
            <w:pPr>
              <w:pStyle w:val="2"/>
              <w:adjustRightInd w:val="0"/>
              <w:spacing w:line="240" w:lineRule="exact"/>
              <w:jc w:val="center"/>
              <w:rPr>
                <w:color w:val="000000" w:themeColor="text1"/>
                <w:sz w:val="21"/>
                <w:szCs w:val="21"/>
              </w:rPr>
            </w:pPr>
            <w:r>
              <w:rPr>
                <w:color w:val="000000" w:themeColor="text1"/>
                <w:sz w:val="21"/>
                <w:szCs w:val="21"/>
              </w:rPr>
              <w:t>硫装置</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lang w:eastAsia="zh-CN"/>
              </w:rPr>
              <w:t>电石渣（兼石灰石）</w:t>
            </w:r>
            <w:r>
              <w:rPr>
                <w:rFonts w:hint="eastAsia"/>
                <w:color w:val="000000" w:themeColor="text1"/>
                <w:sz w:val="21"/>
                <w:szCs w:val="21"/>
                <w:lang w:val="en-US" w:eastAsia="zh-CN"/>
              </w:rPr>
              <w:t>-石膏法脱硫</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电石渣（兼石灰石）</w:t>
            </w:r>
            <w:r>
              <w:rPr>
                <w:rFonts w:hint="eastAsia"/>
                <w:color w:val="000000" w:themeColor="text1"/>
                <w:sz w:val="21"/>
                <w:szCs w:val="21"/>
                <w:lang w:val="en-US" w:eastAsia="zh-CN"/>
              </w:rPr>
              <w:t>-石膏法脱硫</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35"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脱除效率</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rPr>
              <w:t>≥</w:t>
            </w:r>
            <w:r>
              <w:rPr>
                <w:color w:val="000000" w:themeColor="text1"/>
                <w:sz w:val="21"/>
                <w:szCs w:val="21"/>
              </w:rPr>
              <w:t>9</w:t>
            </w:r>
            <w:r>
              <w:rPr>
                <w:rFonts w:hint="eastAsia"/>
                <w:color w:val="000000" w:themeColor="text1"/>
                <w:sz w:val="21"/>
                <w:szCs w:val="21"/>
                <w:lang w:val="en-US" w:eastAsia="zh-CN"/>
              </w:rPr>
              <w:t>5</w:t>
            </w:r>
          </w:p>
        </w:tc>
        <w:tc>
          <w:tcPr>
            <w:tcW w:w="4561" w:type="dxa"/>
            <w:tcBorders>
              <w:righ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rPr>
              <w:t>≥</w:t>
            </w:r>
            <w:r>
              <w:rPr>
                <w:rFonts w:hint="eastAsia"/>
                <w:color w:val="000000" w:themeColor="text1"/>
                <w:sz w:val="21"/>
                <w:szCs w:val="21"/>
                <w:lang w:val="en-US" w:eastAsia="zh-CN"/>
              </w:rPr>
              <w:t>81</w:t>
            </w:r>
          </w:p>
        </w:tc>
        <w:tc>
          <w:tcPr>
            <w:tcW w:w="1598" w:type="dxa"/>
            <w:tcBorders>
              <w:lef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烟气除</w:t>
            </w:r>
          </w:p>
          <w:p>
            <w:pPr>
              <w:pStyle w:val="2"/>
              <w:adjustRightInd w:val="0"/>
              <w:spacing w:line="240" w:lineRule="exact"/>
              <w:jc w:val="center"/>
              <w:rPr>
                <w:color w:val="000000" w:themeColor="text1"/>
                <w:sz w:val="21"/>
                <w:szCs w:val="21"/>
              </w:rPr>
            </w:pPr>
            <w:r>
              <w:rPr>
                <w:color w:val="000000" w:themeColor="text1"/>
                <w:sz w:val="21"/>
                <w:szCs w:val="21"/>
              </w:rPr>
              <w:t>尘装置</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both"/>
              <w:rPr>
                <w:color w:val="000000" w:themeColor="text1"/>
                <w:sz w:val="21"/>
                <w:szCs w:val="21"/>
              </w:rPr>
            </w:pPr>
            <w:r>
              <w:rPr>
                <w:rFonts w:hint="eastAsia"/>
                <w:color w:val="000000" w:themeColor="text1"/>
                <w:sz w:val="21"/>
                <w:szCs w:val="21"/>
                <w:lang w:eastAsia="zh-CN"/>
              </w:rPr>
              <w:t>每台锅炉</w:t>
            </w:r>
            <w:r>
              <w:rPr>
                <w:color w:val="000000" w:themeColor="text1"/>
                <w:sz w:val="21"/>
                <w:szCs w:val="21"/>
              </w:rPr>
              <w:t>采用</w:t>
            </w:r>
            <w:r>
              <w:rPr>
                <w:rFonts w:hint="eastAsia"/>
                <w:color w:val="000000" w:themeColor="text1"/>
                <w:sz w:val="21"/>
                <w:szCs w:val="21"/>
                <w:lang w:val="en-US" w:eastAsia="zh-CN"/>
              </w:rPr>
              <w:t>2台</w:t>
            </w:r>
            <w:r>
              <w:rPr>
                <w:color w:val="000000" w:themeColor="text1"/>
                <w:sz w:val="21"/>
                <w:szCs w:val="21"/>
              </w:rPr>
              <w:t xml:space="preserve"> </w:t>
            </w:r>
            <w:r>
              <w:rPr>
                <w:rFonts w:hint="eastAsia"/>
                <w:color w:val="000000" w:themeColor="text1"/>
                <w:sz w:val="21"/>
                <w:szCs w:val="21"/>
                <w:lang w:val="en-US" w:eastAsia="zh-CN"/>
              </w:rPr>
              <w:t>8</w:t>
            </w:r>
            <w:r>
              <w:rPr>
                <w:color w:val="000000" w:themeColor="text1"/>
                <w:sz w:val="21"/>
                <w:szCs w:val="21"/>
              </w:rPr>
              <w:t xml:space="preserve"> 仓 </w:t>
            </w:r>
            <w:r>
              <w:rPr>
                <w:rFonts w:hint="eastAsia"/>
                <w:color w:val="000000" w:themeColor="text1"/>
                <w:sz w:val="21"/>
                <w:szCs w:val="21"/>
                <w:lang w:val="en-US" w:eastAsia="zh-CN"/>
              </w:rPr>
              <w:t>16</w:t>
            </w:r>
            <w:r>
              <w:rPr>
                <w:color w:val="000000" w:themeColor="text1"/>
                <w:sz w:val="21"/>
                <w:szCs w:val="21"/>
              </w:rPr>
              <w:t xml:space="preserve"> 室布袋除尘</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每台锅炉</w:t>
            </w:r>
            <w:r>
              <w:rPr>
                <w:color w:val="000000" w:themeColor="text1"/>
                <w:sz w:val="21"/>
                <w:szCs w:val="21"/>
              </w:rPr>
              <w:t>采用</w:t>
            </w:r>
            <w:r>
              <w:rPr>
                <w:rFonts w:hint="eastAsia"/>
                <w:color w:val="000000" w:themeColor="text1"/>
                <w:sz w:val="21"/>
                <w:szCs w:val="21"/>
                <w:lang w:val="en-US" w:eastAsia="zh-CN"/>
              </w:rPr>
              <w:t>2台</w:t>
            </w:r>
            <w:r>
              <w:rPr>
                <w:color w:val="000000" w:themeColor="text1"/>
                <w:sz w:val="21"/>
                <w:szCs w:val="21"/>
              </w:rPr>
              <w:t xml:space="preserve"> </w:t>
            </w:r>
            <w:r>
              <w:rPr>
                <w:rFonts w:hint="eastAsia"/>
                <w:color w:val="000000" w:themeColor="text1"/>
                <w:sz w:val="21"/>
                <w:szCs w:val="21"/>
                <w:lang w:val="en-US" w:eastAsia="zh-CN"/>
              </w:rPr>
              <w:t>8</w:t>
            </w:r>
            <w:r>
              <w:rPr>
                <w:color w:val="000000" w:themeColor="text1"/>
                <w:sz w:val="21"/>
                <w:szCs w:val="21"/>
              </w:rPr>
              <w:t xml:space="preserve"> 仓 </w:t>
            </w:r>
            <w:r>
              <w:rPr>
                <w:rFonts w:hint="eastAsia"/>
                <w:color w:val="000000" w:themeColor="text1"/>
                <w:sz w:val="21"/>
                <w:szCs w:val="21"/>
                <w:lang w:val="en-US" w:eastAsia="zh-CN"/>
              </w:rPr>
              <w:t>16</w:t>
            </w:r>
            <w:r>
              <w:rPr>
                <w:color w:val="000000" w:themeColor="text1"/>
                <w:sz w:val="21"/>
                <w:szCs w:val="21"/>
              </w:rPr>
              <w:t xml:space="preserve"> 室布袋除尘</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85"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eastAsia="zh-CN"/>
              </w:rPr>
              <w:t>除尘效率</w:t>
            </w:r>
          </w:p>
        </w:tc>
        <w:tc>
          <w:tcPr>
            <w:tcW w:w="417"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w:t>
            </w:r>
          </w:p>
        </w:tc>
        <w:tc>
          <w:tcPr>
            <w:tcW w:w="4469" w:type="dxa"/>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rPr>
              <w:t>≥</w:t>
            </w:r>
            <w:r>
              <w:rPr>
                <w:rFonts w:hint="eastAsia"/>
                <w:color w:val="000000" w:themeColor="text1"/>
                <w:sz w:val="21"/>
                <w:szCs w:val="21"/>
                <w:lang w:val="en-US" w:eastAsia="zh-CN"/>
              </w:rPr>
              <w:t>99.8</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lang w:val="en-US"/>
              </w:rPr>
            </w:pPr>
            <w:r>
              <w:rPr>
                <w:rFonts w:hint="eastAsia"/>
                <w:color w:val="000000" w:themeColor="text1"/>
                <w:sz w:val="21"/>
                <w:szCs w:val="21"/>
              </w:rPr>
              <w:t>≥</w:t>
            </w:r>
            <w:r>
              <w:rPr>
                <w:rFonts w:hint="eastAsia"/>
                <w:color w:val="000000" w:themeColor="text1"/>
                <w:sz w:val="21"/>
                <w:szCs w:val="21"/>
                <w:lang w:val="en-US" w:eastAsia="zh-CN"/>
              </w:rPr>
              <w:t>99.9</w:t>
            </w:r>
          </w:p>
        </w:tc>
        <w:tc>
          <w:tcPr>
            <w:tcW w:w="1598" w:type="dxa"/>
            <w:tcBorders>
              <w:lef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烟 囱</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型 式</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两台</w:t>
            </w:r>
            <w:r>
              <w:rPr>
                <w:color w:val="000000" w:themeColor="text1"/>
                <w:sz w:val="21"/>
                <w:szCs w:val="21"/>
              </w:rPr>
              <w:t>锅炉</w:t>
            </w:r>
            <w:r>
              <w:rPr>
                <w:rFonts w:hint="eastAsia"/>
                <w:color w:val="000000" w:themeColor="text1"/>
                <w:sz w:val="21"/>
                <w:szCs w:val="21"/>
              </w:rPr>
              <w:t>配套建设</w:t>
            </w:r>
            <w:r>
              <w:rPr>
                <w:color w:val="000000" w:themeColor="text1"/>
                <w:sz w:val="21"/>
                <w:szCs w:val="21"/>
              </w:rPr>
              <w:t>一座</w:t>
            </w:r>
            <w:r>
              <w:rPr>
                <w:snapToGrid w:val="0"/>
                <w:color w:val="000000" w:themeColor="text1"/>
                <w:kern w:val="0"/>
                <w:sz w:val="21"/>
                <w:szCs w:val="21"/>
              </w:rPr>
              <w:t>钢筋混凝土烟囱</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两台</w:t>
            </w:r>
            <w:r>
              <w:rPr>
                <w:color w:val="000000" w:themeColor="text1"/>
                <w:sz w:val="21"/>
                <w:szCs w:val="21"/>
              </w:rPr>
              <w:t>锅炉</w:t>
            </w:r>
            <w:r>
              <w:rPr>
                <w:rFonts w:hint="eastAsia"/>
                <w:color w:val="000000" w:themeColor="text1"/>
                <w:sz w:val="21"/>
                <w:szCs w:val="21"/>
              </w:rPr>
              <w:t>配套建设</w:t>
            </w:r>
            <w:r>
              <w:rPr>
                <w:color w:val="000000" w:themeColor="text1"/>
                <w:sz w:val="21"/>
                <w:szCs w:val="21"/>
              </w:rPr>
              <w:t>一座</w:t>
            </w:r>
            <w:r>
              <w:rPr>
                <w:snapToGrid w:val="0"/>
                <w:color w:val="000000" w:themeColor="text1"/>
                <w:kern w:val="0"/>
                <w:sz w:val="21"/>
                <w:szCs w:val="21"/>
              </w:rPr>
              <w:t>钢筋混凝土烟囱</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高 度</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m</w:t>
            </w:r>
          </w:p>
        </w:tc>
        <w:tc>
          <w:tcPr>
            <w:tcW w:w="4469" w:type="dxa"/>
            <w:vAlign w:val="center"/>
          </w:tcPr>
          <w:p>
            <w:pPr>
              <w:pStyle w:val="2"/>
              <w:adjustRightInd w:val="0"/>
              <w:spacing w:line="240" w:lineRule="exact"/>
              <w:jc w:val="center"/>
              <w:rPr>
                <w:color w:val="000000" w:themeColor="text1"/>
                <w:sz w:val="21"/>
                <w:szCs w:val="21"/>
              </w:rPr>
            </w:pPr>
            <w:r>
              <w:rPr>
                <w:color w:val="000000" w:themeColor="text1"/>
                <w:sz w:val="21"/>
                <w:szCs w:val="21"/>
              </w:rPr>
              <w:t>2</w:t>
            </w:r>
            <w:r>
              <w:rPr>
                <w:rFonts w:hint="eastAsia"/>
                <w:color w:val="000000" w:themeColor="text1"/>
                <w:sz w:val="21"/>
                <w:szCs w:val="21"/>
              </w:rPr>
              <w:t>1</w:t>
            </w:r>
            <w:r>
              <w:rPr>
                <w:color w:val="000000" w:themeColor="text1"/>
                <w:sz w:val="21"/>
                <w:szCs w:val="21"/>
              </w:rPr>
              <w:t>0</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color w:val="000000" w:themeColor="text1"/>
                <w:sz w:val="21"/>
                <w:szCs w:val="21"/>
              </w:rPr>
              <w:t>2</w:t>
            </w:r>
            <w:r>
              <w:rPr>
                <w:rFonts w:hint="eastAsia"/>
                <w:color w:val="000000" w:themeColor="text1"/>
                <w:sz w:val="21"/>
                <w:szCs w:val="21"/>
              </w:rPr>
              <w:t>1</w:t>
            </w:r>
            <w:r>
              <w:rPr>
                <w:color w:val="000000" w:themeColor="text1"/>
                <w:sz w:val="21"/>
                <w:szCs w:val="21"/>
              </w:rPr>
              <w:t>0</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85"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NO</w:t>
            </w:r>
            <w:r>
              <w:rPr>
                <w:rFonts w:hint="eastAsia"/>
                <w:color w:val="000000" w:themeColor="text1"/>
                <w:sz w:val="21"/>
                <w:szCs w:val="21"/>
                <w:vertAlign w:val="subscript"/>
                <w:lang w:val="en-US" w:eastAsia="zh-CN"/>
              </w:rPr>
              <w:t>x</w:t>
            </w:r>
            <w:r>
              <w:rPr>
                <w:color w:val="000000" w:themeColor="text1"/>
                <w:sz w:val="21"/>
                <w:szCs w:val="21"/>
              </w:rPr>
              <w:t>控制措施</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方 式</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color w:val="000000" w:themeColor="text1"/>
                <w:sz w:val="21"/>
                <w:szCs w:val="21"/>
              </w:rPr>
            </w:pPr>
            <w:r>
              <w:rPr>
                <w:color w:val="000000" w:themeColor="text1"/>
                <w:sz w:val="21"/>
                <w:szCs w:val="21"/>
              </w:rPr>
              <w:t>低氮燃烧技术</w:t>
            </w:r>
            <w:r>
              <w:rPr>
                <w:rFonts w:hint="eastAsia"/>
                <w:color w:val="000000" w:themeColor="text1"/>
                <w:sz w:val="21"/>
                <w:szCs w:val="21"/>
              </w:rPr>
              <w:t>+</w:t>
            </w:r>
            <w:r>
              <w:rPr>
                <w:color w:val="000000" w:themeColor="text1"/>
                <w:sz w:val="21"/>
                <w:szCs w:val="21"/>
              </w:rPr>
              <w:t>SCR脱硝</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color w:val="000000" w:themeColor="text1"/>
                <w:sz w:val="21"/>
                <w:szCs w:val="21"/>
              </w:rPr>
              <w:t>低氮燃烧技术</w:t>
            </w:r>
            <w:r>
              <w:rPr>
                <w:rFonts w:hint="eastAsia"/>
                <w:color w:val="000000" w:themeColor="text1"/>
                <w:sz w:val="21"/>
                <w:szCs w:val="21"/>
              </w:rPr>
              <w:t>+</w:t>
            </w:r>
            <w:r>
              <w:rPr>
                <w:color w:val="000000" w:themeColor="text1"/>
                <w:sz w:val="21"/>
                <w:szCs w:val="21"/>
              </w:rPr>
              <w:t>SCR脱硝</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Merge w:val="continue"/>
            <w:vAlign w:val="center"/>
          </w:tcPr>
          <w:p>
            <w:pPr>
              <w:pStyle w:val="2"/>
              <w:adjustRightInd w:val="0"/>
              <w:spacing w:line="240" w:lineRule="exact"/>
              <w:jc w:val="center"/>
              <w:rPr>
                <w:color w:val="000000" w:themeColor="text1"/>
                <w:sz w:val="21"/>
                <w:szCs w:val="21"/>
              </w:rPr>
            </w:pP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效 率</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w:t>
            </w:r>
            <w:r>
              <w:rPr>
                <w:color w:val="000000" w:themeColor="text1"/>
                <w:sz w:val="21"/>
                <w:szCs w:val="21"/>
              </w:rPr>
              <w:t>80</w:t>
            </w:r>
          </w:p>
        </w:tc>
        <w:tc>
          <w:tcPr>
            <w:tcW w:w="4561" w:type="dxa"/>
            <w:tcBorders>
              <w:righ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rPr>
              <w:t>≥</w:t>
            </w:r>
            <w:r>
              <w:rPr>
                <w:rFonts w:hint="eastAsia"/>
                <w:color w:val="000000" w:themeColor="text1"/>
                <w:sz w:val="21"/>
                <w:szCs w:val="21"/>
                <w:lang w:val="en-US" w:eastAsia="zh-CN"/>
              </w:rPr>
              <w:t>75</w:t>
            </w:r>
          </w:p>
        </w:tc>
        <w:tc>
          <w:tcPr>
            <w:tcW w:w="1598" w:type="dxa"/>
            <w:tcBorders>
              <w:lef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85" w:hRule="atLeast"/>
          <w:jc w:val="center"/>
        </w:trPr>
        <w:tc>
          <w:tcPr>
            <w:tcW w:w="500" w:type="dxa"/>
            <w:vMerge w:val="continue"/>
            <w:vAlign w:val="center"/>
          </w:tcPr>
          <w:p>
            <w:pPr>
              <w:pStyle w:val="2"/>
              <w:adjustRightInd w:val="0"/>
              <w:spacing w:line="240" w:lineRule="exact"/>
              <w:jc w:val="center"/>
              <w:rPr>
                <w:color w:val="000000" w:themeColor="text1"/>
                <w:sz w:val="21"/>
                <w:szCs w:val="21"/>
              </w:rPr>
            </w:pPr>
          </w:p>
        </w:tc>
        <w:tc>
          <w:tcPr>
            <w:tcW w:w="1305" w:type="dxa"/>
            <w:vAlign w:val="center"/>
          </w:tcPr>
          <w:p>
            <w:pPr>
              <w:adjustRightInd w:val="0"/>
              <w:spacing w:line="240" w:lineRule="exact"/>
              <w:jc w:val="center"/>
              <w:rPr>
                <w:color w:val="000000" w:themeColor="text1"/>
                <w:sz w:val="21"/>
                <w:szCs w:val="21"/>
              </w:rPr>
            </w:pPr>
            <w:r>
              <w:rPr>
                <w:rFonts w:hAnsi="宋体"/>
                <w:color w:val="000000" w:themeColor="text1"/>
                <w:sz w:val="21"/>
                <w:szCs w:val="21"/>
              </w:rPr>
              <w:t>汞去除措施</w:t>
            </w:r>
          </w:p>
        </w:tc>
        <w:tc>
          <w:tcPr>
            <w:tcW w:w="1368" w:type="dxa"/>
            <w:vAlign w:val="center"/>
          </w:tcPr>
          <w:p>
            <w:pPr>
              <w:adjustRightInd w:val="0"/>
              <w:spacing w:line="240" w:lineRule="exact"/>
              <w:jc w:val="center"/>
              <w:rPr>
                <w:color w:val="000000" w:themeColor="text1"/>
                <w:sz w:val="21"/>
                <w:szCs w:val="21"/>
              </w:rPr>
            </w:pPr>
            <w:r>
              <w:rPr>
                <w:rFonts w:hAnsi="宋体"/>
                <w:color w:val="000000" w:themeColor="text1"/>
                <w:sz w:val="21"/>
                <w:szCs w:val="21"/>
              </w:rPr>
              <w:t>方</w:t>
            </w:r>
            <w:r>
              <w:rPr>
                <w:color w:val="000000" w:themeColor="text1"/>
                <w:sz w:val="21"/>
                <w:szCs w:val="21"/>
              </w:rPr>
              <w:t xml:space="preserve">  </w:t>
            </w:r>
            <w:r>
              <w:rPr>
                <w:rFonts w:hAnsi="宋体"/>
                <w:color w:val="000000" w:themeColor="text1"/>
                <w:sz w:val="21"/>
                <w:szCs w:val="21"/>
              </w:rPr>
              <w:t>式</w:t>
            </w:r>
          </w:p>
        </w:tc>
        <w:tc>
          <w:tcPr>
            <w:tcW w:w="417" w:type="dxa"/>
            <w:vAlign w:val="center"/>
          </w:tcPr>
          <w:p>
            <w:pPr>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adjustRightInd w:val="0"/>
              <w:spacing w:line="240" w:lineRule="exact"/>
              <w:jc w:val="center"/>
              <w:rPr>
                <w:rFonts w:hint="eastAsia"/>
                <w:color w:val="000000" w:themeColor="text1"/>
                <w:sz w:val="21"/>
                <w:szCs w:val="21"/>
              </w:rPr>
            </w:pPr>
            <w:r>
              <w:rPr>
                <w:rFonts w:hint="eastAsia"/>
                <w:color w:val="000000" w:themeColor="text1"/>
                <w:sz w:val="21"/>
                <w:szCs w:val="21"/>
                <w:lang w:eastAsia="zh-CN"/>
              </w:rPr>
              <w:t>石膏法</w:t>
            </w:r>
            <w:r>
              <w:rPr>
                <w:rFonts w:hint="eastAsia"/>
                <w:color w:val="000000" w:themeColor="text1"/>
                <w:sz w:val="21"/>
                <w:szCs w:val="21"/>
              </w:rPr>
              <w:t>脱硫，除尘脱汞协同控制</w:t>
            </w:r>
          </w:p>
        </w:tc>
        <w:tc>
          <w:tcPr>
            <w:tcW w:w="4561" w:type="dxa"/>
            <w:tcBorders>
              <w:right w:val="single" w:color="auto" w:sz="4" w:space="0"/>
            </w:tcBorders>
            <w:vAlign w:val="center"/>
          </w:tcPr>
          <w:p>
            <w:pPr>
              <w:adjustRightInd w:val="0"/>
              <w:spacing w:line="240" w:lineRule="exact"/>
              <w:jc w:val="center"/>
              <w:rPr>
                <w:color w:val="000000" w:themeColor="text1"/>
                <w:sz w:val="21"/>
                <w:szCs w:val="21"/>
              </w:rPr>
            </w:pPr>
            <w:r>
              <w:rPr>
                <w:rFonts w:hint="eastAsia"/>
                <w:color w:val="000000" w:themeColor="text1"/>
                <w:sz w:val="21"/>
                <w:szCs w:val="21"/>
                <w:lang w:eastAsia="zh-CN"/>
              </w:rPr>
              <w:t>石膏法</w:t>
            </w:r>
            <w:r>
              <w:rPr>
                <w:rFonts w:hint="eastAsia"/>
                <w:color w:val="000000" w:themeColor="text1"/>
                <w:sz w:val="21"/>
                <w:szCs w:val="21"/>
              </w:rPr>
              <w:t>脱硫，除尘脱汞协同控制</w:t>
            </w:r>
          </w:p>
        </w:tc>
        <w:tc>
          <w:tcPr>
            <w:tcW w:w="1598" w:type="dxa"/>
            <w:tcBorders>
              <w:left w:val="single" w:color="auto" w:sz="4" w:space="0"/>
            </w:tcBorders>
            <w:vAlign w:val="center"/>
          </w:tcPr>
          <w:p>
            <w:pPr>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55" w:hRule="atLeast"/>
          <w:jc w:val="center"/>
        </w:trPr>
        <w:tc>
          <w:tcPr>
            <w:tcW w:w="1805" w:type="dxa"/>
            <w:gridSpan w:val="2"/>
            <w:vAlign w:val="center"/>
          </w:tcPr>
          <w:p>
            <w:pPr>
              <w:pStyle w:val="2"/>
              <w:adjustRightInd w:val="0"/>
              <w:spacing w:line="240" w:lineRule="exact"/>
              <w:jc w:val="center"/>
              <w:rPr>
                <w:color w:val="000000" w:themeColor="text1"/>
                <w:sz w:val="21"/>
                <w:szCs w:val="21"/>
              </w:rPr>
            </w:pPr>
            <w:r>
              <w:rPr>
                <w:color w:val="000000" w:themeColor="text1"/>
                <w:sz w:val="21"/>
                <w:szCs w:val="21"/>
              </w:rPr>
              <w:t>化水系统</w:t>
            </w:r>
          </w:p>
        </w:tc>
        <w:tc>
          <w:tcPr>
            <w:tcW w:w="1368" w:type="dxa"/>
            <w:vAlign w:val="center"/>
          </w:tcPr>
          <w:p>
            <w:pPr>
              <w:pStyle w:val="2"/>
              <w:adjustRightInd w:val="0"/>
              <w:spacing w:line="240" w:lineRule="exact"/>
              <w:jc w:val="center"/>
              <w:rPr>
                <w:color w:val="000000" w:themeColor="text1"/>
                <w:sz w:val="21"/>
                <w:szCs w:val="21"/>
              </w:rPr>
            </w:pPr>
            <w:r>
              <w:rPr>
                <w:color w:val="000000" w:themeColor="text1"/>
                <w:sz w:val="21"/>
                <w:szCs w:val="21"/>
              </w:rPr>
              <w:t>方式</w:t>
            </w:r>
          </w:p>
        </w:tc>
        <w:tc>
          <w:tcPr>
            <w:tcW w:w="417" w:type="dxa"/>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Align w:val="center"/>
          </w:tcPr>
          <w:p>
            <w:pPr>
              <w:pStyle w:val="2"/>
              <w:adjustRightInd w:val="0"/>
              <w:spacing w:line="240" w:lineRule="exact"/>
              <w:jc w:val="center"/>
              <w:rPr>
                <w:color w:val="000000" w:themeColor="text1"/>
                <w:sz w:val="21"/>
                <w:szCs w:val="21"/>
              </w:rPr>
            </w:pPr>
            <w:r>
              <w:rPr>
                <w:color w:val="000000" w:themeColor="text1"/>
                <w:sz w:val="21"/>
                <w:szCs w:val="21"/>
              </w:rPr>
              <w:t>超滤＋反渗透＋一级除盐＋</w:t>
            </w:r>
            <w:r>
              <w:rPr>
                <w:rFonts w:hint="eastAsia"/>
                <w:color w:val="000000" w:themeColor="text1"/>
                <w:sz w:val="21"/>
                <w:szCs w:val="21"/>
                <w:lang w:eastAsia="zh-CN"/>
              </w:rPr>
              <w:t>阴阳床</w:t>
            </w:r>
            <w:r>
              <w:rPr>
                <w:color w:val="000000" w:themeColor="text1"/>
                <w:sz w:val="21"/>
                <w:szCs w:val="21"/>
              </w:rPr>
              <w:t>＋混床系统</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color w:val="000000" w:themeColor="text1"/>
                <w:sz w:val="21"/>
                <w:szCs w:val="21"/>
              </w:rPr>
              <w:t>超滤＋反渗透＋一级除盐＋</w:t>
            </w:r>
            <w:r>
              <w:rPr>
                <w:rFonts w:hint="eastAsia"/>
                <w:color w:val="000000" w:themeColor="text1"/>
                <w:sz w:val="21"/>
                <w:szCs w:val="21"/>
                <w:lang w:eastAsia="zh-CN"/>
              </w:rPr>
              <w:t>阴阳床</w:t>
            </w:r>
            <w:r>
              <w:rPr>
                <w:color w:val="000000" w:themeColor="text1"/>
                <w:sz w:val="21"/>
                <w:szCs w:val="21"/>
              </w:rPr>
              <w:t>＋混床系统</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07"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冷却方式</w:t>
            </w:r>
          </w:p>
        </w:tc>
        <w:tc>
          <w:tcPr>
            <w:tcW w:w="1368"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方 式</w:t>
            </w:r>
          </w:p>
        </w:tc>
        <w:tc>
          <w:tcPr>
            <w:tcW w:w="417"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w:t>
            </w:r>
          </w:p>
          <w:p>
            <w:pPr>
              <w:pStyle w:val="2"/>
              <w:adjustRightInd w:val="0"/>
              <w:spacing w:line="240" w:lineRule="exact"/>
              <w:jc w:val="center"/>
              <w:rPr>
                <w:color w:val="000000" w:themeColor="text1"/>
                <w:sz w:val="21"/>
                <w:szCs w:val="21"/>
                <w:vertAlign w:val="superscript"/>
              </w:rPr>
            </w:pPr>
          </w:p>
        </w:tc>
        <w:tc>
          <w:tcPr>
            <w:tcW w:w="4469" w:type="dxa"/>
            <w:vMerge w:val="restart"/>
            <w:vAlign w:val="center"/>
          </w:tcPr>
          <w:p>
            <w:pPr>
              <w:pStyle w:val="2"/>
              <w:adjustRightInd w:val="0"/>
              <w:spacing w:line="240" w:lineRule="exact"/>
              <w:jc w:val="center"/>
              <w:rPr>
                <w:rFonts w:hint="eastAsia" w:eastAsiaTheme="minorEastAsia"/>
                <w:color w:val="000000" w:themeColor="text1"/>
                <w:sz w:val="21"/>
                <w:szCs w:val="21"/>
                <w:lang w:eastAsia="zh-CN"/>
              </w:rPr>
            </w:pPr>
            <w:r>
              <w:rPr>
                <w:rFonts w:hint="eastAsia"/>
                <w:color w:val="000000" w:themeColor="text1"/>
                <w:sz w:val="21"/>
                <w:szCs w:val="21"/>
                <w:lang w:eastAsia="zh-CN"/>
              </w:rPr>
              <w:t>间接空冷系统，两机一塔</w:t>
            </w:r>
          </w:p>
        </w:tc>
        <w:tc>
          <w:tcPr>
            <w:tcW w:w="4561" w:type="dxa"/>
            <w:vMerge w:val="restart"/>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间接空冷系统，两机一塔</w:t>
            </w: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0"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Merge w:val="continue"/>
            <w:vAlign w:val="center"/>
          </w:tcPr>
          <w:p>
            <w:pPr>
              <w:pStyle w:val="2"/>
              <w:adjustRightInd w:val="0"/>
              <w:spacing w:line="240" w:lineRule="exact"/>
              <w:jc w:val="center"/>
              <w:rPr>
                <w:color w:val="000000" w:themeColor="text1"/>
                <w:sz w:val="21"/>
                <w:szCs w:val="21"/>
              </w:rPr>
            </w:pPr>
          </w:p>
        </w:tc>
        <w:tc>
          <w:tcPr>
            <w:tcW w:w="417" w:type="dxa"/>
            <w:vMerge w:val="continue"/>
            <w:vAlign w:val="center"/>
          </w:tcPr>
          <w:p>
            <w:pPr>
              <w:pStyle w:val="2"/>
              <w:adjustRightInd w:val="0"/>
              <w:spacing w:line="240" w:lineRule="exact"/>
              <w:jc w:val="center"/>
              <w:rPr>
                <w:color w:val="000000" w:themeColor="text1"/>
                <w:sz w:val="21"/>
                <w:szCs w:val="21"/>
                <w:vertAlign w:val="superscript"/>
              </w:rPr>
            </w:pPr>
          </w:p>
        </w:tc>
        <w:tc>
          <w:tcPr>
            <w:tcW w:w="4469" w:type="dxa"/>
            <w:vMerge w:val="continue"/>
            <w:vAlign w:val="center"/>
          </w:tcPr>
          <w:p>
            <w:pPr>
              <w:pStyle w:val="2"/>
              <w:adjustRightInd w:val="0"/>
              <w:spacing w:line="240" w:lineRule="exact"/>
              <w:jc w:val="center"/>
              <w:rPr>
                <w:color w:val="000000" w:themeColor="text1"/>
                <w:sz w:val="21"/>
                <w:szCs w:val="21"/>
              </w:rPr>
            </w:pPr>
          </w:p>
        </w:tc>
        <w:tc>
          <w:tcPr>
            <w:tcW w:w="4561" w:type="dxa"/>
            <w:vMerge w:val="continue"/>
            <w:tcBorders>
              <w:right w:val="single" w:color="auto" w:sz="4" w:space="0"/>
            </w:tcBorders>
            <w:vAlign w:val="center"/>
          </w:tcPr>
          <w:p>
            <w:pPr>
              <w:pStyle w:val="2"/>
              <w:adjustRightInd w:val="0"/>
              <w:spacing w:line="240" w:lineRule="exact"/>
              <w:jc w:val="center"/>
              <w:rPr>
                <w:color w:val="000000" w:themeColor="text1"/>
                <w:sz w:val="21"/>
                <w:szCs w:val="21"/>
              </w:rPr>
            </w:pPr>
          </w:p>
        </w:tc>
        <w:tc>
          <w:tcPr>
            <w:tcW w:w="1598" w:type="dxa"/>
            <w:tcBorders>
              <w:left w:val="single" w:color="auto" w:sz="4" w:space="0"/>
            </w:tcBorders>
            <w:vAlign w:val="center"/>
          </w:tcPr>
          <w:p>
            <w:pPr>
              <w:pStyle w:val="2"/>
              <w:adjustRightInd w:val="0"/>
              <w:spacing w:line="240" w:lineRule="exact"/>
              <w:jc w:val="center"/>
              <w:rPr>
                <w:rFonts w:hAnsi="宋体"/>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排水处理方式</w:t>
            </w:r>
          </w:p>
        </w:tc>
        <w:tc>
          <w:tcPr>
            <w:tcW w:w="1368" w:type="dxa"/>
            <w:vMerge w:val="restart"/>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种类</w:t>
            </w:r>
          </w:p>
        </w:tc>
        <w:tc>
          <w:tcPr>
            <w:tcW w:w="417"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w:t>
            </w:r>
          </w:p>
          <w:p>
            <w:pPr>
              <w:pStyle w:val="2"/>
              <w:adjustRightInd w:val="0"/>
              <w:spacing w:line="240" w:lineRule="exact"/>
              <w:jc w:val="center"/>
              <w:rPr>
                <w:color w:val="000000" w:themeColor="text1"/>
                <w:sz w:val="21"/>
                <w:szCs w:val="21"/>
              </w:rPr>
            </w:pPr>
          </w:p>
        </w:tc>
        <w:tc>
          <w:tcPr>
            <w:tcW w:w="4469" w:type="dxa"/>
            <w:vMerge w:val="restart"/>
            <w:vAlign w:val="center"/>
          </w:tcPr>
          <w:p>
            <w:pPr>
              <w:pStyle w:val="2"/>
              <w:adjustRightInd w:val="0"/>
              <w:spacing w:line="240" w:lineRule="exact"/>
              <w:jc w:val="both"/>
              <w:rPr>
                <w:rFonts w:hint="eastAsia" w:eastAsiaTheme="minorEastAsia"/>
                <w:color w:val="000000" w:themeColor="text1"/>
                <w:sz w:val="21"/>
                <w:szCs w:val="21"/>
                <w:lang w:eastAsia="zh-CN"/>
              </w:rPr>
            </w:pPr>
            <w:r>
              <w:rPr>
                <w:rFonts w:hint="eastAsia"/>
                <w:color w:val="000000" w:themeColor="text1"/>
                <w:sz w:val="21"/>
                <w:szCs w:val="21"/>
                <w:lang w:eastAsia="zh-CN"/>
              </w:rPr>
              <w:t>采用工业废水、生活污水及含煤废水各自独立的分流制系统，各废污水处理后回收利用</w:t>
            </w:r>
          </w:p>
        </w:tc>
        <w:tc>
          <w:tcPr>
            <w:tcW w:w="4561" w:type="dxa"/>
            <w:vMerge w:val="restart"/>
            <w:tcBorders>
              <w:right w:val="single" w:color="auto" w:sz="4" w:space="0"/>
            </w:tcBorders>
            <w:vAlign w:val="center"/>
          </w:tcPr>
          <w:p>
            <w:pPr>
              <w:pStyle w:val="2"/>
              <w:adjustRightInd w:val="0"/>
              <w:spacing w:line="240" w:lineRule="exact"/>
              <w:jc w:val="both"/>
              <w:rPr>
                <w:rFonts w:hint="eastAsia"/>
                <w:color w:val="000000" w:themeColor="text1"/>
                <w:sz w:val="21"/>
                <w:szCs w:val="21"/>
              </w:rPr>
            </w:pPr>
            <w:r>
              <w:rPr>
                <w:rFonts w:hint="eastAsia"/>
                <w:color w:val="000000" w:themeColor="text1"/>
                <w:sz w:val="21"/>
                <w:szCs w:val="21"/>
                <w:lang w:eastAsia="zh-CN"/>
              </w:rPr>
              <w:t>工业废水、生活污水、含煤废水、含油废水和脱硫废水各自独立的分流制系统，各废污水处理后回收利用</w:t>
            </w: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70" w:hRule="atLeast"/>
          <w:jc w:val="center"/>
        </w:trPr>
        <w:tc>
          <w:tcPr>
            <w:tcW w:w="1805" w:type="dxa"/>
            <w:gridSpan w:val="2"/>
            <w:vMerge w:val="continue"/>
            <w:vAlign w:val="center"/>
          </w:tcPr>
          <w:p>
            <w:pPr>
              <w:pStyle w:val="2"/>
              <w:adjustRightInd w:val="0"/>
              <w:spacing w:line="240" w:lineRule="exact"/>
              <w:jc w:val="center"/>
              <w:rPr>
                <w:rFonts w:hint="eastAsia"/>
                <w:color w:val="000000" w:themeColor="text1"/>
                <w:sz w:val="21"/>
                <w:szCs w:val="21"/>
              </w:rPr>
            </w:pPr>
          </w:p>
        </w:tc>
        <w:tc>
          <w:tcPr>
            <w:tcW w:w="1368" w:type="dxa"/>
            <w:vMerge w:val="continue"/>
            <w:vAlign w:val="center"/>
          </w:tcPr>
          <w:p>
            <w:pPr>
              <w:pStyle w:val="2"/>
              <w:adjustRightInd w:val="0"/>
              <w:spacing w:line="240" w:lineRule="exact"/>
              <w:jc w:val="center"/>
              <w:rPr>
                <w:color w:val="000000" w:themeColor="text1"/>
                <w:sz w:val="21"/>
                <w:szCs w:val="21"/>
              </w:rPr>
            </w:pPr>
          </w:p>
        </w:tc>
        <w:tc>
          <w:tcPr>
            <w:tcW w:w="417" w:type="dxa"/>
            <w:vMerge w:val="continue"/>
            <w:vAlign w:val="center"/>
          </w:tcPr>
          <w:p>
            <w:pPr>
              <w:pStyle w:val="2"/>
              <w:adjustRightInd w:val="0"/>
              <w:spacing w:line="240" w:lineRule="exact"/>
              <w:jc w:val="center"/>
              <w:rPr>
                <w:color w:val="000000" w:themeColor="text1"/>
                <w:sz w:val="21"/>
                <w:szCs w:val="21"/>
              </w:rPr>
            </w:pPr>
          </w:p>
        </w:tc>
        <w:tc>
          <w:tcPr>
            <w:tcW w:w="4469" w:type="dxa"/>
            <w:vMerge w:val="continue"/>
            <w:vAlign w:val="center"/>
          </w:tcPr>
          <w:p>
            <w:pPr>
              <w:pStyle w:val="2"/>
              <w:adjustRightInd w:val="0"/>
              <w:spacing w:line="240" w:lineRule="exact"/>
              <w:jc w:val="center"/>
              <w:rPr>
                <w:color w:val="000000" w:themeColor="text1"/>
                <w:sz w:val="21"/>
                <w:szCs w:val="21"/>
              </w:rPr>
            </w:pPr>
          </w:p>
        </w:tc>
        <w:tc>
          <w:tcPr>
            <w:tcW w:w="4561" w:type="dxa"/>
            <w:vMerge w:val="continue"/>
            <w:tcBorders>
              <w:right w:val="single" w:color="auto" w:sz="4" w:space="0"/>
            </w:tcBorders>
            <w:vAlign w:val="center"/>
          </w:tcPr>
          <w:p>
            <w:pPr>
              <w:pStyle w:val="2"/>
              <w:adjustRightInd w:val="0"/>
              <w:spacing w:line="240" w:lineRule="exact"/>
              <w:jc w:val="center"/>
              <w:rPr>
                <w:color w:val="000000" w:themeColor="text1"/>
                <w:sz w:val="21"/>
                <w:szCs w:val="21"/>
              </w:rPr>
            </w:pP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Merge w:val="continue"/>
            <w:vAlign w:val="center"/>
          </w:tcPr>
          <w:p>
            <w:pPr>
              <w:pStyle w:val="2"/>
              <w:adjustRightInd w:val="0"/>
              <w:spacing w:line="240" w:lineRule="exact"/>
              <w:jc w:val="center"/>
              <w:rPr>
                <w:color w:val="000000" w:themeColor="text1"/>
                <w:sz w:val="21"/>
                <w:szCs w:val="21"/>
              </w:rPr>
            </w:pPr>
          </w:p>
        </w:tc>
        <w:tc>
          <w:tcPr>
            <w:tcW w:w="417" w:type="dxa"/>
            <w:vMerge w:val="continue"/>
            <w:vAlign w:val="center"/>
          </w:tcPr>
          <w:p>
            <w:pPr>
              <w:pStyle w:val="2"/>
              <w:adjustRightInd w:val="0"/>
              <w:spacing w:line="240" w:lineRule="exact"/>
              <w:jc w:val="center"/>
              <w:rPr>
                <w:color w:val="000000" w:themeColor="text1"/>
                <w:sz w:val="21"/>
                <w:szCs w:val="21"/>
              </w:rPr>
            </w:pPr>
          </w:p>
        </w:tc>
        <w:tc>
          <w:tcPr>
            <w:tcW w:w="4469" w:type="dxa"/>
            <w:vMerge w:val="continue"/>
            <w:vAlign w:val="center"/>
          </w:tcPr>
          <w:p>
            <w:pPr>
              <w:pStyle w:val="2"/>
              <w:adjustRightInd w:val="0"/>
              <w:spacing w:line="240" w:lineRule="exact"/>
              <w:jc w:val="center"/>
              <w:rPr>
                <w:color w:val="000000" w:themeColor="text1"/>
                <w:sz w:val="21"/>
                <w:szCs w:val="21"/>
              </w:rPr>
            </w:pPr>
          </w:p>
        </w:tc>
        <w:tc>
          <w:tcPr>
            <w:tcW w:w="4561" w:type="dxa"/>
            <w:vMerge w:val="continue"/>
            <w:tcBorders>
              <w:right w:val="single" w:color="auto" w:sz="4" w:space="0"/>
            </w:tcBorders>
            <w:vAlign w:val="center"/>
          </w:tcPr>
          <w:p>
            <w:pPr>
              <w:pStyle w:val="2"/>
              <w:adjustRightInd w:val="0"/>
              <w:spacing w:line="240" w:lineRule="exact"/>
              <w:jc w:val="center"/>
              <w:rPr>
                <w:color w:val="000000" w:themeColor="text1"/>
                <w:sz w:val="21"/>
                <w:szCs w:val="21"/>
              </w:rPr>
            </w:pP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0" w:hRule="atLeast"/>
          <w:jc w:val="center"/>
        </w:trPr>
        <w:tc>
          <w:tcPr>
            <w:tcW w:w="1805" w:type="dxa"/>
            <w:gridSpan w:val="2"/>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灰渣、脱硫灰</w:t>
            </w:r>
          </w:p>
          <w:p>
            <w:pPr>
              <w:pStyle w:val="2"/>
              <w:adjustRightInd w:val="0"/>
              <w:spacing w:line="240" w:lineRule="exact"/>
              <w:jc w:val="center"/>
              <w:rPr>
                <w:rFonts w:hint="eastAsia"/>
                <w:color w:val="000000" w:themeColor="text1"/>
                <w:sz w:val="21"/>
                <w:szCs w:val="21"/>
              </w:rPr>
            </w:pPr>
            <w:r>
              <w:rPr>
                <w:color w:val="000000" w:themeColor="text1"/>
                <w:sz w:val="21"/>
                <w:szCs w:val="21"/>
              </w:rPr>
              <w:t>处理方式</w:t>
            </w:r>
          </w:p>
        </w:tc>
        <w:tc>
          <w:tcPr>
            <w:tcW w:w="1368"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种 类</w:t>
            </w:r>
          </w:p>
        </w:tc>
        <w:tc>
          <w:tcPr>
            <w:tcW w:w="417" w:type="dxa"/>
            <w:vMerge w:val="restart"/>
            <w:vAlign w:val="center"/>
          </w:tcPr>
          <w:p>
            <w:pPr>
              <w:pStyle w:val="2"/>
              <w:adjustRightInd w:val="0"/>
              <w:spacing w:line="240" w:lineRule="exact"/>
              <w:jc w:val="center"/>
              <w:rPr>
                <w:color w:val="000000" w:themeColor="text1"/>
                <w:sz w:val="21"/>
                <w:szCs w:val="21"/>
              </w:rPr>
            </w:pPr>
            <w:r>
              <w:rPr>
                <w:color w:val="000000" w:themeColor="text1"/>
                <w:sz w:val="21"/>
                <w:szCs w:val="21"/>
              </w:rPr>
              <w:t>/</w:t>
            </w:r>
          </w:p>
        </w:tc>
        <w:tc>
          <w:tcPr>
            <w:tcW w:w="4469" w:type="dxa"/>
            <w:vMerge w:val="restart"/>
            <w:vAlign w:val="center"/>
          </w:tcPr>
          <w:p>
            <w:pPr>
              <w:pStyle w:val="2"/>
              <w:adjustRightInd w:val="0"/>
              <w:spacing w:line="240" w:lineRule="exact"/>
              <w:jc w:val="both"/>
              <w:rPr>
                <w:rFonts w:hint="eastAsia" w:eastAsiaTheme="minorEastAsia"/>
                <w:color w:val="000000" w:themeColor="text1"/>
                <w:sz w:val="21"/>
                <w:szCs w:val="21"/>
                <w:lang w:eastAsia="zh-CN"/>
              </w:rPr>
            </w:pPr>
            <w:r>
              <w:rPr>
                <w:rFonts w:hint="eastAsia"/>
                <w:color w:val="000000" w:themeColor="text1"/>
                <w:sz w:val="21"/>
                <w:szCs w:val="21"/>
                <w:lang w:eastAsia="zh-CN"/>
              </w:rPr>
              <w:t>灰渣分除：水浸式刮板捞渣，正压浓相气力除灰、湿式搅拌。灰渣和脱硫石膏依托吉木萨尔县神采东晟投资有限责任公司处置</w:t>
            </w:r>
          </w:p>
        </w:tc>
        <w:tc>
          <w:tcPr>
            <w:tcW w:w="4561" w:type="dxa"/>
            <w:vMerge w:val="restart"/>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lang w:eastAsia="zh-CN"/>
              </w:rPr>
              <w:t>灰渣分除：水浸式刮板捞渣，正压浓相气力除灰、湿式搅拌。灰渣和脱硫石膏依托新疆神采东晟环保科技有限公司处置</w:t>
            </w: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835" w:hRule="atLeast"/>
          <w:jc w:val="center"/>
        </w:trPr>
        <w:tc>
          <w:tcPr>
            <w:tcW w:w="1805" w:type="dxa"/>
            <w:gridSpan w:val="2"/>
            <w:vMerge w:val="continue"/>
            <w:vAlign w:val="center"/>
          </w:tcPr>
          <w:p>
            <w:pPr>
              <w:pStyle w:val="2"/>
              <w:adjustRightInd w:val="0"/>
              <w:spacing w:line="240" w:lineRule="exact"/>
              <w:jc w:val="center"/>
              <w:rPr>
                <w:color w:val="000000" w:themeColor="text1"/>
                <w:sz w:val="21"/>
                <w:szCs w:val="21"/>
              </w:rPr>
            </w:pPr>
          </w:p>
        </w:tc>
        <w:tc>
          <w:tcPr>
            <w:tcW w:w="1368" w:type="dxa"/>
            <w:vMerge w:val="continue"/>
            <w:vAlign w:val="center"/>
          </w:tcPr>
          <w:p>
            <w:pPr>
              <w:pStyle w:val="2"/>
              <w:adjustRightInd w:val="0"/>
              <w:spacing w:line="240" w:lineRule="exact"/>
              <w:jc w:val="center"/>
              <w:rPr>
                <w:color w:val="000000" w:themeColor="text1"/>
                <w:sz w:val="21"/>
                <w:szCs w:val="21"/>
              </w:rPr>
            </w:pPr>
          </w:p>
        </w:tc>
        <w:tc>
          <w:tcPr>
            <w:tcW w:w="417" w:type="dxa"/>
            <w:vMerge w:val="continue"/>
            <w:vAlign w:val="center"/>
          </w:tcPr>
          <w:p>
            <w:pPr>
              <w:pStyle w:val="2"/>
              <w:adjustRightInd w:val="0"/>
              <w:spacing w:line="240" w:lineRule="exact"/>
              <w:jc w:val="center"/>
              <w:rPr>
                <w:color w:val="000000" w:themeColor="text1"/>
                <w:sz w:val="21"/>
                <w:szCs w:val="21"/>
              </w:rPr>
            </w:pPr>
          </w:p>
        </w:tc>
        <w:tc>
          <w:tcPr>
            <w:tcW w:w="4469" w:type="dxa"/>
            <w:vMerge w:val="continue"/>
            <w:vAlign w:val="center"/>
          </w:tcPr>
          <w:p>
            <w:pPr>
              <w:pStyle w:val="2"/>
              <w:adjustRightInd w:val="0"/>
              <w:spacing w:line="240" w:lineRule="exact"/>
              <w:jc w:val="center"/>
              <w:rPr>
                <w:color w:val="000000" w:themeColor="text1"/>
                <w:sz w:val="21"/>
                <w:szCs w:val="21"/>
              </w:rPr>
            </w:pPr>
          </w:p>
        </w:tc>
        <w:tc>
          <w:tcPr>
            <w:tcW w:w="4561" w:type="dxa"/>
            <w:vMerge w:val="continue"/>
            <w:tcBorders>
              <w:right w:val="single" w:color="auto" w:sz="4" w:space="0"/>
            </w:tcBorders>
            <w:vAlign w:val="center"/>
          </w:tcPr>
          <w:p>
            <w:pPr>
              <w:pStyle w:val="2"/>
              <w:adjustRightInd w:val="0"/>
              <w:spacing w:line="240" w:lineRule="exact"/>
              <w:jc w:val="center"/>
              <w:rPr>
                <w:rFonts w:hint="eastAsia"/>
                <w:color w:val="000000" w:themeColor="text1"/>
                <w:sz w:val="21"/>
                <w:szCs w:val="21"/>
              </w:rPr>
            </w:pPr>
          </w:p>
        </w:tc>
        <w:tc>
          <w:tcPr>
            <w:tcW w:w="1598" w:type="dxa"/>
            <w:tcBorders>
              <w:lef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835" w:hRule="atLeast"/>
          <w:jc w:val="center"/>
        </w:trPr>
        <w:tc>
          <w:tcPr>
            <w:tcW w:w="1805" w:type="dxa"/>
            <w:gridSpan w:val="2"/>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运输方式</w:t>
            </w:r>
          </w:p>
        </w:tc>
        <w:tc>
          <w:tcPr>
            <w:tcW w:w="1368"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方式</w:t>
            </w:r>
          </w:p>
        </w:tc>
        <w:tc>
          <w:tcPr>
            <w:tcW w:w="417"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w:t>
            </w:r>
          </w:p>
        </w:tc>
        <w:tc>
          <w:tcPr>
            <w:tcW w:w="4469"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依托园区内现有道路</w:t>
            </w:r>
          </w:p>
        </w:tc>
        <w:tc>
          <w:tcPr>
            <w:tcW w:w="4561" w:type="dxa"/>
            <w:tcBorders>
              <w:right w:val="single" w:color="auto" w:sz="4" w:space="0"/>
            </w:tcBorders>
            <w:vAlign w:val="center"/>
          </w:tcPr>
          <w:p>
            <w:pPr>
              <w:pStyle w:val="2"/>
              <w:adjustRightInd w:val="0"/>
              <w:spacing w:line="240" w:lineRule="exact"/>
              <w:jc w:val="center"/>
              <w:rPr>
                <w:color w:val="000000" w:themeColor="text1"/>
                <w:sz w:val="21"/>
                <w:szCs w:val="21"/>
              </w:rPr>
            </w:pPr>
            <w:r>
              <w:rPr>
                <w:rFonts w:hint="eastAsia"/>
                <w:color w:val="000000" w:themeColor="text1"/>
                <w:sz w:val="21"/>
                <w:szCs w:val="21"/>
              </w:rPr>
              <w:t>依托园区内现有道路</w:t>
            </w:r>
          </w:p>
        </w:tc>
        <w:tc>
          <w:tcPr>
            <w:tcW w:w="1598" w:type="dxa"/>
            <w:tcBorders>
              <w:left w:val="single" w:color="auto" w:sz="4" w:space="0"/>
            </w:tcBorders>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无变更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835" w:hRule="atLeast"/>
          <w:jc w:val="center"/>
        </w:trPr>
        <w:tc>
          <w:tcPr>
            <w:tcW w:w="1805" w:type="dxa"/>
            <w:gridSpan w:val="2"/>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在线监测系统</w:t>
            </w:r>
          </w:p>
        </w:tc>
        <w:tc>
          <w:tcPr>
            <w:tcW w:w="1368"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种类</w:t>
            </w:r>
          </w:p>
        </w:tc>
        <w:tc>
          <w:tcPr>
            <w:tcW w:w="417" w:type="dxa"/>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w:t>
            </w:r>
          </w:p>
        </w:tc>
        <w:tc>
          <w:tcPr>
            <w:tcW w:w="4469" w:type="dxa"/>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lang w:val="en-US" w:eastAsia="zh-CN"/>
              </w:rPr>
              <w:t>/</w:t>
            </w:r>
          </w:p>
        </w:tc>
        <w:tc>
          <w:tcPr>
            <w:tcW w:w="4561" w:type="dxa"/>
            <w:tcBorders>
              <w:right w:val="single" w:color="auto" w:sz="4" w:space="0"/>
            </w:tcBorders>
            <w:vAlign w:val="center"/>
          </w:tcPr>
          <w:p>
            <w:pPr>
              <w:pStyle w:val="2"/>
              <w:adjustRightInd w:val="0"/>
              <w:spacing w:line="240" w:lineRule="exact"/>
              <w:jc w:val="both"/>
              <w:rPr>
                <w:rFonts w:hint="eastAsia" w:eastAsiaTheme="minorEastAsia"/>
                <w:color w:val="auto"/>
                <w:sz w:val="21"/>
                <w:szCs w:val="21"/>
                <w:lang w:val="en-US" w:eastAsia="zh-CN"/>
              </w:rPr>
            </w:pPr>
            <w:r>
              <w:rPr>
                <w:rFonts w:hint="eastAsia"/>
                <w:color w:val="auto"/>
                <w:sz w:val="21"/>
                <w:szCs w:val="21"/>
                <w:lang w:eastAsia="zh-CN"/>
              </w:rPr>
              <w:t>脱硝</w:t>
            </w:r>
            <w:r>
              <w:rPr>
                <w:rFonts w:hint="eastAsia"/>
                <w:color w:val="auto"/>
                <w:sz w:val="21"/>
                <w:szCs w:val="21"/>
                <w:lang w:val="en-US" w:eastAsia="zh-CN"/>
              </w:rPr>
              <w:t>AB侧进出口安装重庆川仪自动化股份有限公司在线监测装置，总排口安装聚光科技（杭州）股份有限公司烟气在线监测装置和上海北分科技股份有限公司颗粒物在线监测装置</w:t>
            </w:r>
          </w:p>
        </w:tc>
        <w:tc>
          <w:tcPr>
            <w:tcW w:w="1598" w:type="dxa"/>
            <w:tcBorders>
              <w:left w:val="single" w:color="auto" w:sz="4" w:space="0"/>
            </w:tcBorders>
            <w:vAlign w:val="center"/>
          </w:tcPr>
          <w:p>
            <w:pPr>
              <w:pStyle w:val="2"/>
              <w:adjustRightInd w:val="0"/>
              <w:spacing w:line="240" w:lineRule="exact"/>
              <w:jc w:val="center"/>
              <w:rPr>
                <w:rFonts w:hint="eastAsia" w:eastAsiaTheme="minorEastAsia"/>
                <w:color w:val="000000" w:themeColor="text1"/>
                <w:sz w:val="21"/>
                <w:szCs w:val="21"/>
                <w:lang w:val="en-US" w:eastAsia="zh-CN"/>
              </w:rPr>
            </w:pPr>
            <w:r>
              <w:rPr>
                <w:rFonts w:hint="eastAsia"/>
                <w:color w:val="000000" w:themeColor="text1"/>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16" w:hRule="atLeast"/>
          <w:jc w:val="center"/>
        </w:trPr>
        <w:tc>
          <w:tcPr>
            <w:tcW w:w="3173" w:type="dxa"/>
            <w:gridSpan w:val="3"/>
            <w:vAlign w:val="center"/>
          </w:tcPr>
          <w:p>
            <w:pPr>
              <w:pStyle w:val="2"/>
              <w:adjustRightInd w:val="0"/>
              <w:spacing w:line="240" w:lineRule="exact"/>
              <w:jc w:val="center"/>
              <w:rPr>
                <w:rFonts w:hint="eastAsia"/>
                <w:color w:val="000000" w:themeColor="text1"/>
                <w:sz w:val="21"/>
                <w:szCs w:val="21"/>
              </w:rPr>
            </w:pPr>
            <w:r>
              <w:rPr>
                <w:rFonts w:hint="eastAsia"/>
                <w:color w:val="000000" w:themeColor="text1"/>
                <w:sz w:val="21"/>
                <w:szCs w:val="21"/>
              </w:rPr>
              <w:t>总量指标</w:t>
            </w:r>
          </w:p>
        </w:tc>
        <w:tc>
          <w:tcPr>
            <w:tcW w:w="11045" w:type="dxa"/>
            <w:gridSpan w:val="4"/>
            <w:vAlign w:val="center"/>
          </w:tcPr>
          <w:p>
            <w:pPr>
              <w:pStyle w:val="2"/>
              <w:adjustRightInd w:val="0"/>
              <w:spacing w:line="240" w:lineRule="exact"/>
              <w:jc w:val="center"/>
              <w:rPr>
                <w:rFonts w:ascii="Calibri" w:hAnsi="Calibri" w:cs="Calibri"/>
                <w:color w:val="000000" w:themeColor="text1"/>
                <w:kern w:val="0"/>
                <w:sz w:val="21"/>
                <w:szCs w:val="21"/>
              </w:rPr>
            </w:pPr>
            <w:r>
              <w:rPr>
                <w:rFonts w:hint="eastAsia" w:ascii="Calibri" w:hAnsi="Calibri" w:cs="Calibri"/>
                <w:color w:val="000000" w:themeColor="text1"/>
                <w:kern w:val="0"/>
                <w:sz w:val="21"/>
                <w:szCs w:val="21"/>
                <w:lang w:eastAsia="zh-CN"/>
              </w:rPr>
              <w:t>环评批复总量：</w:t>
            </w:r>
            <w:r>
              <w:rPr>
                <w:rFonts w:ascii="Calibri" w:hAnsi="Calibri" w:cs="Calibri"/>
                <w:color w:val="000000" w:themeColor="text1"/>
                <w:kern w:val="0"/>
                <w:sz w:val="21"/>
                <w:szCs w:val="21"/>
              </w:rPr>
              <w:t>SO</w:t>
            </w:r>
            <w:r>
              <w:rPr>
                <w:rFonts w:ascii="Calibri" w:hAnsi="Calibri" w:cs="Calibri"/>
                <w:color w:val="000000" w:themeColor="text1"/>
                <w:kern w:val="0"/>
                <w:sz w:val="21"/>
                <w:szCs w:val="21"/>
                <w:vertAlign w:val="subscript"/>
              </w:rPr>
              <w:t>2</w:t>
            </w:r>
            <w:r>
              <w:rPr>
                <w:rFonts w:ascii="Calibri" w:hAnsi="Calibri" w:cs="Calibri"/>
                <w:color w:val="000000" w:themeColor="text1"/>
                <w:kern w:val="0"/>
                <w:sz w:val="21"/>
                <w:szCs w:val="21"/>
              </w:rPr>
              <w:t xml:space="preserve"> </w:t>
            </w:r>
            <w:r>
              <w:rPr>
                <w:rFonts w:ascii="ËÎÌå" w:hAnsi="ËÎÌå" w:cs="ËÎÌå"/>
                <w:color w:val="000000" w:themeColor="text1"/>
                <w:kern w:val="0"/>
                <w:sz w:val="21"/>
                <w:szCs w:val="21"/>
              </w:rPr>
              <w:t>排放量为</w:t>
            </w:r>
            <w:r>
              <w:rPr>
                <w:rFonts w:ascii="Calibri" w:hAnsi="Calibri" w:cs="Calibri"/>
                <w:color w:val="000000" w:themeColor="text1"/>
                <w:kern w:val="0"/>
                <w:sz w:val="21"/>
                <w:szCs w:val="21"/>
              </w:rPr>
              <w:t xml:space="preserve"> </w:t>
            </w:r>
            <w:r>
              <w:rPr>
                <w:rFonts w:hint="eastAsia" w:ascii="Calibri" w:hAnsi="Calibri" w:cs="Calibri"/>
                <w:color w:val="000000" w:themeColor="text1"/>
                <w:kern w:val="0"/>
                <w:sz w:val="21"/>
                <w:szCs w:val="21"/>
                <w:lang w:val="en-US" w:eastAsia="zh-CN"/>
              </w:rPr>
              <w:t>1809.5</w:t>
            </w:r>
            <w:r>
              <w:rPr>
                <w:rFonts w:ascii="Calibri" w:hAnsi="Calibri" w:cs="Calibri"/>
                <w:color w:val="000000" w:themeColor="text1"/>
                <w:kern w:val="0"/>
                <w:sz w:val="21"/>
                <w:szCs w:val="21"/>
              </w:rPr>
              <w:t>t/a</w:t>
            </w:r>
            <w:r>
              <w:rPr>
                <w:rFonts w:ascii="ËÎÌå" w:hAnsi="ËÎÌå" w:cs="ËÎÌå"/>
                <w:color w:val="000000" w:themeColor="text1"/>
                <w:kern w:val="0"/>
                <w:sz w:val="21"/>
                <w:szCs w:val="21"/>
              </w:rPr>
              <w:t>、</w:t>
            </w:r>
            <w:r>
              <w:rPr>
                <w:rFonts w:ascii="Calibri" w:hAnsi="Calibri" w:cs="Calibri"/>
                <w:color w:val="000000" w:themeColor="text1"/>
                <w:kern w:val="0"/>
                <w:sz w:val="21"/>
                <w:szCs w:val="21"/>
              </w:rPr>
              <w:t xml:space="preserve">NOx </w:t>
            </w:r>
            <w:r>
              <w:rPr>
                <w:rFonts w:ascii="ËÎÌå" w:hAnsi="ËÎÌå" w:cs="ËÎÌå"/>
                <w:color w:val="000000" w:themeColor="text1"/>
                <w:kern w:val="0"/>
                <w:sz w:val="21"/>
                <w:szCs w:val="21"/>
              </w:rPr>
              <w:t>排放</w:t>
            </w:r>
            <w:r>
              <w:rPr>
                <w:rFonts w:ascii="Calibri" w:hAnsi="Calibri" w:cs="Calibri"/>
                <w:color w:val="000000" w:themeColor="text1"/>
                <w:kern w:val="0"/>
                <w:sz w:val="21"/>
                <w:szCs w:val="21"/>
              </w:rPr>
              <w:t xml:space="preserve"> </w:t>
            </w:r>
            <w:r>
              <w:rPr>
                <w:rFonts w:hint="eastAsia" w:ascii="Calibri" w:hAnsi="Calibri" w:cs="Calibri"/>
                <w:color w:val="000000" w:themeColor="text1"/>
                <w:kern w:val="0"/>
                <w:sz w:val="21"/>
                <w:szCs w:val="21"/>
                <w:lang w:val="en-US" w:eastAsia="zh-CN"/>
              </w:rPr>
              <w:t>1809.5</w:t>
            </w:r>
            <w:r>
              <w:rPr>
                <w:rFonts w:ascii="Calibri" w:hAnsi="Calibri" w:cs="Calibri"/>
                <w:color w:val="000000" w:themeColor="text1"/>
                <w:kern w:val="0"/>
                <w:sz w:val="21"/>
                <w:szCs w:val="21"/>
              </w:rPr>
              <w:t>t/a</w:t>
            </w:r>
            <w:r>
              <w:rPr>
                <w:rFonts w:ascii="ËÎÌå" w:hAnsi="ËÎÌå" w:cs="ËÎÌå"/>
                <w:color w:val="000000" w:themeColor="text1"/>
                <w:kern w:val="0"/>
                <w:sz w:val="21"/>
                <w:szCs w:val="21"/>
              </w:rPr>
              <w:t>。</w:t>
            </w:r>
          </w:p>
        </w:tc>
      </w:tr>
    </w:tbl>
    <w:p>
      <w:pPr>
        <w:rPr>
          <w:rFonts w:hint="eastAsia" w:ascii="宋体" w:hAnsi="宋体" w:eastAsia="宋体"/>
          <w:sz w:val="28"/>
          <w:szCs w:val="28"/>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sz w:val="28"/>
          <w:szCs w:val="28"/>
          <w:lang w:val="en-US" w:eastAsia="zh-CN"/>
        </w:rPr>
      </w:pPr>
      <w:r>
        <w:rPr>
          <w:rFonts w:hint="eastAsia" w:ascii="宋体" w:hAnsi="宋体" w:eastAsia="宋体"/>
          <w:sz w:val="28"/>
          <w:szCs w:val="28"/>
          <w:lang w:eastAsia="zh-CN"/>
        </w:rPr>
        <w:t>本项目脱硫设计单位为浙江天蓝环保技术股份有限公司，施工单位为北京佰能蓝天科技股份有限公司；脱硝设计单位为东方锅炉股份有限公司，施工单位为中能建安徽电建一公司和中电建河南工程有限公司；除尘设计单位为中能建广东省电力设计研究院有限公司，施工单位为中能建安徽电建一公司和中电建河南工程有限公司。项目总投资</w:t>
      </w:r>
      <w:r>
        <w:rPr>
          <w:rFonts w:hint="eastAsia" w:ascii="宋体" w:hAnsi="宋体" w:eastAsia="宋体"/>
          <w:sz w:val="28"/>
          <w:szCs w:val="28"/>
          <w:lang w:val="en-US" w:eastAsia="zh-CN"/>
        </w:rPr>
        <w:t>273581.4</w:t>
      </w:r>
      <w:r>
        <w:rPr>
          <w:rFonts w:hint="eastAsia" w:ascii="宋体" w:hAnsi="宋体" w:eastAsia="宋体"/>
          <w:sz w:val="28"/>
          <w:szCs w:val="28"/>
          <w:lang w:eastAsia="zh-CN"/>
        </w:rPr>
        <w:t>万元，其中环保投资</w:t>
      </w:r>
      <w:r>
        <w:rPr>
          <w:rFonts w:hint="eastAsia" w:ascii="宋体" w:hAnsi="宋体" w:eastAsia="宋体"/>
          <w:sz w:val="28"/>
          <w:szCs w:val="28"/>
          <w:lang w:val="en-US" w:eastAsia="zh-CN"/>
        </w:rPr>
        <w:t>30679</w:t>
      </w:r>
      <w:r>
        <w:rPr>
          <w:rFonts w:hint="eastAsia" w:ascii="宋体" w:hAnsi="宋体" w:eastAsia="宋体"/>
          <w:sz w:val="28"/>
          <w:szCs w:val="28"/>
          <w:lang w:eastAsia="zh-CN"/>
        </w:rPr>
        <w:t>万元，占项目总投资</w:t>
      </w:r>
      <w:r>
        <w:rPr>
          <w:rFonts w:hint="eastAsia" w:ascii="宋体" w:hAnsi="宋体" w:eastAsia="宋体"/>
          <w:sz w:val="28"/>
          <w:szCs w:val="28"/>
          <w:lang w:val="en-US" w:eastAsia="zh-CN"/>
        </w:rPr>
        <w:t>11.2%。</w:t>
      </w:r>
      <w:r>
        <w:rPr>
          <w:rFonts w:hint="eastAsia" w:ascii="宋体" w:hAnsi="宋体" w:eastAsia="宋体"/>
          <w:sz w:val="28"/>
          <w:szCs w:val="28"/>
          <w:lang w:eastAsia="zh-CN"/>
        </w:rPr>
        <w:t>环保投资明细见表</w:t>
      </w:r>
      <w:r>
        <w:rPr>
          <w:rFonts w:hint="eastAsia" w:ascii="宋体" w:hAnsi="宋体" w:eastAsia="宋体"/>
          <w:sz w:val="28"/>
          <w:szCs w:val="28"/>
          <w:lang w:val="en-US" w:eastAsia="zh-CN"/>
        </w:rPr>
        <w:t>3-3。</w:t>
      </w:r>
    </w:p>
    <w:p>
      <w:pPr>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表3-3  项目环保投资明细</w:t>
      </w:r>
    </w:p>
    <w:tbl>
      <w:tblPr>
        <w:tblStyle w:val="11"/>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环保设施</w:t>
            </w:r>
          </w:p>
        </w:tc>
        <w:tc>
          <w:tcPr>
            <w:tcW w:w="4297" w:type="dxa"/>
            <w:vAlign w:val="center"/>
          </w:tcPr>
          <w:p>
            <w:pPr>
              <w:jc w:val="center"/>
              <w:rPr>
                <w:rFonts w:ascii="宋体" w:hAnsi="宋体"/>
                <w:sz w:val="24"/>
              </w:rPr>
            </w:pPr>
            <w:r>
              <w:rPr>
                <w:rFonts w:hint="eastAsia" w:ascii="宋体" w:hAnsi="宋体"/>
                <w:sz w:val="24"/>
              </w:rPr>
              <w:t>实际环保投资（万元）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4219" w:type="dxa"/>
            <w:vAlign w:val="center"/>
          </w:tcPr>
          <w:p>
            <w:pPr>
              <w:jc w:val="center"/>
              <w:rPr>
                <w:rFonts w:ascii="宋体" w:hAnsi="宋体"/>
                <w:sz w:val="24"/>
              </w:rPr>
            </w:pPr>
            <w:r>
              <w:rPr>
                <w:rFonts w:hint="eastAsia" w:ascii="宋体" w:hAnsi="宋体"/>
                <w:sz w:val="24"/>
              </w:rPr>
              <w:t>锅炉烟气脱硝系统</w:t>
            </w:r>
          </w:p>
        </w:tc>
        <w:tc>
          <w:tcPr>
            <w:tcW w:w="4297" w:type="dxa"/>
            <w:vAlign w:val="center"/>
          </w:tcPr>
          <w:p>
            <w:pPr>
              <w:jc w:val="center"/>
              <w:rPr>
                <w:rFonts w:ascii="宋体" w:hAnsi="宋体"/>
                <w:color w:val="auto"/>
                <w:sz w:val="24"/>
              </w:rPr>
            </w:pPr>
            <w:r>
              <w:rPr>
                <w:rFonts w:ascii="宋体" w:hAnsi="宋体"/>
                <w:color w:val="auto"/>
                <w:sz w:val="24"/>
              </w:rPr>
              <w:t>5979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烟气脱硫系统</w:t>
            </w:r>
          </w:p>
        </w:tc>
        <w:tc>
          <w:tcPr>
            <w:tcW w:w="4297" w:type="dxa"/>
            <w:vAlign w:val="center"/>
          </w:tcPr>
          <w:p>
            <w:pPr>
              <w:jc w:val="center"/>
              <w:rPr>
                <w:rFonts w:ascii="宋体" w:hAnsi="宋体"/>
                <w:color w:val="auto"/>
                <w:sz w:val="24"/>
              </w:rPr>
            </w:pPr>
            <w:r>
              <w:rPr>
                <w:rFonts w:ascii="宋体" w:hAnsi="宋体"/>
                <w:color w:val="auto"/>
                <w:sz w:val="24"/>
              </w:rPr>
              <w:t>12835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烟气除尘系统</w:t>
            </w:r>
          </w:p>
        </w:tc>
        <w:tc>
          <w:tcPr>
            <w:tcW w:w="4297" w:type="dxa"/>
            <w:vAlign w:val="center"/>
          </w:tcPr>
          <w:p>
            <w:pPr>
              <w:jc w:val="center"/>
              <w:rPr>
                <w:rFonts w:ascii="宋体" w:hAnsi="宋体"/>
                <w:color w:val="auto"/>
                <w:sz w:val="24"/>
              </w:rPr>
            </w:pPr>
            <w:r>
              <w:rPr>
                <w:rFonts w:hint="eastAsia" w:ascii="宋体" w:hAnsi="宋体"/>
                <w:color w:val="auto"/>
                <w:sz w:val="24"/>
              </w:rPr>
              <w:t>4220.9915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烟气连续在线监测系统</w:t>
            </w:r>
          </w:p>
        </w:tc>
        <w:tc>
          <w:tcPr>
            <w:tcW w:w="4297" w:type="dxa"/>
            <w:vAlign w:val="center"/>
          </w:tcPr>
          <w:p>
            <w:pPr>
              <w:jc w:val="center"/>
              <w:rPr>
                <w:rFonts w:ascii="宋体" w:hAnsi="宋体"/>
                <w:color w:val="auto"/>
                <w:sz w:val="24"/>
              </w:rPr>
            </w:pPr>
            <w:r>
              <w:rPr>
                <w:rFonts w:ascii="宋体" w:hAnsi="宋体"/>
                <w:color w:val="auto"/>
                <w:sz w:val="24"/>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4219" w:type="dxa"/>
            <w:vAlign w:val="center"/>
          </w:tcPr>
          <w:p>
            <w:pPr>
              <w:jc w:val="center"/>
              <w:rPr>
                <w:rFonts w:hint="eastAsia" w:ascii="宋体" w:hAnsi="宋体" w:eastAsiaTheme="minorEastAsia"/>
                <w:sz w:val="24"/>
                <w:lang w:eastAsia="zh-CN"/>
              </w:rPr>
            </w:pPr>
            <w:r>
              <w:rPr>
                <w:rFonts w:hint="eastAsia" w:ascii="宋体" w:hAnsi="宋体"/>
                <w:sz w:val="24"/>
                <w:lang w:eastAsia="zh-CN"/>
              </w:rPr>
              <w:t>含油废水处理系统</w:t>
            </w:r>
          </w:p>
        </w:tc>
        <w:tc>
          <w:tcPr>
            <w:tcW w:w="4297" w:type="dxa"/>
            <w:vAlign w:val="center"/>
          </w:tcPr>
          <w:p>
            <w:pPr>
              <w:jc w:val="center"/>
              <w:rPr>
                <w:rFonts w:ascii="宋体" w:hAnsi="宋体"/>
                <w:color w:val="auto"/>
                <w:sz w:val="24"/>
              </w:rPr>
            </w:pPr>
            <w:r>
              <w:rPr>
                <w:rFonts w:hint="eastAsia" w:ascii="宋体" w:hAnsi="宋体"/>
                <w:color w:val="auto"/>
                <w:sz w:val="24"/>
              </w:rPr>
              <w:t>86.1867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工业废水处理系统</w:t>
            </w:r>
          </w:p>
        </w:tc>
        <w:tc>
          <w:tcPr>
            <w:tcW w:w="4297" w:type="dxa"/>
            <w:vAlign w:val="center"/>
          </w:tcPr>
          <w:p>
            <w:pPr>
              <w:jc w:val="center"/>
              <w:rPr>
                <w:rFonts w:ascii="宋体" w:hAnsi="宋体"/>
                <w:color w:val="auto"/>
                <w:sz w:val="24"/>
              </w:rPr>
            </w:pPr>
            <w:r>
              <w:rPr>
                <w:rFonts w:hint="eastAsia" w:ascii="宋体" w:hAnsi="宋体"/>
                <w:color w:val="auto"/>
                <w:sz w:val="24"/>
              </w:rPr>
              <w:t>979.137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生活污水处理系统</w:t>
            </w:r>
          </w:p>
        </w:tc>
        <w:tc>
          <w:tcPr>
            <w:tcW w:w="4297" w:type="dxa"/>
            <w:vAlign w:val="center"/>
          </w:tcPr>
          <w:p>
            <w:pPr>
              <w:jc w:val="center"/>
              <w:rPr>
                <w:rFonts w:ascii="宋体" w:hAnsi="宋体"/>
                <w:color w:val="auto"/>
                <w:sz w:val="24"/>
              </w:rPr>
            </w:pPr>
            <w:r>
              <w:rPr>
                <w:rFonts w:hint="eastAsia" w:ascii="宋体" w:hAnsi="宋体"/>
                <w:color w:val="auto"/>
                <w:sz w:val="24"/>
              </w:rPr>
              <w:t>238.6614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lang w:eastAsia="zh-CN"/>
              </w:rPr>
              <w:t>含煤废水</w:t>
            </w:r>
            <w:r>
              <w:rPr>
                <w:rFonts w:hint="eastAsia" w:ascii="宋体" w:hAnsi="宋体"/>
                <w:sz w:val="24"/>
              </w:rPr>
              <w:t>处理系统</w:t>
            </w:r>
          </w:p>
        </w:tc>
        <w:tc>
          <w:tcPr>
            <w:tcW w:w="4297" w:type="dxa"/>
            <w:vAlign w:val="center"/>
          </w:tcPr>
          <w:p>
            <w:pPr>
              <w:jc w:val="center"/>
              <w:rPr>
                <w:rFonts w:ascii="宋体" w:hAnsi="宋体"/>
                <w:color w:val="auto"/>
                <w:sz w:val="24"/>
              </w:rPr>
            </w:pPr>
            <w:r>
              <w:rPr>
                <w:rFonts w:hint="eastAsia" w:ascii="宋体" w:hAnsi="宋体"/>
                <w:color w:val="auto"/>
                <w:sz w:val="24"/>
              </w:rPr>
              <w:t>272.5358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除灰系统</w:t>
            </w:r>
          </w:p>
        </w:tc>
        <w:tc>
          <w:tcPr>
            <w:tcW w:w="4297" w:type="dxa"/>
            <w:vAlign w:val="center"/>
          </w:tcPr>
          <w:p>
            <w:pPr>
              <w:jc w:val="center"/>
              <w:rPr>
                <w:rFonts w:ascii="宋体" w:hAnsi="宋体"/>
                <w:color w:val="auto"/>
                <w:sz w:val="24"/>
              </w:rPr>
            </w:pPr>
            <w:r>
              <w:rPr>
                <w:rFonts w:hint="eastAsia" w:ascii="宋体" w:hAnsi="宋体"/>
                <w:color w:val="auto"/>
                <w:sz w:val="24"/>
              </w:rPr>
              <w:t>1161.6623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除渣系统</w:t>
            </w:r>
          </w:p>
        </w:tc>
        <w:tc>
          <w:tcPr>
            <w:tcW w:w="4297" w:type="dxa"/>
            <w:vAlign w:val="center"/>
          </w:tcPr>
          <w:p>
            <w:pPr>
              <w:jc w:val="center"/>
              <w:rPr>
                <w:rFonts w:ascii="宋体" w:hAnsi="宋体"/>
                <w:color w:val="auto"/>
                <w:sz w:val="24"/>
              </w:rPr>
            </w:pPr>
            <w:r>
              <w:rPr>
                <w:rFonts w:hint="eastAsia" w:ascii="宋体" w:hAnsi="宋体"/>
                <w:color w:val="auto"/>
                <w:sz w:val="24"/>
              </w:rPr>
              <w:t>878.2328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4219" w:type="dxa"/>
            <w:vAlign w:val="center"/>
          </w:tcPr>
          <w:p>
            <w:pPr>
              <w:jc w:val="center"/>
              <w:rPr>
                <w:rFonts w:ascii="宋体" w:hAnsi="宋体"/>
                <w:sz w:val="24"/>
              </w:rPr>
            </w:pPr>
            <w:r>
              <w:rPr>
                <w:rFonts w:hint="eastAsia" w:ascii="宋体" w:hAnsi="宋体"/>
                <w:sz w:val="24"/>
              </w:rPr>
              <w:t>封闭煤场</w:t>
            </w:r>
          </w:p>
        </w:tc>
        <w:tc>
          <w:tcPr>
            <w:tcW w:w="4297" w:type="dxa"/>
            <w:vAlign w:val="center"/>
          </w:tcPr>
          <w:p>
            <w:pPr>
              <w:jc w:val="center"/>
              <w:rPr>
                <w:rFonts w:ascii="宋体" w:hAnsi="宋体"/>
                <w:color w:val="auto"/>
                <w:sz w:val="24"/>
              </w:rPr>
            </w:pPr>
            <w:r>
              <w:rPr>
                <w:rFonts w:hint="eastAsia" w:ascii="宋体" w:hAnsi="宋体" w:cs="宋体"/>
                <w:color w:val="auto"/>
                <w:kern w:val="0"/>
                <w:sz w:val="24"/>
              </w:rPr>
              <w:t>3767.5801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绿化</w:t>
            </w:r>
          </w:p>
        </w:tc>
        <w:tc>
          <w:tcPr>
            <w:tcW w:w="4297" w:type="dxa"/>
            <w:vAlign w:val="center"/>
          </w:tcPr>
          <w:p>
            <w:pPr>
              <w:jc w:val="center"/>
              <w:rPr>
                <w:rFonts w:ascii="宋体" w:hAnsi="宋体"/>
                <w:color w:val="auto"/>
                <w:sz w:val="24"/>
              </w:rPr>
            </w:pPr>
            <w:r>
              <w:rPr>
                <w:rFonts w:hint="eastAsia" w:ascii="宋体" w:hAnsi="宋体"/>
                <w:color w:val="auto"/>
                <w:sz w:val="24"/>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环保投资合计</w:t>
            </w:r>
          </w:p>
        </w:tc>
        <w:tc>
          <w:tcPr>
            <w:tcW w:w="4297" w:type="dxa"/>
            <w:vAlign w:val="center"/>
          </w:tcPr>
          <w:p>
            <w:pPr>
              <w:jc w:val="center"/>
              <w:rPr>
                <w:rFonts w:ascii="宋体" w:hAnsi="宋体"/>
                <w:color w:val="auto"/>
                <w:sz w:val="24"/>
              </w:rPr>
            </w:pPr>
            <w:r>
              <w:rPr>
                <w:rFonts w:hint="eastAsia" w:ascii="宋体" w:hAnsi="宋体"/>
                <w:color w:val="auto"/>
                <w:sz w:val="24"/>
              </w:rPr>
              <w:t>30678.9876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项目总投资</w:t>
            </w:r>
          </w:p>
        </w:tc>
        <w:tc>
          <w:tcPr>
            <w:tcW w:w="4297" w:type="dxa"/>
            <w:vAlign w:val="center"/>
          </w:tcPr>
          <w:p>
            <w:pPr>
              <w:jc w:val="center"/>
              <w:rPr>
                <w:rFonts w:ascii="宋体" w:hAnsi="宋体"/>
                <w:color w:val="auto"/>
                <w:sz w:val="24"/>
              </w:rPr>
            </w:pPr>
            <w:r>
              <w:rPr>
                <w:rFonts w:ascii="宋体" w:hAnsi="宋体"/>
                <w:color w:val="auto"/>
                <w:sz w:val="24"/>
              </w:rPr>
              <w:t>273581.442</w:t>
            </w:r>
            <w:r>
              <w:rPr>
                <w:rFonts w:hint="eastAsia" w:ascii="宋体" w:hAnsi="宋体"/>
                <w:color w:val="auto"/>
                <w:sz w:val="24"/>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19" w:type="dxa"/>
            <w:vAlign w:val="center"/>
          </w:tcPr>
          <w:p>
            <w:pPr>
              <w:jc w:val="center"/>
              <w:rPr>
                <w:rFonts w:ascii="宋体" w:hAnsi="宋体"/>
                <w:sz w:val="24"/>
              </w:rPr>
            </w:pPr>
            <w:r>
              <w:rPr>
                <w:rFonts w:hint="eastAsia" w:ascii="宋体" w:hAnsi="宋体"/>
                <w:sz w:val="24"/>
              </w:rPr>
              <w:t>环保投资占总投资比例%</w:t>
            </w:r>
          </w:p>
        </w:tc>
        <w:tc>
          <w:tcPr>
            <w:tcW w:w="4297" w:type="dxa"/>
            <w:vAlign w:val="center"/>
          </w:tcPr>
          <w:p>
            <w:pPr>
              <w:jc w:val="center"/>
              <w:rPr>
                <w:rFonts w:ascii="宋体" w:hAnsi="宋体"/>
                <w:color w:val="auto"/>
                <w:sz w:val="24"/>
              </w:rPr>
            </w:pPr>
            <w:r>
              <w:rPr>
                <w:rFonts w:hint="eastAsia" w:ascii="宋体" w:hAnsi="宋体"/>
                <w:color w:val="auto"/>
                <w:sz w:val="24"/>
              </w:rPr>
              <w:t>11.214</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7" w:name="_Toc21745"/>
      <w:r>
        <w:rPr>
          <w:rFonts w:hint="eastAsia" w:ascii="宋体" w:hAnsi="宋体" w:eastAsia="宋体"/>
          <w:b/>
          <w:bCs/>
          <w:sz w:val="30"/>
          <w:szCs w:val="30"/>
          <w:lang w:val="en-US" w:eastAsia="zh-CN"/>
        </w:rPr>
        <w:t>3.3主要原辅材料及消耗</w:t>
      </w:r>
      <w:bookmarkEnd w:id="7"/>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本工目前程燃煤来源主要来自</w:t>
      </w:r>
      <w:r>
        <w:rPr>
          <w:rFonts w:hint="eastAsia" w:ascii="宋体" w:hAnsi="宋体" w:eastAsia="宋体"/>
          <w:b w:val="0"/>
          <w:bCs w:val="0"/>
          <w:color w:val="000000" w:themeColor="text1"/>
          <w:sz w:val="28"/>
          <w:szCs w:val="28"/>
          <w:lang w:val="en-US" w:eastAsia="zh-CN"/>
        </w:rPr>
        <w:t>天池能源煤矿和北塔山煤矿</w:t>
      </w:r>
      <w:r>
        <w:rPr>
          <w:rFonts w:hint="eastAsia" w:ascii="宋体" w:hAnsi="宋体" w:eastAsia="宋体"/>
          <w:b w:val="0"/>
          <w:bCs w:val="0"/>
          <w:sz w:val="28"/>
          <w:szCs w:val="28"/>
          <w:lang w:val="en-US" w:eastAsia="zh-CN"/>
        </w:rPr>
        <w:t>，燃煤由卡车运送至动力站煤场；脱硝还原剂液氨外购用槽车运送至动力站氨区，脱硫吸收剂电石渣由化工区乙炔装置区提供。动力站原辅料消耗情况见表3-4。</w:t>
      </w:r>
    </w:p>
    <w:p>
      <w:pPr>
        <w:pStyle w:val="2"/>
        <w:jc w:val="center"/>
        <w:rPr>
          <w:rFonts w:hint="eastAsia" w:hAnsi="宋体" w:eastAsia="宋体"/>
          <w:b/>
          <w:bCs/>
          <w:color w:val="FF0000"/>
          <w:sz w:val="24"/>
          <w:szCs w:val="24"/>
          <w:lang w:val="en-US" w:eastAsia="zh-CN"/>
        </w:rPr>
      </w:pPr>
    </w:p>
    <w:p>
      <w:pPr>
        <w:pStyle w:val="2"/>
        <w:jc w:val="center"/>
        <w:rPr>
          <w:rFonts w:hint="eastAsia" w:hAnsi="宋体" w:eastAsia="宋体"/>
          <w:b/>
          <w:bCs/>
          <w:color w:val="FF0000"/>
          <w:sz w:val="24"/>
          <w:szCs w:val="24"/>
          <w:lang w:val="en-US" w:eastAsia="zh-CN"/>
        </w:rPr>
      </w:pPr>
    </w:p>
    <w:p>
      <w:pPr>
        <w:pStyle w:val="2"/>
        <w:jc w:val="center"/>
        <w:rPr>
          <w:rFonts w:hint="eastAsia"/>
          <w:b/>
          <w:bCs/>
          <w:color w:val="000000" w:themeColor="text1"/>
          <w:sz w:val="24"/>
          <w:szCs w:val="24"/>
          <w:lang w:val="en-US" w:eastAsia="zh-CN"/>
        </w:rPr>
      </w:pPr>
      <w:r>
        <w:rPr>
          <w:rFonts w:hint="eastAsia" w:hAnsi="宋体" w:eastAsia="宋体"/>
          <w:b/>
          <w:bCs/>
          <w:color w:val="000000" w:themeColor="text1"/>
          <w:sz w:val="24"/>
          <w:szCs w:val="24"/>
          <w:lang w:val="en-US" w:eastAsia="zh-CN"/>
        </w:rPr>
        <w:t>表3-4  原辅料消耗情况</w:t>
      </w:r>
    </w:p>
    <w:tbl>
      <w:tblPr>
        <w:tblStyle w:val="11"/>
        <w:tblW w:w="84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460"/>
        <w:gridCol w:w="2265"/>
        <w:gridCol w:w="2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81" w:type="dxa"/>
            <w:vAlign w:val="center"/>
          </w:tcPr>
          <w:p>
            <w:pPr>
              <w:jc w:val="center"/>
              <w:rPr>
                <w:rFonts w:hint="eastAsia" w:ascii="宋体" w:hAnsi="宋体"/>
                <w:sz w:val="24"/>
              </w:rPr>
            </w:pPr>
            <w:r>
              <w:rPr>
                <w:rFonts w:hint="eastAsia" w:ascii="宋体" w:hAnsi="宋体"/>
                <w:sz w:val="24"/>
              </w:rPr>
              <w:t>原料</w:t>
            </w:r>
          </w:p>
        </w:tc>
        <w:tc>
          <w:tcPr>
            <w:tcW w:w="2460" w:type="dxa"/>
            <w:vAlign w:val="center"/>
          </w:tcPr>
          <w:p>
            <w:pPr>
              <w:jc w:val="center"/>
              <w:rPr>
                <w:rFonts w:hint="eastAsia" w:ascii="宋体" w:hAnsi="宋体"/>
                <w:sz w:val="24"/>
              </w:rPr>
            </w:pPr>
            <w:r>
              <w:rPr>
                <w:rFonts w:hint="eastAsia" w:ascii="宋体" w:hAnsi="宋体"/>
                <w:sz w:val="24"/>
              </w:rPr>
              <w:t>小时消耗量（吨）</w:t>
            </w:r>
          </w:p>
        </w:tc>
        <w:tc>
          <w:tcPr>
            <w:tcW w:w="2265" w:type="dxa"/>
            <w:vAlign w:val="center"/>
          </w:tcPr>
          <w:p>
            <w:pPr>
              <w:jc w:val="center"/>
              <w:rPr>
                <w:rFonts w:hint="eastAsia" w:ascii="宋体" w:hAnsi="宋体"/>
                <w:sz w:val="24"/>
              </w:rPr>
            </w:pPr>
            <w:r>
              <w:rPr>
                <w:rFonts w:hint="eastAsia" w:ascii="宋体" w:hAnsi="宋体"/>
                <w:sz w:val="24"/>
              </w:rPr>
              <w:t>日消耗量（吨）</w:t>
            </w:r>
          </w:p>
        </w:tc>
        <w:tc>
          <w:tcPr>
            <w:tcW w:w="2100" w:type="dxa"/>
            <w:vAlign w:val="center"/>
          </w:tcPr>
          <w:p>
            <w:pPr>
              <w:jc w:val="center"/>
              <w:rPr>
                <w:rFonts w:hint="eastAsia" w:ascii="宋体" w:hAnsi="宋体"/>
                <w:sz w:val="24"/>
              </w:rPr>
            </w:pPr>
            <w:r>
              <w:rPr>
                <w:rFonts w:hint="eastAsia" w:ascii="宋体" w:hAnsi="宋体"/>
                <w:sz w:val="24"/>
              </w:rPr>
              <w:t>年消耗量（万吨）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81" w:type="dxa"/>
            <w:vAlign w:val="center"/>
          </w:tcPr>
          <w:p>
            <w:pPr>
              <w:jc w:val="center"/>
              <w:rPr>
                <w:rFonts w:hint="eastAsia" w:ascii="宋体" w:hAnsi="宋体"/>
                <w:sz w:val="24"/>
              </w:rPr>
            </w:pPr>
            <w:r>
              <w:rPr>
                <w:rFonts w:hint="eastAsia" w:ascii="宋体" w:hAnsi="宋体"/>
                <w:sz w:val="24"/>
              </w:rPr>
              <w:t>燃煤</w:t>
            </w:r>
          </w:p>
        </w:tc>
        <w:tc>
          <w:tcPr>
            <w:tcW w:w="2460" w:type="dxa"/>
            <w:vAlign w:val="center"/>
          </w:tcPr>
          <w:p>
            <w:pPr>
              <w:spacing w:line="220" w:lineRule="atLeast"/>
              <w:jc w:val="center"/>
              <w:rPr>
                <w:rFonts w:hint="eastAsia" w:ascii="宋体" w:hAnsi="宋体" w:eastAsiaTheme="minorEastAsia"/>
                <w:sz w:val="24"/>
                <w:lang w:val="en-US" w:eastAsia="zh-CN"/>
              </w:rPr>
            </w:pPr>
            <w:r>
              <w:rPr>
                <w:rFonts w:hint="eastAsia" w:ascii="宋体" w:hAnsi="宋体"/>
                <w:sz w:val="24"/>
                <w:lang w:val="en-US" w:eastAsia="zh-CN"/>
              </w:rPr>
              <w:t>108</w:t>
            </w:r>
          </w:p>
        </w:tc>
        <w:tc>
          <w:tcPr>
            <w:tcW w:w="2265"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2600</w:t>
            </w:r>
          </w:p>
        </w:tc>
        <w:tc>
          <w:tcPr>
            <w:tcW w:w="2100"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81" w:type="dxa"/>
            <w:vAlign w:val="center"/>
          </w:tcPr>
          <w:p>
            <w:pPr>
              <w:jc w:val="center"/>
              <w:rPr>
                <w:rFonts w:hint="eastAsia" w:ascii="宋体" w:hAnsi="宋体"/>
                <w:sz w:val="24"/>
              </w:rPr>
            </w:pPr>
            <w:r>
              <w:rPr>
                <w:rFonts w:hint="eastAsia" w:ascii="宋体" w:hAnsi="宋体"/>
                <w:sz w:val="24"/>
              </w:rPr>
              <w:t>液氨</w:t>
            </w:r>
          </w:p>
        </w:tc>
        <w:tc>
          <w:tcPr>
            <w:tcW w:w="2460" w:type="dxa"/>
            <w:vAlign w:val="center"/>
          </w:tcPr>
          <w:p>
            <w:pPr>
              <w:spacing w:line="220" w:lineRule="atLeast"/>
              <w:jc w:val="center"/>
              <w:rPr>
                <w:rFonts w:hint="eastAsia" w:ascii="宋体" w:hAnsi="宋体" w:eastAsiaTheme="minorEastAsia"/>
                <w:sz w:val="24"/>
                <w:lang w:val="en-US" w:eastAsia="zh-CN"/>
              </w:rPr>
            </w:pPr>
            <w:r>
              <w:rPr>
                <w:rFonts w:hint="eastAsia" w:ascii="宋体" w:hAnsi="宋体"/>
                <w:sz w:val="24"/>
              </w:rPr>
              <w:t>0.</w:t>
            </w:r>
            <w:r>
              <w:rPr>
                <w:rFonts w:hint="eastAsia" w:ascii="宋体" w:hAnsi="宋体"/>
                <w:sz w:val="24"/>
                <w:lang w:val="en-US" w:eastAsia="zh-CN"/>
              </w:rPr>
              <w:t>0</w:t>
            </w:r>
            <w:r>
              <w:rPr>
                <w:rFonts w:hint="eastAsia" w:ascii="宋体" w:hAnsi="宋体"/>
                <w:sz w:val="24"/>
              </w:rPr>
              <w:t>4</w:t>
            </w:r>
            <w:r>
              <w:rPr>
                <w:rFonts w:hint="eastAsia" w:ascii="宋体" w:hAnsi="宋体"/>
                <w:sz w:val="24"/>
                <w:lang w:val="en-US" w:eastAsia="zh-CN"/>
              </w:rPr>
              <w:t>5</w:t>
            </w:r>
          </w:p>
        </w:tc>
        <w:tc>
          <w:tcPr>
            <w:tcW w:w="2265"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1.07</w:t>
            </w:r>
          </w:p>
        </w:tc>
        <w:tc>
          <w:tcPr>
            <w:tcW w:w="2100"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81" w:type="dxa"/>
            <w:vAlign w:val="center"/>
          </w:tcPr>
          <w:p>
            <w:pPr>
              <w:jc w:val="center"/>
              <w:rPr>
                <w:rFonts w:hint="eastAsia" w:ascii="宋体" w:hAnsi="宋体" w:eastAsiaTheme="minorEastAsia"/>
                <w:sz w:val="24"/>
                <w:lang w:eastAsia="zh-CN"/>
              </w:rPr>
            </w:pPr>
            <w:r>
              <w:rPr>
                <w:rFonts w:hint="eastAsia" w:ascii="宋体" w:hAnsi="宋体"/>
                <w:sz w:val="24"/>
                <w:lang w:eastAsia="zh-CN"/>
              </w:rPr>
              <w:t>电石渣</w:t>
            </w:r>
          </w:p>
        </w:tc>
        <w:tc>
          <w:tcPr>
            <w:tcW w:w="2460" w:type="dxa"/>
            <w:vAlign w:val="center"/>
          </w:tcPr>
          <w:p>
            <w:pPr>
              <w:spacing w:line="220" w:lineRule="atLeast"/>
              <w:jc w:val="center"/>
              <w:rPr>
                <w:rFonts w:hint="eastAsia" w:ascii="宋体" w:hAnsi="宋体" w:eastAsiaTheme="minorEastAsia"/>
                <w:sz w:val="24"/>
                <w:lang w:val="en-US" w:eastAsia="zh-CN"/>
              </w:rPr>
            </w:pPr>
            <w:r>
              <w:rPr>
                <w:rFonts w:hint="eastAsia" w:ascii="宋体" w:hAnsi="宋体"/>
                <w:sz w:val="24"/>
                <w:lang w:val="en-US" w:eastAsia="zh-CN"/>
              </w:rPr>
              <w:t>0.803</w:t>
            </w:r>
          </w:p>
        </w:tc>
        <w:tc>
          <w:tcPr>
            <w:tcW w:w="2265"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19.27</w:t>
            </w:r>
          </w:p>
        </w:tc>
        <w:tc>
          <w:tcPr>
            <w:tcW w:w="2100"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06" w:type="dxa"/>
            <w:gridSpan w:val="4"/>
            <w:vAlign w:val="center"/>
          </w:tcPr>
          <w:p>
            <w:pPr>
              <w:jc w:val="left"/>
              <w:rPr>
                <w:rFonts w:hint="eastAsia" w:ascii="宋体" w:hAnsi="宋体" w:eastAsiaTheme="minorEastAsia"/>
                <w:sz w:val="24"/>
                <w:lang w:val="en-US" w:eastAsia="zh-CN"/>
              </w:rPr>
            </w:pPr>
            <w:r>
              <w:rPr>
                <w:rFonts w:hint="eastAsia" w:ascii="宋体" w:hAnsi="宋体"/>
                <w:bCs/>
                <w:sz w:val="21"/>
                <w:szCs w:val="21"/>
              </w:rPr>
              <w:t>备注：日消耗量按24小时计算，年消耗量按7</w:t>
            </w:r>
            <w:r>
              <w:rPr>
                <w:rFonts w:hint="eastAsia" w:ascii="宋体" w:hAnsi="宋体"/>
                <w:bCs/>
                <w:sz w:val="21"/>
                <w:szCs w:val="21"/>
                <w:lang w:val="en-US" w:eastAsia="zh-CN"/>
              </w:rPr>
              <w:t>2</w:t>
            </w:r>
            <w:r>
              <w:rPr>
                <w:rFonts w:hint="eastAsia" w:ascii="宋体" w:hAnsi="宋体"/>
                <w:bCs/>
                <w:sz w:val="21"/>
                <w:szCs w:val="21"/>
              </w:rPr>
              <w:t>00小时计算</w:t>
            </w:r>
            <w:r>
              <w:rPr>
                <w:rFonts w:hint="eastAsia" w:ascii="宋体" w:hAnsi="宋体"/>
                <w:bCs/>
                <w:sz w:val="21"/>
                <w:szCs w:val="21"/>
                <w:lang w:val="en-US" w:eastAsia="zh-CN"/>
              </w:rPr>
              <w:t>,负荷为单台机组230MW</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color w:val="000000" w:themeColor="text1"/>
          <w:sz w:val="30"/>
          <w:szCs w:val="30"/>
          <w:lang w:val="en-US" w:eastAsia="zh-CN"/>
        </w:rPr>
      </w:pPr>
      <w:bookmarkStart w:id="8" w:name="_Toc28673"/>
      <w:r>
        <w:rPr>
          <w:rFonts w:hint="eastAsia" w:ascii="宋体" w:hAnsi="宋体" w:eastAsia="宋体"/>
          <w:b/>
          <w:bCs/>
          <w:color w:val="000000" w:themeColor="text1"/>
          <w:sz w:val="30"/>
          <w:szCs w:val="30"/>
          <w:lang w:val="en-US" w:eastAsia="zh-CN"/>
        </w:rPr>
        <w:t>3.4水源及用水情况</w:t>
      </w:r>
      <w:bookmarkEnd w:id="8"/>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hAnsi="宋体" w:eastAsia="宋体"/>
          <w:b w:val="0"/>
          <w:bCs w:val="0"/>
          <w:color w:val="0C0C0C" w:themeColor="text1" w:themeTint="F2"/>
          <w:sz w:val="28"/>
          <w:szCs w:val="28"/>
          <w:lang w:val="en-US" w:eastAsia="zh-CN"/>
        </w:rPr>
      </w:pPr>
      <w:r>
        <w:rPr>
          <w:rFonts w:hint="eastAsia" w:hAnsi="宋体" w:eastAsia="宋体"/>
          <w:b w:val="0"/>
          <w:bCs w:val="0"/>
          <w:color w:val="000000" w:themeColor="text1"/>
          <w:sz w:val="28"/>
          <w:szCs w:val="28"/>
          <w:lang w:val="en-US" w:eastAsia="zh-CN"/>
        </w:rPr>
        <w:t>动力站的水源来自工业园区，工业园水源由五彩湾事故调配水池供给，新疆国泰新华化工有限责任公司建有供水站，动力站所有工业用水、生活用水、消防用水全部由供水站供给。动力站新鲜用水量约为</w:t>
      </w:r>
      <w:r>
        <w:rPr>
          <w:rFonts w:hint="eastAsia" w:hAnsi="宋体" w:eastAsia="宋体"/>
          <w:b w:val="0"/>
          <w:bCs w:val="0"/>
          <w:color w:val="0C0C0C" w:themeColor="text1" w:themeTint="F2"/>
          <w:sz w:val="28"/>
          <w:szCs w:val="28"/>
          <w:lang w:val="en-US" w:eastAsia="zh-CN"/>
        </w:rPr>
        <w:t>1272t/d，其中工业用水量约为1152t/d生活用水量约120t/d，其中重复用水约为29664t/d，用水内容见表3-5，动力站水平衡见图3-4。</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bCs/>
          <w:color w:val="0C0C0C" w:themeColor="text1" w:themeTint="F2"/>
          <w:sz w:val="24"/>
          <w:szCs w:val="24"/>
          <w:lang w:val="en-US" w:eastAsia="zh-CN"/>
        </w:rPr>
      </w:pPr>
      <w:r>
        <w:rPr>
          <w:rFonts w:hint="eastAsia" w:hAnsi="宋体" w:eastAsia="宋体"/>
          <w:b/>
          <w:bCs/>
          <w:color w:val="0C0C0C" w:themeColor="text1" w:themeTint="F2"/>
          <w:sz w:val="24"/>
          <w:szCs w:val="24"/>
          <w:lang w:val="en-US" w:eastAsia="zh-CN"/>
        </w:rPr>
        <w:t>表3-5  动力站用水内容一览表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480"/>
        <w:gridCol w:w="2480"/>
        <w:gridCol w:w="24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lang w:val="en-US" w:eastAsia="zh-CN"/>
              </w:rPr>
              <w:t>序号</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类别</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内容</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实际用量（</w:t>
            </w:r>
            <w:r>
              <w:rPr>
                <w:rFonts w:hint="eastAsia" w:hAnsi="宋体" w:eastAsia="宋体"/>
                <w:b w:val="0"/>
                <w:bCs w:val="0"/>
                <w:color w:val="0C0C0C" w:themeColor="text1" w:themeTint="F2"/>
                <w:sz w:val="21"/>
                <w:szCs w:val="21"/>
                <w:lang w:val="en-US" w:eastAsia="zh-CN"/>
              </w:rPr>
              <w:t>t/d</w:t>
            </w:r>
            <w:r>
              <w:rPr>
                <w:rFonts w:hint="eastAsia" w:hAnsi="宋体" w:eastAsia="宋体"/>
                <w:b w:val="0"/>
                <w:bCs w:val="0"/>
                <w:color w:val="0C0C0C" w:themeColor="text1" w:themeTint="F2"/>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1</w:t>
            </w:r>
          </w:p>
        </w:tc>
        <w:tc>
          <w:tcPr>
            <w:tcW w:w="24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工业用水</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脱盐水站补水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1104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2</w:t>
            </w:r>
          </w:p>
        </w:tc>
        <w:tc>
          <w:tcPr>
            <w:tcW w:w="24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脱硫塔补水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3</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生活用水</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生活用水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合计</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1272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4</w:t>
            </w:r>
          </w:p>
        </w:tc>
        <w:tc>
          <w:tcPr>
            <w:tcW w:w="24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重复用水</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汽轮机循环水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27528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5</w:t>
            </w:r>
          </w:p>
        </w:tc>
        <w:tc>
          <w:tcPr>
            <w:tcW w:w="24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辅机冷却循环水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6</w:t>
            </w:r>
          </w:p>
        </w:tc>
        <w:tc>
          <w:tcPr>
            <w:tcW w:w="24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脱硫系统循环水</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合计</w:t>
            </w:r>
          </w:p>
        </w:tc>
        <w:tc>
          <w:tcPr>
            <w:tcW w:w="24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w:t>
            </w:r>
          </w:p>
        </w:tc>
        <w:tc>
          <w:tcPr>
            <w:tcW w:w="24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29664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516"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eastAsia="宋体"/>
                <w:b w:val="0"/>
                <w:bCs w:val="0"/>
                <w:color w:val="0C0C0C" w:themeColor="text1" w:themeTint="F2"/>
                <w:sz w:val="21"/>
                <w:szCs w:val="21"/>
                <w:vertAlign w:val="baseline"/>
                <w:lang w:val="en-US" w:eastAsia="zh-CN"/>
              </w:rPr>
            </w:pPr>
            <w:r>
              <w:rPr>
                <w:rFonts w:hint="eastAsia" w:hAnsi="宋体" w:eastAsia="宋体"/>
                <w:b w:val="0"/>
                <w:bCs w:val="0"/>
                <w:color w:val="0C0C0C" w:themeColor="text1" w:themeTint="F2"/>
                <w:sz w:val="21"/>
                <w:szCs w:val="21"/>
                <w:vertAlign w:val="baseline"/>
                <w:lang w:val="en-US" w:eastAsia="zh-CN"/>
              </w:rPr>
              <w:t>备注：日消耗水量按24小时计</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drawing>
          <wp:inline distT="0" distB="0" distL="114300" distR="114300">
            <wp:extent cx="9979660" cy="5977255"/>
            <wp:effectExtent l="0" t="0" r="2540" b="4445"/>
            <wp:docPr id="27" name="图片 27" descr="全厂水平衡图11.27-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全厂水平衡图11.27-Model_00"/>
                    <pic:cNvPicPr>
                      <a:picLocks noChangeAspect="1"/>
                    </pic:cNvPicPr>
                  </pic:nvPicPr>
                  <pic:blipFill>
                    <a:blip r:embed="rId25"/>
                    <a:stretch>
                      <a:fillRect/>
                    </a:stretch>
                  </pic:blipFill>
                  <pic:spPr>
                    <a:xfrm>
                      <a:off x="0" y="0"/>
                      <a:ext cx="9979660" cy="5977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图3-4  动力站水平衡图</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sectPr>
          <w:pgSz w:w="16838" w:h="11906" w:orient="landscape"/>
          <w:pgMar w:top="567" w:right="567" w:bottom="567"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9" w:name="_Toc6971"/>
      <w:r>
        <w:rPr>
          <w:rFonts w:hint="eastAsia" w:ascii="宋体" w:hAnsi="宋体" w:eastAsia="宋体"/>
          <w:b/>
          <w:bCs/>
          <w:sz w:val="30"/>
          <w:szCs w:val="30"/>
          <w:lang w:val="en-US" w:eastAsia="zh-CN"/>
        </w:rPr>
        <w:t>3.5工艺流程</w:t>
      </w:r>
      <w:bookmarkEnd w:id="9"/>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本工程主要生产系统包括燃料输送系统、燃烧制粉系统、电气系统、除灰渣系统、化学补给水系统和环保工程系统。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燃料煤由汽车运输至电厂煤场，经输煤系统进入煤粉系统制成煤粉。煤粉进入锅炉燃烧，将锅炉内的软化水加热成高温高压蒸汽，蒸汽在汽轮机中做功带动发电机发电，汽轮机蒸汽后进入冷凝器，冷凝成水后进入锅炉循环使用。燃煤经炉内低氮燃烧后进入SCR脱硝装置，除去烟气中大部分的氮氧化物，再进入布袋除尘器，绝大部分飞灰被除尘器捕集下来，之后进入电石渣脱硫系统，脱硫系统安装除雾器进一步除尘，脱硫系统处理后的烟气通过高烟囱排入大气。脱硝工艺流程见图3-5，脱硫工艺流程见图3-6。</w:t>
      </w: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ascii="宋体" w:hAnsi="宋体" w:eastAsia="宋体"/>
          <w:b w:val="0"/>
          <w:bCs w:val="0"/>
          <w:sz w:val="28"/>
          <w:szCs w:val="28"/>
          <w:lang w:val="en-US" w:eastAsia="zh-CN"/>
        </w:rPr>
      </w:pPr>
      <w:r>
        <w:rPr>
          <w:sz w:val="30"/>
          <w:szCs w:val="30"/>
        </w:rPr>
        <w:drawing>
          <wp:anchor distT="0" distB="0" distL="114935" distR="114935" simplePos="0" relativeHeight="1393640448" behindDoc="0" locked="1" layoutInCell="1" allowOverlap="1">
            <wp:simplePos x="0" y="0"/>
            <wp:positionH relativeFrom="page">
              <wp:posOffset>1164590</wp:posOffset>
            </wp:positionH>
            <wp:positionV relativeFrom="paragraph">
              <wp:posOffset>25400</wp:posOffset>
            </wp:positionV>
            <wp:extent cx="5368925" cy="3582670"/>
            <wp:effectExtent l="0" t="0" r="10795" b="13970"/>
            <wp:wrapTopAndBottom/>
            <wp:docPr id="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3"/>
                    <pic:cNvPicPr>
                      <a:picLocks noChangeAspect="1"/>
                    </pic:cNvPicPr>
                  </pic:nvPicPr>
                  <pic:blipFill>
                    <a:blip r:embed="rId26"/>
                    <a:stretch>
                      <a:fillRect/>
                    </a:stretch>
                  </pic:blipFill>
                  <pic:spPr>
                    <a:xfrm>
                      <a:off x="0" y="0"/>
                      <a:ext cx="5368925" cy="35826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图3-5  脱硝工艺流程图</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图3-6  脱硫工艺流程图</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b/>
          <w:bCs/>
          <w:sz w:val="32"/>
          <w:szCs w:val="32"/>
          <w:lang w:val="en-US" w:eastAsia="zh-CN"/>
        </w:rPr>
      </w:pPr>
      <w:r>
        <w:drawing>
          <wp:anchor distT="0" distB="0" distL="114935" distR="114935" simplePos="0" relativeHeight="2695559168" behindDoc="1" locked="1" layoutInCell="1" allowOverlap="1">
            <wp:simplePos x="0" y="0"/>
            <wp:positionH relativeFrom="page">
              <wp:posOffset>1165860</wp:posOffset>
            </wp:positionH>
            <wp:positionV relativeFrom="page">
              <wp:posOffset>946150</wp:posOffset>
            </wp:positionV>
            <wp:extent cx="5208905" cy="3698875"/>
            <wp:effectExtent l="0" t="0" r="10795" b="0"/>
            <wp:wrapThrough wrapText="bothSides">
              <wp:wrapPolygon>
                <wp:start x="0" y="0"/>
                <wp:lineTo x="0" y="21470"/>
                <wp:lineTo x="21487" y="21470"/>
                <wp:lineTo x="21487" y="0"/>
                <wp:lineTo x="0" y="0"/>
              </wp:wrapPolygon>
            </wp:wrapThrough>
            <wp:docPr id="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2"/>
                    <pic:cNvPicPr>
                      <a:picLocks noChangeAspect="1"/>
                    </pic:cNvPicPr>
                  </pic:nvPicPr>
                  <pic:blipFill>
                    <a:blip r:embed="rId27"/>
                    <a:stretch>
                      <a:fillRect/>
                    </a:stretch>
                  </pic:blipFill>
                  <pic:spPr>
                    <a:xfrm>
                      <a:off x="0" y="0"/>
                      <a:ext cx="5208905" cy="3698875"/>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10" w:name="_Toc27581"/>
      <w:r>
        <w:rPr>
          <w:rFonts w:hint="eastAsia" w:ascii="宋体" w:hAnsi="宋体" w:eastAsia="宋体"/>
          <w:b/>
          <w:bCs/>
          <w:sz w:val="30"/>
          <w:szCs w:val="30"/>
          <w:lang w:val="en-US" w:eastAsia="zh-CN"/>
        </w:rPr>
        <w:t>3.6项目变动情况</w:t>
      </w:r>
      <w:bookmarkEnd w:id="10"/>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color w:val="FF0000"/>
          <w:sz w:val="28"/>
          <w:szCs w:val="28"/>
          <w:lang w:val="en-US" w:eastAsia="zh-CN"/>
        </w:rPr>
      </w:pPr>
      <w:r>
        <w:rPr>
          <w:rFonts w:hint="eastAsia" w:ascii="宋体" w:hAnsi="宋体" w:eastAsia="宋体"/>
          <w:b w:val="0"/>
          <w:bCs w:val="0"/>
          <w:color w:val="000000" w:themeColor="text1"/>
          <w:sz w:val="28"/>
          <w:szCs w:val="28"/>
          <w:lang w:val="en-US" w:eastAsia="zh-CN"/>
        </w:rPr>
        <w:t>本项目环评批复动力站建设3000m</w:t>
      </w:r>
      <w:r>
        <w:rPr>
          <w:rFonts w:hint="eastAsia" w:ascii="宋体" w:hAnsi="宋体" w:eastAsia="宋体"/>
          <w:b w:val="0"/>
          <w:bCs w:val="0"/>
          <w:color w:val="000000" w:themeColor="text1"/>
          <w:sz w:val="28"/>
          <w:szCs w:val="28"/>
          <w:vertAlign w:val="superscript"/>
          <w:lang w:val="en-US" w:eastAsia="zh-CN"/>
        </w:rPr>
        <w:t>3</w:t>
      </w:r>
      <w:r>
        <w:rPr>
          <w:rFonts w:hint="eastAsia" w:ascii="宋体" w:hAnsi="宋体" w:eastAsia="宋体"/>
          <w:b w:val="0"/>
          <w:bCs w:val="0"/>
          <w:color w:val="000000" w:themeColor="text1"/>
          <w:sz w:val="28"/>
          <w:szCs w:val="28"/>
          <w:lang w:val="en-US" w:eastAsia="zh-CN"/>
        </w:rPr>
        <w:t>应急事故水池，因本项目为化工装置辅助工程，在化工区建设100000m</w:t>
      </w:r>
      <w:r>
        <w:rPr>
          <w:rFonts w:hint="eastAsia" w:ascii="宋体" w:hAnsi="宋体" w:eastAsia="宋体"/>
          <w:b w:val="0"/>
          <w:bCs w:val="0"/>
          <w:color w:val="000000" w:themeColor="text1"/>
          <w:sz w:val="28"/>
          <w:szCs w:val="28"/>
          <w:vertAlign w:val="superscript"/>
          <w:lang w:val="en-US" w:eastAsia="zh-CN"/>
        </w:rPr>
        <w:t>3</w:t>
      </w:r>
      <w:r>
        <w:rPr>
          <w:rFonts w:hint="eastAsia" w:ascii="宋体" w:hAnsi="宋体" w:eastAsia="宋体"/>
          <w:b w:val="0"/>
          <w:bCs w:val="0"/>
          <w:color w:val="000000" w:themeColor="text1"/>
          <w:sz w:val="28"/>
          <w:szCs w:val="28"/>
          <w:lang w:val="en-US" w:eastAsia="zh-CN"/>
        </w:rPr>
        <w:t>应急事故水池。</w:t>
      </w:r>
    </w:p>
    <w:p>
      <w:pPr>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bookmarkStart w:id="11" w:name="_Toc27994"/>
      <w:r>
        <w:rPr>
          <w:rFonts w:hint="eastAsia" w:ascii="宋体" w:hAnsi="宋体" w:eastAsia="宋体"/>
          <w:b/>
          <w:bCs/>
          <w:sz w:val="32"/>
          <w:szCs w:val="32"/>
          <w:lang w:val="en-US" w:eastAsia="zh-CN"/>
        </w:rPr>
        <w:t>4环境保护设施</w:t>
      </w:r>
      <w:bookmarkEnd w:id="11"/>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12" w:name="_Toc4614"/>
      <w:r>
        <w:rPr>
          <w:rFonts w:hint="eastAsia" w:ascii="宋体" w:hAnsi="宋体" w:eastAsia="宋体"/>
          <w:b/>
          <w:bCs/>
          <w:sz w:val="30"/>
          <w:szCs w:val="30"/>
          <w:lang w:val="en-US" w:eastAsia="zh-CN"/>
        </w:rPr>
        <w:t>4.1污染物治理/处置设施</w:t>
      </w:r>
      <w:bookmarkEnd w:id="12"/>
    </w:p>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sz w:val="28"/>
          <w:szCs w:val="28"/>
          <w:lang w:val="en-US" w:eastAsia="zh-CN"/>
        </w:rPr>
      </w:pPr>
      <w:bookmarkStart w:id="13" w:name="_Toc24232"/>
      <w:r>
        <w:rPr>
          <w:rFonts w:hint="eastAsia" w:ascii="宋体" w:hAnsi="宋体" w:eastAsia="宋体"/>
          <w:b/>
          <w:bCs/>
          <w:sz w:val="28"/>
          <w:szCs w:val="28"/>
          <w:lang w:val="en-US" w:eastAsia="zh-CN"/>
        </w:rPr>
        <w:t>4.1.1废水</w:t>
      </w:r>
      <w:bookmarkEnd w:id="13"/>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本项目产生的废水有含煤废水、工业废水、脱硫废水、含油废水和生活污水。废水经处理后全部回用，没有外排废水。</w:t>
      </w:r>
    </w:p>
    <w:p>
      <w:pPr>
        <w:keepNext w:val="0"/>
        <w:keepLines w:val="0"/>
        <w:pageBreakBefore w:val="0"/>
        <w:widowControl w:val="0"/>
        <w:numPr>
          <w:ilvl w:val="0"/>
          <w:numId w:val="1"/>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含煤废水</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本项目建设500m</w:t>
      </w:r>
      <w:r>
        <w:rPr>
          <w:rFonts w:hint="eastAsia" w:ascii="宋体" w:hAnsi="宋体" w:eastAsia="宋体"/>
          <w:b w:val="0"/>
          <w:bCs w:val="0"/>
          <w:sz w:val="28"/>
          <w:szCs w:val="28"/>
          <w:vertAlign w:val="superscript"/>
          <w:lang w:val="en-US" w:eastAsia="zh-CN"/>
        </w:rPr>
        <w:t>3</w:t>
      </w:r>
      <w:r>
        <w:rPr>
          <w:rFonts w:hint="eastAsia" w:ascii="宋体" w:hAnsi="宋体" w:eastAsia="宋体"/>
          <w:b w:val="0"/>
          <w:bCs w:val="0"/>
          <w:sz w:val="28"/>
          <w:szCs w:val="28"/>
          <w:lang w:val="en-US" w:eastAsia="zh-CN"/>
        </w:rPr>
        <w:t>含煤废水处理池，含煤废水为输煤系统冲洗水，所有含煤废水经过澄清、沉淀等处理后回用于输煤系统。含煤废水处理系统采用自动投加混凝剂和絮凝剂的工艺。主要工艺流程见图4-1。</w:t>
      </w:r>
    </w:p>
    <w:p>
      <w:pPr>
        <w:pStyle w:val="2"/>
        <w:rPr>
          <w:rFonts w:hint="eastAsia" w:ascii="宋体" w:hAnsi="宋体" w:eastAsia="宋体"/>
          <w:b w:val="0"/>
          <w:bCs w:val="0"/>
          <w:sz w:val="28"/>
          <w:szCs w:val="28"/>
          <w:lang w:val="en-US" w:eastAsia="zh-CN"/>
        </w:rPr>
      </w:pPr>
      <w:r>
        <w:rPr>
          <w:sz w:val="28"/>
        </w:rPr>
        <w:pict>
          <v:group id="_x0000_s1062" o:spid="_x0000_s1062" o:spt="203" style="position:absolute;left:0pt;margin-left:16.05pt;margin-top:-0.8pt;height:96.6pt;width:391.8pt;z-index:251658240;mso-width-relative:page;mso-height-relative:page;" coordorigin="2407,231537" coordsize="7836,1932">
            <o:lock v:ext="edit" aspectratio="f"/>
            <v:group id="_x0000_s1045" o:spid="_x0000_s1045" o:spt="203" style="position:absolute;left:2419;top:231537;height:1932;width:7824;" coordorigin="1531,231501" coordsize="7824,1932">
              <o:lock v:ext="edit" aspectratio="f"/>
              <v:shape id="_x0000_s1040" o:spid="_x0000_s1040" o:spt="202" type="#_x0000_t202" style="position:absolute;left:4039;top:232617;height:456;width:1991;"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输煤系统用水</w:t>
                      </w:r>
                    </w:p>
                  </w:txbxContent>
                </v:textbox>
              </v:shape>
              <v:line id="_x0000_s1032" o:spid="_x0000_s1032" o:spt="20" style="position:absolute;left:6907;top:232005;height:1;width:1008;" filled="f" stroked="t" coordsize="21600,21600">
                <v:path arrowok="t"/>
                <v:fill on="f" focussize="0,0"/>
                <v:stroke weight="1pt" color="#000000" endarrow="open"/>
                <v:imagedata o:title=""/>
                <o:lock v:ext="edit" aspectratio="f"/>
              </v:line>
              <v:rect id="_x0000_s1033" o:spid="_x0000_s1033" o:spt="1" style="position:absolute;left:7927;top:231753;height:528;width:1380;"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沉淀池</w:t>
                      </w:r>
                    </w:p>
                  </w:txbxContent>
                </v:textbox>
              </v:rect>
              <v:line id="_x0000_s1034" o:spid="_x0000_s1034" o:spt="20" style="position:absolute;left:8635;top:232293;height:624;width:1;" filled="f" stroked="t" coordsize="21600,21600">
                <v:path arrowok="t"/>
                <v:fill on="f" focussize="0,0"/>
                <v:stroke weight="1pt" color="#000000" endarrow="block"/>
                <v:imagedata o:title=""/>
                <o:lock v:ext="edit" aspectratio="f"/>
              </v:line>
              <v:rect id="_x0000_s1035" o:spid="_x0000_s1035" o:spt="1" style="position:absolute;left:7975;top:232905;height:528;width:1380;"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重力式滤池</w:t>
                      </w:r>
                    </w:p>
                  </w:txbxContent>
                </v:textbox>
              </v:rect>
              <v:line id="_x0000_s1036" o:spid="_x0000_s1036" o:spt="20" style="position:absolute;left:6931;top:233205;flip:x;height:1;width:1044;" filled="f" stroked="t" coordsize="21600,21600">
                <v:path arrowok="t"/>
                <v:fill on="f" focussize="0,0"/>
                <v:stroke weight="1pt" color="#000000" endarrow="block"/>
                <v:imagedata o:title=""/>
                <o:lock v:ext="edit" aspectratio="f"/>
              </v:line>
              <v:rect id="_x0000_s1037" o:spid="_x0000_s1037" o:spt="1" style="position:absolute;left:5551;top:232905;height:528;width:1380;"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回用水池</w:t>
                      </w:r>
                    </w:p>
                  </w:txbxContent>
                </v:textbox>
              </v:rect>
              <v:line id="_x0000_s1038" o:spid="_x0000_s1038" o:spt="20" style="position:absolute;left:4519;top:233193;flip:x;height:1;width:1044;" filled="f" stroked="t" coordsize="21600,21600">
                <v:path arrowok="t"/>
                <v:fill on="f" focussize="0,0"/>
                <v:stroke weight="1pt" color="#000000" endarrow="block"/>
                <v:imagedata o:title=""/>
                <o:lock v:ext="edit" aspectratio="f"/>
              </v:line>
              <v:shape id="_x0000_s1041" o:spid="_x0000_s1041" o:spt="202" type="#_x0000_t202" style="position:absolute;left:1531;top:231501;height:456;width:1991;"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含煤废水收集</w:t>
                      </w:r>
                    </w:p>
                  </w:txbxContent>
                </v:textbox>
              </v:shape>
              <v:rect id="_x0000_s1044" o:spid="_x0000_s1044" o:spt="1" style="position:absolute;left:3163;top:231741;height:528;width:1380;" fillcolor="#FFFFFF" filled="t" stroked="t" coordsize="21600,21600">
                <v:path/>
                <v:fill on="t" color2="#FFFFFF" focussize="0,0"/>
                <v:stroke color="#000000" joinstyle="miter"/>
                <v:imagedata o:title=""/>
                <o:lock v:ext="edit" aspectratio="f"/>
                <v:textbox>
                  <w:txbxContent>
                    <w:p>
                      <w:pPr>
                        <w:shd w:val="clear"/>
                        <w:rPr>
                          <w:rFonts w:hint="eastAsia" w:eastAsiaTheme="minorEastAsia"/>
                          <w:lang w:eastAsia="zh-CN"/>
                        </w:rPr>
                      </w:pPr>
                      <w:r>
                        <w:rPr>
                          <w:rFonts w:hint="eastAsia"/>
                          <w:lang w:eastAsia="zh-CN"/>
                        </w:rPr>
                        <w:t>煤水调节池</w:t>
                      </w:r>
                    </w:p>
                  </w:txbxContent>
                </v:textbox>
              </v:rect>
              <v:line id="_x0000_s1043" o:spid="_x0000_s1043" o:spt="20" style="position:absolute;left:4543;top:232005;height:1;width:1008;" filled="f" stroked="t" coordsize="21600,21600">
                <v:path arrowok="t"/>
                <v:fill on="f" focussize="0,0"/>
                <v:stroke weight="1pt" color="#000000" endarrow="open"/>
                <v:imagedata o:title=""/>
                <o:lock v:ext="edit" aspectratio="f"/>
              </v:line>
              <v:rect id="_x0000_s1042" o:spid="_x0000_s1042" o:spt="1" style="position:absolute;left:5539;top:231765;height:528;width:1380;"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反应池</w:t>
                      </w:r>
                    </w:p>
                  </w:txbxContent>
                </v:textbox>
              </v:rect>
            </v:group>
            <v:line id="_x0000_s1061" o:spid="_x0000_s1061" o:spt="20" style="position:absolute;left:2407;top:232084;height:1;width:1644;" filled="f" stroked="t" coordsize="21600,21600">
              <v:path arrowok="t"/>
              <v:fill on="f" focussize="0,0"/>
              <v:stroke weight="1pt" color="#000000" endarrow="block"/>
              <v:imagedata o:title=""/>
              <o:lock v:ext="edit" aspectratio="f"/>
            </v:line>
          </v:group>
        </w:pict>
      </w:r>
    </w:p>
    <w:p>
      <w:pPr>
        <w:pStyle w:val="2"/>
        <w:rPr>
          <w:rFonts w:hint="eastAsia" w:ascii="宋体" w:hAnsi="宋体" w:eastAsia="宋体"/>
          <w:b w:val="0"/>
          <w:bCs w:val="0"/>
          <w:sz w:val="28"/>
          <w:szCs w:val="28"/>
          <w:lang w:val="en-US" w:eastAsia="zh-CN"/>
        </w:rPr>
      </w:pPr>
    </w:p>
    <w:p>
      <w:pPr>
        <w:pStyle w:val="2"/>
        <w:rPr>
          <w:rFonts w:hint="eastAsia" w:ascii="宋体" w:hAnsi="宋体" w:eastAsia="宋体"/>
          <w:b w:val="0"/>
          <w:bCs w:val="0"/>
          <w:sz w:val="28"/>
          <w:szCs w:val="28"/>
          <w:lang w:val="en-US" w:eastAsia="zh-CN"/>
        </w:rPr>
      </w:pPr>
    </w:p>
    <w:p>
      <w:pPr>
        <w:pStyle w:val="2"/>
        <w:rPr>
          <w:rFonts w:hint="eastAsia" w:hAnsi="宋体" w:eastAsia="宋体"/>
          <w:b/>
          <w:bCs/>
          <w:sz w:val="24"/>
          <w:szCs w:val="24"/>
          <w:lang w:val="en-US" w:eastAsia="zh-CN"/>
        </w:rPr>
      </w:pPr>
    </w:p>
    <w:p>
      <w:pPr>
        <w:pStyle w:val="2"/>
        <w:jc w:val="center"/>
        <w:rPr>
          <w:rFonts w:hint="eastAsia" w:hAnsi="宋体" w:eastAsia="宋体"/>
          <w:b/>
          <w:bCs/>
          <w:sz w:val="24"/>
          <w:szCs w:val="24"/>
          <w:lang w:val="en-US" w:eastAsia="zh-CN"/>
        </w:rPr>
      </w:pPr>
      <w:r>
        <w:rPr>
          <w:rFonts w:hint="eastAsia" w:hAnsi="宋体" w:eastAsia="宋体"/>
          <w:b/>
          <w:bCs/>
          <w:sz w:val="24"/>
          <w:szCs w:val="24"/>
          <w:lang w:val="en-US" w:eastAsia="zh-CN"/>
        </w:rPr>
        <w:t>图4-1  含煤废水处理工艺流程图</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工业废水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工业废水主要包括锅炉酸洗水、锅炉排水、脱盐废水等。其中锅炉酸洗水、锅炉排水等间歇性排放；脱盐废水为连续性排放，工业废水直接排入排水槽，然后再送入工业废水处理系统。处理系统主要处理锅炉酸洗水、锅炉排水、脱盐废水等。动力站采用干式除灰，没有冲灰水。主要工艺流程见图4-2。</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sz w:val="28"/>
        </w:rPr>
        <w:pict>
          <v:shape id="_x0000_s1088" o:spid="_x0000_s1088" o:spt="202" type="#_x0000_t202" style="position:absolute;left:0pt;margin-left:348.85pt;margin-top:7.85pt;height:27pt;width:53.4pt;z-index:-239195136;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混凝剂</w:t>
                  </w:r>
                </w:p>
              </w:txbxContent>
            </v:textbox>
          </v:shape>
        </w:pict>
      </w:r>
      <w:r>
        <w:rPr>
          <w:sz w:val="28"/>
        </w:rPr>
        <w:pict>
          <v:shape id="_x0000_s1086" o:spid="_x0000_s1086" o:spt="202" type="#_x0000_t202" style="position:absolute;left:0pt;margin-left:213.45pt;margin-top:10pt;height:27pt;width:53.4pt;z-index:-251659264;mso-width-relative:page;mso-height-relative:page;" fillcolor="#FFFFFF" filled="t" stroked="t" coordsize="21600,21600">
            <v:path/>
            <v:fill on="t" focussize="0,0"/>
            <v:stroke color="#FFFFFF"/>
            <v:imagedata o:title=""/>
            <o:lock v:ext="edit" aspectratio="f"/>
            <v:textbox>
              <w:txbxContent>
                <w:p>
                  <w:pPr>
                    <w:rPr>
                      <w:rFonts w:hint="eastAsia" w:eastAsiaTheme="minorEastAsia"/>
                      <w:lang w:eastAsia="zh-CN"/>
                    </w:rPr>
                  </w:pPr>
                  <w:r>
                    <w:rPr>
                      <w:rFonts w:hint="eastAsia"/>
                      <w:lang w:eastAsia="zh-CN"/>
                    </w:rPr>
                    <w:t>酸、碱</w:t>
                  </w:r>
                </w:p>
              </w:txbxContent>
            </v:textbox>
          </v:shape>
        </w:pict>
      </w:r>
    </w:p>
    <w:p>
      <w:pPr>
        <w:pStyle w:val="2"/>
        <w:rPr>
          <w:rFonts w:hint="eastAsia" w:ascii="宋体" w:hAnsi="宋体" w:eastAsia="宋体"/>
          <w:b w:val="0"/>
          <w:bCs w:val="0"/>
          <w:sz w:val="28"/>
          <w:szCs w:val="28"/>
          <w:lang w:val="en-US" w:eastAsia="zh-CN"/>
        </w:rPr>
      </w:pPr>
      <w:r>
        <w:rPr>
          <w:sz w:val="28"/>
        </w:rPr>
        <w:pict>
          <v:shape id="_x0000_s1101" o:spid="_x0000_s1101" o:spt="202" type="#_x0000_t202" style="position:absolute;left:0pt;margin-left:5.25pt;margin-top:15.85pt;height:27pt;width:78pt;z-index:-223613952;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工业废水</w:t>
                  </w:r>
                </w:p>
              </w:txbxContent>
            </v:textbox>
          </v:shape>
        </w:pict>
      </w:r>
      <w:r>
        <w:rPr>
          <w:sz w:val="28"/>
        </w:rPr>
        <w:pict>
          <v:line id="_x0000_s1096" o:spid="_x0000_s1096" o:spt="20" style="position:absolute;left:0pt;margin-left:238.65pt;margin-top:8.05pt;height:28.2pt;width:0.05pt;z-index:267238400;mso-width-relative:page;mso-height-relative:page;" filled="f" stroked="t" coordsize="21600,21600">
            <v:path arrowok="t"/>
            <v:fill on="f" focussize="0,0"/>
            <v:stroke weight="1pt" color="#000000" dashstyle="dash" endarrow="open"/>
            <v:imagedata o:title=""/>
            <o:lock v:ext="edit" aspectratio="f"/>
          </v:line>
        </w:pict>
      </w:r>
      <w:r>
        <w:rPr>
          <w:sz w:val="28"/>
        </w:rPr>
        <w:pict>
          <v:line id="_x0000_s1087" o:spid="_x0000_s1087" o:spt="20" style="position:absolute;left:0pt;margin-left:374.25pt;margin-top:8.05pt;height:28.2pt;width:0.05pt;z-index:264121344;mso-width-relative:page;mso-height-relative:page;" filled="f" stroked="t" coordsize="21600,21600">
            <v:path arrowok="t"/>
            <v:fill on="f" focussize="0,0"/>
            <v:stroke weight="1pt" color="#000000" dashstyle="dash" endarrow="open"/>
            <v:imagedata o:title=""/>
            <o:lock v:ext="edit" aspectratio="f"/>
          </v:line>
        </w:pict>
      </w:r>
      <w:r>
        <w:rPr>
          <w:sz w:val="28"/>
        </w:rPr>
        <w:pict>
          <v:line id="_x0000_s1083" o:spid="_x0000_s1083" o:spt="20" style="position:absolute;left:0pt;margin-left:239.25pt;margin-top:8.05pt;height:28.2pt;width:0.05pt;z-index:254773248;mso-width-relative:page;mso-height-relative:page;" filled="f" stroked="t" coordsize="21600,21600">
            <v:path arrowok="t"/>
            <v:fill on="f" focussize="0,0"/>
            <v:stroke weight="1pt" color="#000000" dashstyle="dash"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shape id="_x0000_s1102" o:spid="_x0000_s1102" o:spt="202" type="#_x0000_t202" style="position:absolute;left:0pt;margin-left:143.25pt;margin-top:21.15pt;height:27pt;width:78pt;z-index:-211149824;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提升泵</w:t>
                  </w:r>
                </w:p>
              </w:txbxContent>
            </v:textbox>
          </v:shape>
        </w:pict>
      </w:r>
      <w:r>
        <w:rPr>
          <w:sz w:val="28"/>
        </w:rPr>
        <w:pict>
          <v:rect id="_x0000_s1098" o:spid="_x0000_s1098" o:spt="1" style="position:absolute;left:0pt;margin-left:69.45pt;margin-top:3.05pt;height:26.4pt;width:71.4pt;z-index:26412544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废水贮存池</w:t>
                  </w:r>
                </w:p>
              </w:txbxContent>
            </v:textbox>
          </v:rect>
        </w:pict>
      </w:r>
      <w:r>
        <w:rPr>
          <w:sz w:val="28"/>
        </w:rPr>
        <w:pict>
          <v:line id="_x0000_s1097" o:spid="_x0000_s1097" o:spt="20" style="position:absolute;left:0pt;margin-left:140.85pt;margin-top:16.25pt;height:0.05pt;width:64.2pt;z-index:264127488;mso-width-relative:page;mso-height-relative:page;" filled="f" stroked="t" coordsize="21600,21600">
            <v:path arrowok="t"/>
            <v:fill on="f" focussize="0,0"/>
            <v:stroke weight="1pt" color="#000000" endarrow="open"/>
            <v:imagedata o:title=""/>
            <o:lock v:ext="edit" aspectratio="f"/>
          </v:line>
        </w:pict>
      </w:r>
      <w:r>
        <w:rPr>
          <w:sz w:val="28"/>
        </w:rPr>
        <w:pict>
          <v:shape id="_x0000_s1090" o:spid="_x0000_s1090" o:spt="202" type="#_x0000_t202" style="position:absolute;left:0pt;margin-left:2.85pt;margin-top:23.55pt;height:27pt;width:53.4pt;z-index:-239195136;mso-width-relative:page;mso-height-relative:page;" fillcolor="#FFFFFF" filled="t" stroked="t" coordsize="21600,21600">
            <v:path/>
            <v:fill on="t" focussize="0,0"/>
            <v:stroke color="#FFFFFF"/>
            <v:imagedata o:title=""/>
            <o:lock v:ext="edit" aspectratio="f"/>
            <v:textbox>
              <w:txbxContent>
                <w:p>
                  <w:pPr>
                    <w:rPr>
                      <w:rFonts w:hint="eastAsia" w:eastAsiaTheme="minorEastAsia"/>
                      <w:lang w:eastAsia="zh-CN"/>
                    </w:rPr>
                  </w:pPr>
                  <w:r>
                    <w:rPr>
                      <w:rFonts w:hint="eastAsia"/>
                      <w:lang w:eastAsia="zh-CN"/>
                    </w:rPr>
                    <w:t>酸、碱</w:t>
                  </w:r>
                </w:p>
              </w:txbxContent>
            </v:textbox>
          </v:shape>
        </w:pict>
      </w:r>
      <w:r>
        <w:rPr>
          <w:sz w:val="28"/>
        </w:rPr>
        <w:pict>
          <v:rect id="_x0000_s1068" o:spid="_x0000_s1068" o:spt="1" style="position:absolute;left:0pt;margin-left:340.65pt;margin-top:3.65pt;height:26.4pt;width:71.4pt;z-index:25167872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混合池</w:t>
                  </w:r>
                </w:p>
              </w:txbxContent>
            </v:textbox>
          </v:rect>
        </w:pict>
      </w:r>
      <w:r>
        <w:rPr>
          <w:sz w:val="28"/>
        </w:rPr>
        <w:pict>
          <v:line id="_x0000_s1069" o:spid="_x0000_s1069" o:spt="20" style="position:absolute;left:0pt;margin-left:373.65pt;margin-top:30.65pt;height:38.4pt;width:0.05pt;z-index:251679744;mso-width-relative:page;mso-height-relative:page;" filled="f" stroked="t" coordsize="21600,21600">
            <v:path arrowok="t"/>
            <v:fill on="f" focussize="0,0"/>
            <v:stroke weight="1pt" color="#000000" endarrow="open"/>
            <v:imagedata o:title=""/>
            <o:lock v:ext="edit" aspectratio="f"/>
          </v:line>
        </w:pict>
      </w:r>
      <w:r>
        <w:rPr>
          <w:sz w:val="28"/>
        </w:rPr>
        <w:pict>
          <v:line id="_x0000_s1067" o:spid="_x0000_s1067" o:spt="20" style="position:absolute;left:0pt;margin-left:276.45pt;margin-top:16.85pt;height:0.05pt;width:64.2pt;z-index:251670528;mso-width-relative:page;mso-height-relative:page;" filled="f" stroked="t" coordsize="21600,21600">
            <v:path arrowok="t"/>
            <v:fill on="f" focussize="0,0"/>
            <v:stroke weight="1pt" color="#000000" endarrow="open"/>
            <v:imagedata o:title=""/>
            <o:lock v:ext="edit" aspectratio="f"/>
          </v:line>
        </w:pict>
      </w:r>
      <w:r>
        <w:rPr>
          <w:sz w:val="28"/>
        </w:rPr>
        <w:pict>
          <v:rect id="_x0000_s1066" o:spid="_x0000_s1066" o:spt="1" style="position:absolute;left:0pt;margin-left:205.05pt;margin-top:4.25pt;height:26.4pt;width:71.4pt;z-index:25166540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调节池</w:t>
                  </w:r>
                </w:p>
              </w:txbxContent>
            </v:textbox>
          </v:rect>
        </w:pict>
      </w:r>
      <w:r>
        <w:rPr>
          <w:sz w:val="28"/>
        </w:rPr>
        <w:pict>
          <v:line id="_x0000_s1065" o:spid="_x0000_s1065" o:spt="20" style="position:absolute;left:0pt;margin-left:141.45pt;margin-top:16.25pt;height:0.05pt;width:64.2pt;z-index:251662336;mso-width-relative:page;mso-height-relative:page;" filled="f" stroked="t" coordsize="21600,21600">
            <v:path arrowok="t"/>
            <v:fill on="f" focussize="0,0"/>
            <v:stroke weight="1pt" color="#000000" endarrow="open"/>
            <v:imagedata o:title=""/>
            <o:lock v:ext="edit" aspectratio="f"/>
          </v:line>
        </w:pict>
      </w:r>
      <w:r>
        <w:rPr>
          <w:sz w:val="28"/>
        </w:rPr>
        <w:pict>
          <v:rect id="_x0000_s1064" o:spid="_x0000_s1064" o:spt="1" style="position:absolute;left:0pt;margin-left:70.05pt;margin-top:3.05pt;height:26.4pt;width:71.4pt;z-index:251660288;mso-width-relative:page;mso-height-relative:page;" fillcolor="#FFFFFF" filled="t" stroked="t" coordsize="21600,21600">
            <v:path/>
            <v:fill on="t" focussize="0,0"/>
            <v:stroke color="#000000"/>
            <v:imagedata o:title=""/>
            <o:lock v:ext="edit" aspectratio="f"/>
            <v:textbox>
              <w:txbxContent>
                <w:p>
                  <w:pPr>
                    <w:rPr>
                      <w:rFonts w:hint="eastAsia" w:eastAsiaTheme="minorEastAsia"/>
                      <w:lang w:eastAsia="zh-CN"/>
                    </w:rPr>
                  </w:pPr>
                  <w:r>
                    <w:rPr>
                      <w:rFonts w:hint="eastAsia"/>
                      <w:lang w:eastAsia="zh-CN"/>
                    </w:rPr>
                    <w:t>废水贮存池</w:t>
                  </w:r>
                </w:p>
              </w:txbxContent>
            </v:textbox>
          </v:rect>
        </w:pict>
      </w:r>
      <w:r>
        <w:rPr>
          <w:sz w:val="28"/>
        </w:rPr>
        <w:pict>
          <v:line id="_x0000_s1063" o:spid="_x0000_s1063" o:spt="20" style="position:absolute;left:0pt;margin-left:6.45pt;margin-top:16.85pt;height:0.05pt;width:64.2pt;z-index:251659264;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shape id="_x0000_s1089" o:spid="_x0000_s1089" o:spt="202" type="#_x0000_t202" style="position:absolute;left:0pt;margin-left:305.25pt;margin-top:0.65pt;height:27pt;width:53.4pt;z-index:-239195136;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助凝剂</w:t>
                  </w:r>
                </w:p>
              </w:txbxContent>
            </v:textbox>
          </v:shape>
        </w:pict>
      </w:r>
      <w:r>
        <w:rPr>
          <w:sz w:val="28"/>
        </w:rPr>
        <w:pict>
          <v:line id="_x0000_s1085" o:spid="_x0000_s1085" o:spt="20" style="position:absolute;left:0pt;margin-left:353.25pt;margin-top:9.65pt;height:28.2pt;width:0.05pt;z-index:261005312;mso-width-relative:page;mso-height-relative:page;" filled="f" stroked="t" coordsize="21600,21600">
            <v:path arrowok="t"/>
            <v:fill on="f" focussize="0,0"/>
            <v:stroke weight="1pt" color="#000000" dashstyle="dash" endarrow="open"/>
            <v:imagedata o:title=""/>
            <o:lock v:ext="edit" aspectratio="f"/>
          </v:line>
        </w:pict>
      </w:r>
      <w:r>
        <w:rPr>
          <w:sz w:val="28"/>
        </w:rPr>
        <w:pict>
          <v:line id="_x0000_s1084" o:spid="_x0000_s1084" o:spt="20" style="position:absolute;left:0pt;margin-left:28.05pt;margin-top:12.65pt;height:28.2pt;width:0.05pt;z-index:257889280;mso-width-relative:page;mso-height-relative:page;" filled="f" stroked="t" coordsize="21600,21600">
            <v:path arrowok="t"/>
            <v:fill on="f" focussize="0,0"/>
            <v:stroke weight="1pt" color="#000000" dashstyle="dash"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rect id="_x0000_s1076" o:spid="_x0000_s1076" o:spt="1" style="position:absolute;left:0pt;margin-left:-1.3pt;margin-top:7.65pt;height:26.4pt;width:57.55pt;z-index:25201868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中和器</w:t>
                  </w:r>
                </w:p>
              </w:txbxContent>
            </v:textbox>
          </v:rect>
        </w:pict>
      </w:r>
      <w:r>
        <w:rPr>
          <w:sz w:val="28"/>
        </w:rPr>
        <w:pict>
          <v:line id="_x0000_s1075" o:spid="_x0000_s1075" o:spt="20" style="position:absolute;left:0pt;flip:x;margin-left:55.65pt;margin-top:21.45pt;height:0.05pt;width:46.8pt;z-index:251883520;mso-width-relative:page;mso-height-relative:page;" filled="f" stroked="t" coordsize="21600,21600">
            <v:path arrowok="t"/>
            <v:fill on="f" focussize="0,0"/>
            <v:stroke weight="1pt" color="#000000" endarrow="open"/>
            <v:imagedata o:title=""/>
            <o:lock v:ext="edit" aspectratio="f"/>
          </v:line>
        </w:pict>
      </w:r>
      <w:r>
        <w:rPr>
          <w:sz w:val="28"/>
        </w:rPr>
        <w:pict>
          <v:rect id="_x0000_s1074" o:spid="_x0000_s1074" o:spt="1" style="position:absolute;left:0pt;margin-left:102.45pt;margin-top:8.25pt;height:26.4pt;width:71.4pt;z-index:25179238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过滤器</w:t>
                  </w:r>
                </w:p>
              </w:txbxContent>
            </v:textbox>
          </v:rect>
        </w:pict>
      </w:r>
      <w:r>
        <w:rPr>
          <w:sz w:val="28"/>
        </w:rPr>
        <w:pict>
          <v:line id="_x0000_s1073" o:spid="_x0000_s1073" o:spt="20" style="position:absolute;left:0pt;flip:x;margin-left:174.45pt;margin-top:21.45pt;height:0.05pt;width:46.8pt;z-index:251748352;mso-width-relative:page;mso-height-relative:page;" filled="f" stroked="t" coordsize="21600,21600">
            <v:path arrowok="t"/>
            <v:fill on="f" focussize="0,0"/>
            <v:stroke weight="1pt" color="#000000" endarrow="open"/>
            <v:imagedata o:title=""/>
            <o:lock v:ext="edit" aspectratio="f"/>
          </v:line>
        </w:pict>
      </w:r>
      <w:r>
        <w:rPr>
          <w:sz w:val="28"/>
        </w:rPr>
        <w:pict>
          <v:rect id="_x0000_s1072" o:spid="_x0000_s1072" o:spt="1" style="position:absolute;left:0pt;margin-left:220.65pt;margin-top:7.05pt;height:27pt;width:73.2pt;z-index:251703296;mso-width-relative:page;mso-height-relative:page;" fillcolor="#FFFFFF" filled="t" stroked="t" coordsize="21600,21600">
            <v:path/>
            <v:fill on="t" focussize="0,0"/>
            <v:stroke color="#000000"/>
            <v:imagedata o:title=""/>
            <o:lock v:ext="edit" aspectratio="f"/>
            <v:textbox>
              <w:txbxContent>
                <w:p>
                  <w:pPr>
                    <w:rPr>
                      <w:rFonts w:hint="eastAsia" w:eastAsiaTheme="minorEastAsia"/>
                      <w:lang w:eastAsia="zh-CN"/>
                    </w:rPr>
                  </w:pPr>
                  <w:r>
                    <w:rPr>
                      <w:rFonts w:hint="eastAsia"/>
                      <w:lang w:eastAsia="zh-CN"/>
                    </w:rPr>
                    <w:t>斜板澄清器</w:t>
                  </w:r>
                </w:p>
              </w:txbxContent>
            </v:textbox>
          </v:rect>
        </w:pict>
      </w:r>
      <w:r>
        <w:rPr>
          <w:sz w:val="28"/>
        </w:rPr>
        <w:pict>
          <v:line id="_x0000_s1071" o:spid="_x0000_s1071" o:spt="20" style="position:absolute;left:0pt;flip:x;margin-left:294.45pt;margin-top:20.25pt;height:0.05pt;width:46.8pt;z-index:251702272;mso-width-relative:page;mso-height-relative:page;" filled="f" stroked="t" coordsize="21600,21600">
            <v:path arrowok="t"/>
            <v:fill on="f" focussize="0,0"/>
            <v:stroke weight="1pt" color="#000000" endarrow="open"/>
            <v:imagedata o:title=""/>
            <o:lock v:ext="edit" aspectratio="f"/>
          </v:line>
        </w:pict>
      </w:r>
      <w:r>
        <w:rPr>
          <w:sz w:val="28"/>
        </w:rPr>
        <w:pict>
          <v:rect id="_x0000_s1070" o:spid="_x0000_s1070" o:spt="1" style="position:absolute;left:0pt;margin-left:341.25pt;margin-top:5.25pt;height:26.4pt;width:71.4pt;z-index:25170124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絮凝池</w:t>
                  </w:r>
                </w:p>
              </w:txbxContent>
            </v:textbox>
          </v:rect>
        </w:pict>
      </w:r>
    </w:p>
    <w:p>
      <w:pPr>
        <w:pStyle w:val="2"/>
        <w:rPr>
          <w:rFonts w:hint="eastAsia" w:ascii="宋体" w:hAnsi="宋体" w:eastAsia="宋体"/>
          <w:b w:val="0"/>
          <w:bCs w:val="0"/>
          <w:sz w:val="28"/>
          <w:szCs w:val="28"/>
          <w:lang w:val="en-US" w:eastAsia="zh-CN"/>
        </w:rPr>
      </w:pPr>
      <w:r>
        <w:rPr>
          <w:sz w:val="28"/>
        </w:rPr>
        <w:pict>
          <v:shape id="_x0000_s1095" o:spid="_x0000_s1095" o:spt="202" type="#_x0000_t202" style="position:absolute;left:0pt;margin-left:172.05pt;margin-top:30.45pt;height:27pt;width:53.4pt;z-index:-239194112;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脱水剂</w:t>
                  </w:r>
                </w:p>
              </w:txbxContent>
            </v:textbox>
          </v:shape>
        </w:pict>
      </w:r>
      <w:r>
        <w:rPr>
          <w:sz w:val="28"/>
        </w:rPr>
        <w:pict>
          <v:shape id="_x0000_s1091" o:spid="_x0000_s1091" o:spt="202" type="#_x0000_t202" style="position:absolute;left:0pt;margin-left:209.85pt;margin-top:10.65pt;height:27pt;width:53.4pt;z-index:-239195136;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排泥</w:t>
                  </w:r>
                </w:p>
              </w:txbxContent>
            </v:textbox>
          </v:shape>
        </w:pict>
      </w:r>
      <w:r>
        <w:rPr>
          <w:sz w:val="28"/>
        </w:rPr>
        <w:pict>
          <v:line id="_x0000_s1079" o:spid="_x0000_s1079" o:spt="20" style="position:absolute;left:0pt;margin-left:258.45pt;margin-top:2.75pt;height:38.4pt;width:0.05pt;z-index:252786688;mso-width-relative:page;mso-height-relative:page;" filled="f" stroked="t" coordsize="21600,21600">
            <v:path arrowok="t"/>
            <v:fill on="f" focussize="0,0"/>
            <v:stroke weight="1pt" color="#000000" endarrow="open"/>
            <v:imagedata o:title=""/>
            <o:lock v:ext="edit" aspectratio="f"/>
          </v:line>
        </w:pict>
      </w:r>
      <w:r>
        <w:rPr>
          <w:sz w:val="28"/>
        </w:rPr>
        <w:pict>
          <v:line id="_x0000_s1077" o:spid="_x0000_s1077" o:spt="20" style="position:absolute;left:0pt;margin-left:28.05pt;margin-top:2.75pt;height:38.4pt;width:0.05pt;z-index:252041216;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line id="_x0000_s1094" o:spid="_x0000_s1094" o:spt="20" style="position:absolute;left:0pt;margin-left:172.65pt;margin-top:24.95pt;height:0.05pt;width:49.2pt;z-index:264122368;mso-width-relative:page;mso-height-relative:page;" filled="f" stroked="t" coordsize="21600,21600">
            <v:path arrowok="t"/>
            <v:fill on="f" focussize="0,0"/>
            <v:stroke weight="1pt" color="#000000" dashstyle="dash" endarrow="open"/>
            <v:imagedata o:title=""/>
            <o:lock v:ext="edit" aspectratio="f"/>
          </v:line>
        </w:pict>
      </w:r>
      <w:r>
        <w:rPr>
          <w:sz w:val="28"/>
        </w:rPr>
        <w:pict>
          <v:rect id="_x0000_s1080" o:spid="_x0000_s1080" o:spt="1" style="position:absolute;left:0pt;margin-left:221.85pt;margin-top:9.25pt;height:26.4pt;width:71.4pt;z-index:25283072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污泥浓缩池</w:t>
                  </w:r>
                </w:p>
              </w:txbxContent>
            </v:textbox>
          </v:rect>
        </w:pict>
      </w:r>
      <w:r>
        <w:rPr>
          <w:sz w:val="28"/>
        </w:rPr>
        <w:pict>
          <v:rect id="_x0000_s1078" o:spid="_x0000_s1078" o:spt="1" style="position:absolute;left:0pt;margin-left:-0.1pt;margin-top:9.25pt;height:26.4pt;width:57.55pt;z-index:25240268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清净水池</w:t>
                  </w:r>
                </w:p>
              </w:txbxContent>
            </v:textbox>
          </v:rect>
        </w:pict>
      </w:r>
    </w:p>
    <w:p>
      <w:pPr>
        <w:pStyle w:val="2"/>
        <w:rPr>
          <w:rFonts w:hint="eastAsia" w:ascii="宋体" w:hAnsi="宋体" w:eastAsia="宋体"/>
          <w:b w:val="0"/>
          <w:bCs w:val="0"/>
          <w:sz w:val="28"/>
          <w:szCs w:val="28"/>
          <w:lang w:val="en-US" w:eastAsia="zh-CN"/>
        </w:rPr>
      </w:pPr>
      <w:r>
        <w:rPr>
          <w:sz w:val="28"/>
        </w:rPr>
        <w:pict>
          <v:line id="_x0000_s1082" o:spid="_x0000_s1082" o:spt="20" style="position:absolute;left:0pt;margin-left:257.85pt;margin-top:3.75pt;height:38.4pt;width:0.05pt;z-index:254772224;mso-width-relative:page;mso-height-relative:page;" filled="f" stroked="t" coordsize="21600,21600">
            <v:path arrowok="t"/>
            <v:fill on="f" focussize="0,0"/>
            <v:stroke weight="1pt" color="#000000" endarrow="open"/>
            <v:imagedata o:title=""/>
            <o:lock v:ext="edit" aspectratio="f"/>
          </v:line>
        </w:pict>
      </w:r>
      <w:r>
        <w:rPr>
          <w:sz w:val="28"/>
        </w:rPr>
        <w:pict>
          <v:line id="_x0000_s1081" o:spid="_x0000_s1081" o:spt="20" style="position:absolute;left:0pt;margin-left:27.45pt;margin-top:3.15pt;height:38.4pt;width:0.05pt;z-index:253214720;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shape id="_x0000_s1092" o:spid="_x0000_s1092" o:spt="202" type="#_x0000_t202" style="position:absolute;left:0pt;margin-left:241.5pt;margin-top:13.5pt;height:27pt;width:39.8pt;z-index:-239195136;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污泥</w:t>
                  </w:r>
                </w:p>
              </w:txbxContent>
            </v:textbox>
          </v:shape>
        </w:pict>
      </w:r>
      <w:r>
        <w:rPr>
          <w:sz w:val="28"/>
        </w:rPr>
        <w:pict>
          <v:shape id="_x0000_s1093" o:spid="_x0000_s1093" o:spt="202" type="#_x0000_t202" style="position:absolute;left:0pt;margin-left:1.65pt;margin-top:7.95pt;height:27pt;width:53.4pt;z-index:-239195136;mso-width-relative:page;mso-height-relative:page;" fillcolor="#FFFFFF" filled="t" stroked="t" coordsize="21600,21600">
            <v:path/>
            <v:fill on="t" color2="#FFFFFF" focussize="0,0"/>
            <v:stroke color="#FFFFFF" joinstyle="miter"/>
            <v:imagedata o:title=""/>
            <o:lock v:ext="edit" aspectratio="f"/>
            <v:textbox>
              <w:txbxContent>
                <w:p>
                  <w:pPr>
                    <w:jc w:val="center"/>
                    <w:rPr>
                      <w:rFonts w:hint="eastAsia" w:eastAsiaTheme="minorEastAsia"/>
                      <w:lang w:eastAsia="zh-CN"/>
                    </w:rPr>
                  </w:pPr>
                  <w:r>
                    <w:rPr>
                      <w:rFonts w:hint="eastAsia"/>
                      <w:lang w:eastAsia="zh-CN"/>
                    </w:rPr>
                    <w:t>回用</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图4-2  工业废水处理工艺流程图</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b/>
          <w:bCs/>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脱硫废水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脱硫系统吸收塔排出的石膏浆液进入水力漩流器浓缩，浓缩后石膏液进入真空皮带脱水机，产生脱硫石膏；水力漩流器分离出来的废水进入脱硫废水处理系统，经调节池处理后一部分返回脱硫吸收塔循环使用，一部分进入沉降箱加药沉淀，然后在絮凝箱中进一步沉降，最后进入沉清/浓缩器，处理后的废水用于输煤系统和含煤废水处理系统。主要工艺流程见图4-3。</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p>
    <w:p>
      <w:pPr>
        <w:pStyle w:val="2"/>
        <w:rPr>
          <w:rFonts w:hint="eastAsia" w:ascii="宋体" w:hAnsi="宋体" w:eastAsia="宋体"/>
          <w:b w:val="0"/>
          <w:bCs w:val="0"/>
          <w:sz w:val="28"/>
          <w:szCs w:val="28"/>
          <w:lang w:val="en-US" w:eastAsia="zh-CN"/>
        </w:rPr>
      </w:pPr>
      <w:r>
        <w:rPr>
          <w:sz w:val="28"/>
        </w:rPr>
        <w:pict>
          <v:rect id="_x0000_s1184" o:spid="_x0000_s1184" o:spt="1" style="position:absolute;left:0pt;margin-left:115.5pt;margin-top:0.4pt;height:26.4pt;width:59.4pt;z-index:-887285760;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脱硫系统</w:t>
                  </w:r>
                </w:p>
              </w:txbxContent>
            </v:textbox>
          </v:rect>
        </w:pict>
      </w:r>
      <w:r>
        <w:rPr>
          <w:sz w:val="28"/>
        </w:rPr>
        <w:pict>
          <v:line id="_x0000_s1181" o:spid="_x0000_s1181" o:spt="20" style="position:absolute;left:0pt;flip:y;margin-left:146.55pt;margin-top:26.6pt;height:30.5pt;width:0.05pt;z-index:-887284736;mso-width-relative:page;mso-height-relative:page;" filled="f" stroked="t" coordsize="21600,21600">
            <v:path arrowok="t"/>
            <v:fill on="f" focussize="0,0"/>
            <v:stroke weight="1pt" color="#000000" endarrow="open"/>
            <v:imagedata o:title=""/>
            <o:lock v:ext="edit" aspectratio="f"/>
          </v:line>
        </w:pict>
      </w:r>
      <w:r>
        <w:rPr>
          <w:sz w:val="28"/>
        </w:rPr>
        <w:pict>
          <v:rect id="_x0000_s1178" o:spid="_x0000_s1178" o:spt="1" style="position:absolute;left:0pt;margin-left:7.2pt;margin-top:9.55pt;height:26.4pt;width:56.95pt;z-index:-8634982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吸收塔</w:t>
                  </w:r>
                </w:p>
              </w:txbxContent>
            </v:textbox>
          </v:rect>
        </w:pict>
      </w:r>
    </w:p>
    <w:p>
      <w:pPr>
        <w:pStyle w:val="2"/>
        <w:rPr>
          <w:rFonts w:hint="eastAsia" w:ascii="宋体" w:hAnsi="宋体" w:eastAsia="宋体"/>
          <w:b w:val="0"/>
          <w:bCs w:val="0"/>
          <w:sz w:val="28"/>
          <w:szCs w:val="28"/>
          <w:lang w:val="en-US" w:eastAsia="zh-CN"/>
        </w:rPr>
      </w:pPr>
      <w:r>
        <w:rPr>
          <w:sz w:val="28"/>
        </w:rPr>
        <w:pict>
          <v:rect id="_x0000_s1108" o:spid="_x0000_s1108" o:spt="1" style="position:absolute;left:0pt;margin-left:293.1pt;margin-top:24.9pt;height:26.4pt;width:49.8pt;z-index:63809024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絮凝池</w:t>
                  </w:r>
                </w:p>
              </w:txbxContent>
            </v:textbox>
          </v:rect>
        </w:pict>
      </w:r>
      <w:r>
        <w:rPr>
          <w:sz w:val="28"/>
        </w:rPr>
        <w:pict>
          <v:rect id="_x0000_s1106" o:spid="_x0000_s1106" o:spt="1" style="position:absolute;left:0pt;margin-left:202.65pt;margin-top:26.55pt;height:26.4pt;width:56.95pt;z-index:39812812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沉降池</w:t>
                  </w:r>
                </w:p>
              </w:txbxContent>
            </v:textbox>
          </v:rect>
        </w:pict>
      </w:r>
      <w:r>
        <w:rPr>
          <w:sz w:val="28"/>
        </w:rPr>
        <w:pict>
          <v:rect id="_x0000_s1104" o:spid="_x0000_s1104" o:spt="1" style="position:absolute;left:0pt;margin-left:121.2pt;margin-top:25.8pt;height:26.4pt;width:46.8pt;z-index:30463692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调节池</w:t>
                  </w:r>
                </w:p>
              </w:txbxContent>
            </v:textbox>
          </v:rect>
        </w:pict>
      </w:r>
      <w:r>
        <w:rPr>
          <w:sz w:val="28"/>
        </w:rPr>
        <w:pict>
          <v:rect id="_x0000_s1179" o:spid="_x0000_s1179" o:spt="1" style="position:absolute;left:0pt;margin-left:-2.1pt;margin-top:25.05pt;height:26.4pt;width:78.7pt;z-index:-2102721536;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真空皮带脱水</w:t>
                  </w:r>
                </w:p>
              </w:txbxContent>
            </v:textbox>
          </v:rect>
        </w:pict>
      </w:r>
      <w:r>
        <w:rPr>
          <w:sz w:val="28"/>
        </w:rPr>
        <w:pict>
          <v:line id="_x0000_s1119" o:spid="_x0000_s1119" o:spt="20" style="position:absolute;left:0pt;flip:x;margin-left:35.3pt;margin-top:3.9pt;height:20.4pt;width:0.7pt;z-index:-1465966592;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shape id="_x0000_s1109" o:spid="_x0000_s1109" o:spt="202" type="#_x0000_t202" style="position:absolute;left:0pt;margin-left:72.15pt;margin-top:23.7pt;height:27pt;width:73.5pt;z-index:-1599406080;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脱硫废水</w:t>
                  </w:r>
                </w:p>
              </w:txbxContent>
            </v:textbox>
          </v:shape>
        </w:pict>
      </w:r>
      <w:r>
        <w:rPr>
          <w:sz w:val="28"/>
        </w:rPr>
        <w:pict>
          <v:line id="_x0000_s1110" o:spid="_x0000_s1110" o:spt="20" style="position:absolute;left:0pt;margin-left:320.85pt;margin-top:19.4pt;height:38.4pt;width:0.05pt;z-index:666158080;mso-width-relative:page;mso-height-relative:page;" filled="f" stroked="t" coordsize="21600,21600">
            <v:path arrowok="t"/>
            <v:fill on="f" focussize="0,0"/>
            <v:stroke weight="1pt" color="#000000" endarrow="open"/>
            <v:imagedata o:title=""/>
            <o:lock v:ext="edit" aspectratio="f"/>
          </v:line>
        </w:pict>
      </w:r>
      <w:r>
        <w:rPr>
          <w:sz w:val="28"/>
        </w:rPr>
        <w:pict>
          <v:line id="_x0000_s1107" o:spid="_x0000_s1107" o:spt="20" style="position:absolute;left:0pt;margin-left:259.45pt;margin-top:6.35pt;height:0.05pt;width:32.75pt;z-index:491619328;mso-width-relative:page;mso-height-relative:page;" filled="f" stroked="t" coordsize="21600,21600">
            <v:path arrowok="t"/>
            <v:fill on="f" focussize="0,0"/>
            <v:stroke weight="1pt" color="#000000" endarrow="open"/>
            <v:imagedata o:title=""/>
            <o:lock v:ext="edit" aspectratio="f"/>
          </v:line>
        </w:pict>
      </w:r>
      <w:r>
        <w:rPr>
          <w:sz w:val="28"/>
        </w:rPr>
        <w:pict>
          <v:line id="_x0000_s1105" o:spid="_x0000_s1105" o:spt="20" style="position:absolute;left:0pt;flip:y;margin-left:168.5pt;margin-top:4.9pt;height:0.7pt;width:33.55pt;z-index:345148416;mso-width-relative:page;mso-height-relative:page;" filled="f" stroked="t" coordsize="21600,21600">
            <v:path arrowok="t"/>
            <v:fill on="f" focussize="0,0"/>
            <v:stroke weight="1pt" color="#000000" endarrow="open"/>
            <v:imagedata o:title=""/>
            <o:lock v:ext="edit" aspectratio="f"/>
          </v:line>
        </w:pict>
      </w:r>
      <w:r>
        <w:rPr>
          <w:sz w:val="28"/>
        </w:rPr>
        <w:pict>
          <v:line id="_x0000_s1103" o:spid="_x0000_s1103" o:spt="20" style="position:absolute;left:0pt;margin-left:77.45pt;margin-top:4.95pt;height:0.7pt;width:43.9pt;z-index:292168704;mso-width-relative:page;mso-height-relative:page;" filled="f" stroked="t" coordsize="21600,21600">
            <v:path arrowok="t"/>
            <v:fill on="f" focussize="0,0"/>
            <v:stroke weight="1pt" color="#000000" endarrow="open"/>
            <v:imagedata o:title=""/>
            <o:lock v:ext="edit" aspectratio="f"/>
          </v:line>
        </w:pict>
      </w:r>
      <w:r>
        <w:rPr>
          <w:sz w:val="28"/>
        </w:rPr>
        <w:pict>
          <v:line id="_x0000_s1180" o:spid="_x0000_s1180" o:spt="20" style="position:absolute;left:0pt;margin-left:37.35pt;margin-top:20.9pt;height:38.4pt;width:0.05pt;z-index:-1688220672;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rect id="_x0000_s1121" o:spid="_x0000_s1121" o:spt="1" style="position:absolute;left:0pt;margin-left:12pt;margin-top:28.45pt;height:26.4pt;width:59.4pt;z-index:251656192;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脱硫石膏</w:t>
                  </w:r>
                </w:p>
              </w:txbxContent>
            </v:textbox>
          </v:rect>
        </w:pict>
      </w:r>
      <w:r>
        <w:rPr>
          <w:sz w:val="28"/>
        </w:rPr>
        <w:pict>
          <v:rect id="_x0000_s1111" o:spid="_x0000_s1111" o:spt="1" style="position:absolute;left:0pt;margin-left:275.55pt;margin-top:25.9pt;height:26.4pt;width:93pt;z-index:105259110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沉清</w:t>
                  </w:r>
                  <w:r>
                    <w:rPr>
                      <w:rFonts w:hint="eastAsia"/>
                      <w:lang w:val="en-US" w:eastAsia="zh-CN"/>
                    </w:rPr>
                    <w:t>/浓缩器</w:t>
                  </w:r>
                </w:p>
              </w:txbxContent>
            </v:textbox>
          </v:rect>
        </w:pict>
      </w:r>
      <w:r>
        <w:rPr>
          <w:sz w:val="28"/>
        </w:rPr>
        <w:pict>
          <v:rect id="_x0000_s1117" o:spid="_x0000_s1117" o:spt="1" style="position:absolute;left:0pt;margin-left:174.45pt;margin-top:24.1pt;height:26.4pt;width:56.95pt;z-index:-1880467456;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eastAsia="zh-CN"/>
                    </w:rPr>
                  </w:pPr>
                  <w:r>
                    <w:rPr>
                      <w:rFonts w:hint="eastAsia"/>
                      <w:lang w:eastAsia="zh-CN"/>
                    </w:rPr>
                    <w:t>净水箱</w:t>
                  </w:r>
                </w:p>
              </w:txbxContent>
            </v:textbox>
          </v:rect>
        </w:pict>
      </w:r>
    </w:p>
    <w:p>
      <w:pPr>
        <w:pStyle w:val="2"/>
        <w:rPr>
          <w:rFonts w:hint="eastAsia" w:ascii="宋体" w:hAnsi="宋体" w:eastAsia="宋体"/>
          <w:b w:val="0"/>
          <w:bCs w:val="0"/>
          <w:sz w:val="28"/>
          <w:szCs w:val="28"/>
          <w:lang w:val="en-US" w:eastAsia="zh-CN"/>
        </w:rPr>
      </w:pPr>
      <w:r>
        <w:rPr>
          <w:sz w:val="28"/>
        </w:rPr>
        <w:pict>
          <v:rect id="_x0000_s1186" o:spid="_x0000_s1186" o:spt="1" style="position:absolute;left:0pt;margin-left:131.25pt;margin-top:44.3pt;height:26.4pt;width:147.1pt;z-index:-1544445952;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输煤系统、含煤废水处理系统</w:t>
                  </w:r>
                </w:p>
              </w:txbxContent>
            </v:textbox>
          </v:rect>
        </w:pict>
      </w:r>
      <w:r>
        <w:rPr>
          <w:sz w:val="28"/>
        </w:rPr>
        <w:pict>
          <v:line id="_x0000_s1185" o:spid="_x0000_s1185" o:spt="20" style="position:absolute;left:0pt;margin-left:206.85pt;margin-top:18.55pt;height:28.65pt;width:0.05pt;z-index:1467804672;mso-width-relative:page;mso-height-relative:page;" filled="f" stroked="t" coordsize="21600,21600">
            <v:path arrowok="t"/>
            <v:fill on="f" focussize="0,0"/>
            <v:stroke weight="1pt" color="#000000" endarrow="open"/>
            <v:imagedata o:title=""/>
            <o:lock v:ext="edit" aspectratio="f"/>
          </v:line>
        </w:pict>
      </w:r>
      <w:r>
        <w:rPr>
          <w:sz w:val="28"/>
        </w:rPr>
        <w:pict>
          <v:line id="_x0000_s1116" o:spid="_x0000_s1116" o:spt="20" style="position:absolute;left:0pt;flip:x;margin-left:231.9pt;margin-top:8pt;height:0.05pt;width:41.55pt;z-index:-2026938368;mso-width-relative:page;mso-height-relative:page;" filled="f" stroked="t" coordsize="21600,21600">
            <v:path arrowok="t"/>
            <v:fill on="f" focussize="0,0"/>
            <v:stroke weight="1pt" color="#000000" endarrow="open"/>
            <v:imagedata o:title=""/>
            <o:lock v:ext="edit" aspectratio="f"/>
          </v:line>
        </w:pict>
      </w:r>
    </w:p>
    <w:p>
      <w:pPr>
        <w:pStyle w:val="2"/>
        <w:jc w:val="center"/>
        <w:rPr>
          <w:rFonts w:hint="eastAsia" w:hAnsi="宋体" w:eastAsia="宋体"/>
          <w:b/>
          <w:bCs/>
          <w:sz w:val="24"/>
          <w:szCs w:val="24"/>
          <w:lang w:val="en-US" w:eastAsia="zh-CN"/>
        </w:rPr>
      </w:pPr>
    </w:p>
    <w:p>
      <w:pPr>
        <w:pStyle w:val="2"/>
        <w:jc w:val="center"/>
        <w:rPr>
          <w:rFonts w:hint="eastAsia" w:hAnsi="宋体" w:eastAsia="宋体"/>
          <w:b/>
          <w:bCs/>
          <w:sz w:val="24"/>
          <w:szCs w:val="24"/>
          <w:lang w:val="en-US" w:eastAsia="zh-CN"/>
        </w:rPr>
      </w:pPr>
    </w:p>
    <w:p>
      <w:pPr>
        <w:pStyle w:val="2"/>
        <w:jc w:val="center"/>
        <w:rPr>
          <w:rFonts w:hint="eastAsia" w:hAnsi="宋体" w:eastAsia="宋体"/>
          <w:b/>
          <w:bCs/>
          <w:sz w:val="24"/>
          <w:szCs w:val="24"/>
          <w:lang w:val="en-US" w:eastAsia="zh-CN"/>
        </w:rPr>
      </w:pPr>
    </w:p>
    <w:p>
      <w:pPr>
        <w:pStyle w:val="2"/>
        <w:jc w:val="center"/>
        <w:rPr>
          <w:rFonts w:hint="eastAsia" w:hAnsi="宋体" w:eastAsia="宋体"/>
          <w:b/>
          <w:bCs/>
          <w:sz w:val="24"/>
          <w:szCs w:val="24"/>
          <w:lang w:val="en-US" w:eastAsia="zh-CN"/>
        </w:rPr>
      </w:pPr>
      <w:r>
        <w:rPr>
          <w:rFonts w:hint="eastAsia" w:hAnsi="宋体" w:eastAsia="宋体"/>
          <w:b/>
          <w:bCs/>
          <w:sz w:val="24"/>
          <w:szCs w:val="24"/>
          <w:lang w:val="en-US" w:eastAsia="zh-CN"/>
        </w:rPr>
        <w:t>图4-3  脱硫废水处理工艺流程图</w:t>
      </w:r>
    </w:p>
    <w:p>
      <w:pPr>
        <w:pStyle w:val="2"/>
        <w:jc w:val="center"/>
        <w:rPr>
          <w:rFonts w:hint="eastAsia" w:hAnsi="宋体" w:eastAsia="宋体"/>
          <w:b/>
          <w:bCs/>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含油废水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本项目建有含油废水处理系统，动力站含油废水进入处理系统，通过重力油水分离技术进行油水分离，然后进入油回收系统回收利用，处理后的水排至厂区污水处理站。主要工艺流程见图4-4。</w:t>
      </w:r>
    </w:p>
    <w:p>
      <w:pPr>
        <w:pStyle w:val="2"/>
        <w:rPr>
          <w:rFonts w:hint="eastAsia" w:ascii="宋体" w:hAnsi="宋体" w:eastAsia="宋体"/>
          <w:b w:val="0"/>
          <w:bCs w:val="0"/>
          <w:sz w:val="28"/>
          <w:szCs w:val="28"/>
          <w:lang w:val="en-US" w:eastAsia="zh-CN"/>
        </w:rPr>
      </w:pPr>
      <w:r>
        <w:rPr>
          <w:sz w:val="28"/>
        </w:rPr>
        <w:pict>
          <v:rect id="_x0000_s1132" o:spid="_x0000_s1132" o:spt="1" style="position:absolute;left:0pt;margin-left:16.6pt;margin-top:5.55pt;height:26.4pt;width:59.4pt;z-index:-1599407104;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含油废水</w:t>
                  </w:r>
                </w:p>
              </w:txbxContent>
            </v:textbox>
          </v:rect>
        </w:pict>
      </w:r>
      <w:r>
        <w:rPr>
          <w:sz w:val="28"/>
        </w:rPr>
        <w:pict>
          <v:rect id="_x0000_s1134" o:spid="_x0000_s1134" o:spt="1" style="position:absolute;left:0pt;margin-left:300.45pt;margin-top:9.05pt;height:26.4pt;width:130.2pt;z-index:-542558208;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废水至废水处理系统</w:t>
                  </w:r>
                </w:p>
              </w:txbxContent>
            </v:textbox>
          </v:rect>
        </w:pict>
      </w:r>
      <w:r>
        <w:rPr>
          <w:sz w:val="28"/>
        </w:rPr>
        <w:pict>
          <v:rect id="_x0000_s1126" o:spid="_x0000_s1126" o:spt="1" style="position:absolute;left:0pt;margin-left:226.05pt;margin-top:21.05pt;height:26.4pt;width:69.65pt;z-index:-108619468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油水分离器</w:t>
                  </w:r>
                </w:p>
              </w:txbxContent>
            </v:textbox>
          </v:rect>
        </w:pict>
      </w:r>
      <w:r>
        <w:rPr>
          <w:sz w:val="28"/>
        </w:rPr>
        <w:pict>
          <v:rect id="_x0000_s1124" o:spid="_x0000_s1124" o:spt="1" style="position:absolute;left:0pt;margin-left:78.45pt;margin-top:19.25pt;height:26.4pt;width:83.45pt;z-index:59091660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污水调节池</w:t>
                  </w:r>
                </w:p>
              </w:txbxContent>
            </v:textbox>
          </v:rect>
        </w:pict>
      </w:r>
    </w:p>
    <w:p>
      <w:pPr>
        <w:pStyle w:val="2"/>
        <w:rPr>
          <w:rFonts w:hint="eastAsia" w:ascii="宋体" w:hAnsi="宋体" w:eastAsia="宋体"/>
          <w:b w:val="0"/>
          <w:bCs w:val="0"/>
          <w:sz w:val="28"/>
          <w:szCs w:val="28"/>
          <w:lang w:val="en-US" w:eastAsia="zh-CN"/>
        </w:rPr>
      </w:pPr>
      <w:r>
        <w:rPr>
          <w:sz w:val="28"/>
        </w:rPr>
        <w:pict>
          <v:line id="_x0000_s1123" o:spid="_x0000_s1123" o:spt="20" style="position:absolute;left:0pt;margin-left:14.85pt;margin-top:2.35pt;height:0.05pt;width:64.2pt;z-index:-1425454080;mso-width-relative:page;mso-height-relative:page;" filled="f" stroked="t" coordsize="21600,21600">
            <v:path arrowok="t"/>
            <v:fill on="f" focussize="0,0"/>
            <v:stroke weight="1pt" color="#000000" endarrow="open"/>
            <v:imagedata o:title=""/>
            <o:lock v:ext="edit" aspectratio="f"/>
          </v:line>
        </w:pict>
      </w:r>
      <w:r>
        <w:rPr>
          <w:sz w:val="28"/>
        </w:rPr>
        <w:pict>
          <v:line id="_x0000_s1128" o:spid="_x0000_s1128" o:spt="20" style="position:absolute;left:0pt;margin-left:260.85pt;margin-top:14.35pt;height:38.4pt;width:0.05pt;z-index:-1863073792;mso-width-relative:page;mso-height-relative:page;" filled="f" stroked="t" coordsize="21600,21600">
            <v:path arrowok="t"/>
            <v:fill on="f" focussize="0,0"/>
            <v:stroke weight="1pt" color="#000000" endarrow="open"/>
            <v:imagedata o:title=""/>
            <o:lock v:ext="edit" aspectratio="f"/>
          </v:line>
        </w:pict>
      </w:r>
      <w:r>
        <w:rPr>
          <w:sz w:val="28"/>
        </w:rPr>
        <w:pict>
          <v:line id="_x0000_s1127" o:spid="_x0000_s1127" o:spt="20" style="position:absolute;left:0pt;margin-left:296.85pt;margin-top:2.35pt;height:0.05pt;width:64.2pt;z-index:-145449984;mso-width-relative:page;mso-height-relative:page;" filled="f" stroked="t" coordsize="21600,21600">
            <v:path arrowok="t"/>
            <v:fill on="f" focussize="0,0"/>
            <v:stroke weight="1pt" color="#000000" endarrow="open"/>
            <v:imagedata o:title=""/>
            <o:lock v:ext="edit" aspectratio="f"/>
          </v:line>
        </w:pict>
      </w:r>
      <w:r>
        <w:rPr>
          <w:sz w:val="28"/>
        </w:rPr>
        <w:pict>
          <v:line id="_x0000_s1125" o:spid="_x0000_s1125" o:spt="20" style="position:absolute;left:0pt;margin-left:161.25pt;margin-top:1.15pt;height:0.05pt;width:64.2pt;z-index:1192401920;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rect id="_x0000_s1129" o:spid="_x0000_s1129" o:spt="1" style="position:absolute;left:0pt;margin-left:219.45pt;margin-top:19.05pt;height:26.4pt;width:93pt;z-index:-148330188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再生油箱</w:t>
                  </w:r>
                </w:p>
              </w:txbxContent>
            </v:textbox>
          </v:rect>
        </w:pict>
      </w:r>
    </w:p>
    <w:p>
      <w:pPr>
        <w:pStyle w:val="2"/>
        <w:rPr>
          <w:rFonts w:hint="eastAsia" w:ascii="宋体" w:hAnsi="宋体" w:eastAsia="宋体"/>
          <w:b w:val="0"/>
          <w:bCs w:val="0"/>
          <w:sz w:val="28"/>
          <w:szCs w:val="28"/>
          <w:lang w:val="en-US" w:eastAsia="zh-CN"/>
        </w:rPr>
      </w:pPr>
      <w:r>
        <w:rPr>
          <w:sz w:val="28"/>
        </w:rPr>
        <w:pict>
          <v:line id="_x0000_s1130" o:spid="_x0000_s1130" o:spt="20" style="position:absolute;left:0pt;margin-left:262.65pt;margin-top:13.55pt;height:38.4pt;width:0.05pt;z-index:2034786304;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rect id="_x0000_s1133" o:spid="_x0000_s1133" o:spt="1" style="position:absolute;left:0pt;margin-left:242.25pt;margin-top:19.45pt;height:26.4pt;width:59.4pt;z-index:-648767488;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油回收</w:t>
                  </w:r>
                </w:p>
              </w:txbxContent>
            </v:textbox>
          </v:rect>
        </w:pict>
      </w:r>
    </w:p>
    <w:p>
      <w:pPr>
        <w:pStyle w:val="2"/>
        <w:jc w:val="center"/>
        <w:rPr>
          <w:rFonts w:hint="eastAsia" w:hAnsi="宋体" w:eastAsia="宋体"/>
          <w:b/>
          <w:bCs/>
          <w:sz w:val="24"/>
          <w:szCs w:val="24"/>
          <w:lang w:val="en-US" w:eastAsia="zh-CN"/>
        </w:rPr>
      </w:pPr>
    </w:p>
    <w:p>
      <w:pPr>
        <w:pStyle w:val="2"/>
        <w:jc w:val="center"/>
        <w:rPr>
          <w:rFonts w:hint="eastAsia" w:hAnsi="宋体" w:eastAsia="宋体"/>
          <w:b/>
          <w:bCs/>
          <w:sz w:val="24"/>
          <w:szCs w:val="24"/>
          <w:lang w:val="en-US" w:eastAsia="zh-CN"/>
        </w:rPr>
      </w:pPr>
      <w:r>
        <w:rPr>
          <w:rFonts w:hint="eastAsia" w:hAnsi="宋体" w:eastAsia="宋体"/>
          <w:b/>
          <w:bCs/>
          <w:sz w:val="24"/>
          <w:szCs w:val="24"/>
          <w:lang w:val="en-US" w:eastAsia="zh-CN"/>
        </w:rPr>
        <w:t>图4-4  含油废水处理工艺流程图</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生活污水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动力站生活污水主要是办公楼、厂房、生产管理中心以及附属建筑物卫生间排水。生活污水通过厂区生活污水管网输送至厂区处理站生活污水处理系统，采用生物曝气滤池技术进行处理，处理后的水进入工业废水处理系统。主要工艺流程见图4-5。</w:t>
      </w:r>
    </w:p>
    <w:p>
      <w:pPr>
        <w:pStyle w:val="2"/>
        <w:rPr>
          <w:rFonts w:hint="eastAsia" w:ascii="宋体" w:hAnsi="宋体" w:eastAsia="宋体"/>
          <w:b w:val="0"/>
          <w:bCs w:val="0"/>
          <w:sz w:val="28"/>
          <w:szCs w:val="28"/>
          <w:lang w:val="en-US" w:eastAsia="zh-CN"/>
        </w:rPr>
      </w:pPr>
      <w:r>
        <w:rPr>
          <w:sz w:val="28"/>
        </w:rPr>
        <w:pict>
          <v:rect id="_x0000_s1150" o:spid="_x0000_s1150" o:spt="1" style="position:absolute;left:0pt;margin-left:15.75pt;margin-top:7.65pt;height:26.4pt;width:59.4pt;z-index:-2047763456;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lang w:eastAsia="zh-CN"/>
                    </w:rPr>
                  </w:pPr>
                  <w:r>
                    <w:rPr>
                      <w:rFonts w:hint="eastAsia"/>
                      <w:lang w:eastAsia="zh-CN"/>
                    </w:rPr>
                    <w:t>生活污水</w:t>
                  </w:r>
                </w:p>
              </w:txbxContent>
            </v:textbox>
          </v:rect>
        </w:pict>
      </w:r>
      <w:r>
        <w:rPr>
          <w:sz w:val="28"/>
        </w:rPr>
        <w:pict>
          <v:rect id="_x0000_s1140" o:spid="_x0000_s1140" o:spt="1" style="position:absolute;left:0pt;margin-left:278.85pt;margin-top:19.55pt;height:26.4pt;width:60.65pt;z-index:-166799257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初沉池</w:t>
                  </w:r>
                </w:p>
              </w:txbxContent>
            </v:textbox>
          </v:rect>
        </w:pict>
      </w:r>
      <w:r>
        <w:rPr>
          <w:sz w:val="28"/>
        </w:rPr>
        <w:pict>
          <v:line id="_x0000_s1139" o:spid="_x0000_s1139" o:spt="20" style="position:absolute;left:0pt;flip:y;margin-left:243.45pt;margin-top:31.6pt;height:0.55pt;width:34.85pt;z-index:1996816384;mso-width-relative:page;mso-height-relative:page;" filled="f" stroked="t" coordsize="21600,21600">
            <v:path arrowok="t"/>
            <v:fill on="f" focussize="0,0"/>
            <v:stroke weight="1pt" color="#000000" endarrow="open"/>
            <v:imagedata o:title=""/>
            <o:lock v:ext="edit" aspectratio="f"/>
          </v:line>
        </w:pict>
      </w:r>
      <w:r>
        <w:rPr>
          <w:sz w:val="28"/>
        </w:rPr>
        <w:pict>
          <v:rect id="_x0000_s1138" o:spid="_x0000_s1138" o:spt="1" style="position:absolute;left:0pt;margin-left:154.05pt;margin-top:18.35pt;height:26.4pt;width:90pt;z-index:-166799257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生活污水调节池</w:t>
                  </w:r>
                </w:p>
              </w:txbxContent>
            </v:textbox>
          </v:rect>
        </w:pict>
      </w:r>
      <w:r>
        <w:rPr>
          <w:sz w:val="28"/>
        </w:rPr>
        <w:pict>
          <v:line id="_x0000_s1137" o:spid="_x0000_s1137" o:spt="20" style="position:absolute;left:0pt;flip:y;margin-left:118.05pt;margin-top:30.4pt;height:0.55pt;width:34.85pt;z-index:-2007251968;mso-width-relative:page;mso-height-relative:page;" filled="f" stroked="t" coordsize="21600,21600">
            <v:path arrowok="t"/>
            <v:fill on="f" focussize="0,0"/>
            <v:stroke weight="1pt" color="#000000" endarrow="open"/>
            <v:imagedata o:title=""/>
            <o:lock v:ext="edit" aspectratio="f"/>
          </v:line>
        </w:pict>
      </w:r>
      <w:r>
        <w:rPr>
          <w:sz w:val="28"/>
        </w:rPr>
        <w:pict>
          <v:rect id="_x0000_s1136" o:spid="_x0000_s1136" o:spt="1" style="position:absolute;left:0pt;margin-left:75.45pt;margin-top:17.75pt;height:26.4pt;width:41.5pt;z-index:-137709363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格栅</w:t>
                  </w:r>
                </w:p>
              </w:txbxContent>
            </v:textbox>
          </v:rect>
        </w:pict>
      </w:r>
    </w:p>
    <w:p>
      <w:pPr>
        <w:pStyle w:val="2"/>
        <w:rPr>
          <w:rFonts w:hint="eastAsia" w:ascii="宋体" w:hAnsi="宋体" w:eastAsia="宋体"/>
          <w:b w:val="0"/>
          <w:bCs w:val="0"/>
          <w:sz w:val="28"/>
          <w:szCs w:val="28"/>
          <w:lang w:val="en-US" w:eastAsia="zh-CN"/>
        </w:rPr>
      </w:pPr>
      <w:r>
        <w:rPr>
          <w:sz w:val="28"/>
        </w:rPr>
        <w:pict>
          <v:shape id="_x0000_s1141" o:spid="_x0000_s1141" o:spt="33" type="#_x0000_t33" style="position:absolute;left:0pt;margin-left:339.5pt;margin-top:0.25pt;height:49.55pt;width:40.15pt;z-index:-39240704;mso-width-relative:page;mso-height-relative:page;" filled="f" stroked="t" coordsize="21600,21600">
            <v:path arrowok="t"/>
            <v:fill on="f" focussize="0,0"/>
            <v:stroke weight="1pt" color="#000000" endarrow="block"/>
            <v:imagedata o:title=""/>
            <o:lock v:ext="edit" aspectratio="f"/>
          </v:shape>
        </w:pict>
      </w:r>
      <w:r>
        <w:rPr>
          <w:sz w:val="28"/>
        </w:rPr>
        <w:pict>
          <v:line id="_x0000_s1135" o:spid="_x0000_s1135" o:spt="20" style="position:absolute;left:0pt;margin-left:10.65pt;margin-top:0.85pt;height:0.05pt;width:64.2pt;z-index:-1716353024;mso-width-relative:page;mso-height-relative:page;" filled="f" stroked="t" coordsize="21600,21600">
            <v:path arrowok="t"/>
            <v:fill on="f" focussize="0,0"/>
            <v:stroke weight="1pt" color="#000000" endarrow="open"/>
            <v:imagedata o:title=""/>
            <o:lock v:ext="edit" aspectratio="f"/>
          </v:line>
        </w:pict>
      </w:r>
    </w:p>
    <w:p>
      <w:pPr>
        <w:pStyle w:val="2"/>
        <w:rPr>
          <w:rFonts w:hint="eastAsia" w:ascii="宋体" w:hAnsi="宋体" w:eastAsia="宋体"/>
          <w:b w:val="0"/>
          <w:bCs w:val="0"/>
          <w:sz w:val="28"/>
          <w:szCs w:val="28"/>
          <w:lang w:val="en-US" w:eastAsia="zh-CN"/>
        </w:rPr>
      </w:pPr>
      <w:r>
        <w:rPr>
          <w:sz w:val="28"/>
        </w:rPr>
        <w:pict>
          <v:rect id="_x0000_s1151" o:spid="_x0000_s1151" o:spt="1" style="position:absolute;left:0pt;margin-left:21.45pt;margin-top:3.15pt;height:26.4pt;width:106.2pt;z-index:-330140672;mso-width-relative:page;mso-height-relative:page;" fillcolor="#FFFFFF" filled="t" stroked="t" coordsize="21600,21600">
            <v:path/>
            <v:fill on="t" color2="#FFFFFF" focussize="0,0"/>
            <v:stroke color="#FFFFFF" joinstyle="miter"/>
            <v:imagedata o:title=""/>
            <o:lock v:ext="edit" aspectratio="f"/>
            <v:textbox>
              <w:txbxContent>
                <w:p>
                  <w:pPr>
                    <w:rPr>
                      <w:rFonts w:hint="eastAsia" w:eastAsiaTheme="minorEastAsia"/>
                      <w:color w:val="auto"/>
                      <w:lang w:eastAsia="zh-CN"/>
                    </w:rPr>
                  </w:pPr>
                  <w:r>
                    <w:rPr>
                      <w:rFonts w:hint="eastAsia"/>
                      <w:color w:val="auto"/>
                      <w:lang w:eastAsia="zh-CN"/>
                    </w:rPr>
                    <w:t>工业废水处理系统</w:t>
                  </w:r>
                </w:p>
              </w:txbxContent>
            </v:textbox>
          </v:rect>
        </w:pict>
      </w:r>
      <w:r>
        <w:rPr>
          <w:sz w:val="28"/>
        </w:rPr>
        <w:pict>
          <v:rect id="_x0000_s1146" o:spid="_x0000_s1146" o:spt="1" style="position:absolute;left:0pt;margin-left:131.85pt;margin-top:22.35pt;height:26.4pt;width:60.65pt;z-index:204517888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消毒池</w:t>
                  </w:r>
                </w:p>
              </w:txbxContent>
            </v:textbox>
          </v:rect>
        </w:pict>
      </w:r>
      <w:r>
        <w:rPr>
          <w:sz w:val="28"/>
        </w:rPr>
        <w:pict>
          <v:rect id="_x0000_s1144" o:spid="_x0000_s1144" o:spt="1" style="position:absolute;left:0pt;margin-left:230.85pt;margin-top:21.15pt;height:26.4pt;width:60.65pt;z-index:-195889049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反冲水池</w:t>
                  </w:r>
                </w:p>
              </w:txbxContent>
            </v:textbox>
          </v:rect>
        </w:pict>
      </w:r>
      <w:r>
        <w:rPr>
          <w:sz w:val="28"/>
        </w:rPr>
        <w:pict>
          <v:rect id="_x0000_s1142" o:spid="_x0000_s1142" o:spt="1" style="position:absolute;left:0pt;margin-left:329.85pt;margin-top:21.15pt;height:24.6pt;width:90pt;z-index:-195889049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val="en-US" w:eastAsia="zh-CN"/>
                    </w:rPr>
                  </w:pPr>
                  <w:r>
                    <w:rPr>
                      <w:rFonts w:hint="eastAsia"/>
                      <w:lang w:eastAsia="zh-CN"/>
                    </w:rPr>
                    <w:t>曝气生物滤池</w:t>
                  </w:r>
                </w:p>
              </w:txbxContent>
            </v:textbox>
          </v:rect>
        </w:pict>
      </w:r>
    </w:p>
    <w:p>
      <w:pPr>
        <w:pStyle w:val="2"/>
        <w:rPr>
          <w:rFonts w:hint="eastAsia" w:ascii="宋体" w:hAnsi="宋体" w:eastAsia="宋体"/>
          <w:b w:val="0"/>
          <w:bCs w:val="0"/>
          <w:sz w:val="28"/>
          <w:szCs w:val="28"/>
          <w:lang w:val="en-US" w:eastAsia="zh-CN"/>
        </w:rPr>
      </w:pPr>
      <w:r>
        <w:rPr>
          <w:sz w:val="28"/>
        </w:rPr>
        <w:pict>
          <v:line id="_x0000_s1147" o:spid="_x0000_s1147" o:spt="20" style="position:absolute;left:0pt;flip:x;margin-left:62.8pt;margin-top:4.15pt;height:0.1pt;width:69.05pt;z-index:1956307968;mso-width-relative:page;mso-height-relative:page;" filled="f" stroked="t" coordsize="21600,21600">
            <v:path arrowok="t"/>
            <v:fill on="f" focussize="0,0"/>
            <v:stroke weight="1pt" color="#000000" endarrow="open"/>
            <v:imagedata o:title=""/>
            <o:lock v:ext="edit" aspectratio="f"/>
          </v:line>
        </w:pict>
      </w:r>
      <w:r>
        <w:rPr>
          <w:sz w:val="28"/>
        </w:rPr>
        <w:pict>
          <v:line id="_x0000_s1145" o:spid="_x0000_s1145" o:spt="20" style="position:absolute;left:0pt;flip:x;margin-left:192.45pt;margin-top:3.55pt;height:0.05pt;width:39.6pt;z-index:-2047761408;mso-width-relative:page;mso-height-relative:page;" filled="f" stroked="t" coordsize="21600,21600">
            <v:path arrowok="t"/>
            <v:fill on="f" focussize="0,0"/>
            <v:stroke weight="1pt" color="#000000" endarrow="open"/>
            <v:imagedata o:title=""/>
            <o:lock v:ext="edit" aspectratio="f"/>
          </v:line>
        </w:pict>
      </w:r>
      <w:r>
        <w:rPr>
          <w:sz w:val="28"/>
        </w:rPr>
        <w:pict>
          <v:line id="_x0000_s1143" o:spid="_x0000_s1143" o:spt="20" style="position:absolute;left:0pt;flip:x;margin-left:290.85pt;margin-top:2.95pt;height:0.05pt;width:39.6pt;z-index:-1756863488;mso-width-relative:page;mso-height-relative:page;" filled="f" stroked="t" coordsize="21600,21600">
            <v:path arrowok="t"/>
            <v:fill on="f" focussize="0,0"/>
            <v:stroke weight="1pt" color="#000000" endarrow="open"/>
            <v:imagedata o:title=""/>
            <o:lock v:ext="edit" aspectratio="f"/>
          </v:line>
        </w:pict>
      </w:r>
    </w:p>
    <w:p>
      <w:pPr>
        <w:pStyle w:val="2"/>
        <w:jc w:val="center"/>
        <w:rPr>
          <w:rFonts w:hint="eastAsia" w:hAnsi="宋体" w:eastAsia="宋体"/>
          <w:b/>
          <w:bCs/>
          <w:sz w:val="24"/>
          <w:szCs w:val="24"/>
          <w:lang w:val="en-US" w:eastAsia="zh-CN"/>
        </w:rPr>
      </w:pPr>
      <w:r>
        <w:rPr>
          <w:rFonts w:hint="eastAsia" w:hAnsi="宋体" w:eastAsia="宋体"/>
          <w:b/>
          <w:bCs/>
          <w:sz w:val="24"/>
          <w:szCs w:val="24"/>
          <w:lang w:val="en-US" w:eastAsia="zh-CN"/>
        </w:rPr>
        <w:t>图4-5  生活污水处理工艺流程图</w:t>
      </w:r>
    </w:p>
    <w:p>
      <w:pPr>
        <w:pStyle w:val="2"/>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jc w:val="both"/>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废水污染物排放及处理设施见表4-1。</w:t>
      </w:r>
    </w:p>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bCs/>
          <w:sz w:val="24"/>
          <w:szCs w:val="24"/>
          <w:lang w:val="en-US" w:eastAsia="zh-CN"/>
        </w:rPr>
      </w:pPr>
      <w:r>
        <w:rPr>
          <w:rFonts w:hint="eastAsia" w:hAnsi="宋体" w:eastAsia="宋体"/>
          <w:b/>
          <w:bCs/>
          <w:sz w:val="24"/>
          <w:szCs w:val="24"/>
          <w:lang w:val="en-US" w:eastAsia="zh-CN"/>
        </w:rPr>
        <w:t>表4-1  废水污染物排放及处理设施一览表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327"/>
        <w:gridCol w:w="1125"/>
        <w:gridCol w:w="1900"/>
        <w:gridCol w:w="2098"/>
        <w:gridCol w:w="1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2"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序号</w:t>
            </w:r>
          </w:p>
        </w:tc>
        <w:tc>
          <w:tcPr>
            <w:tcW w:w="1327"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废污水名称</w:t>
            </w:r>
          </w:p>
        </w:tc>
        <w:tc>
          <w:tcPr>
            <w:tcW w:w="1125"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排放方式</w:t>
            </w:r>
          </w:p>
        </w:tc>
        <w:tc>
          <w:tcPr>
            <w:tcW w:w="1900"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处理设施</w:t>
            </w:r>
          </w:p>
        </w:tc>
        <w:tc>
          <w:tcPr>
            <w:tcW w:w="2098"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主要污染物</w:t>
            </w:r>
          </w:p>
        </w:tc>
        <w:tc>
          <w:tcPr>
            <w:tcW w:w="1414" w:type="dxa"/>
            <w:tcBorders>
              <w:tl2br w:val="nil"/>
              <w:tr2bl w:val="nil"/>
            </w:tcBorders>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652"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1</w:t>
            </w:r>
          </w:p>
        </w:tc>
        <w:tc>
          <w:tcPr>
            <w:tcW w:w="132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含煤废水</w:t>
            </w:r>
          </w:p>
        </w:tc>
        <w:tc>
          <w:tcPr>
            <w:tcW w:w="1125"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连续</w:t>
            </w:r>
          </w:p>
        </w:tc>
        <w:tc>
          <w:tcPr>
            <w:tcW w:w="1900"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含煤废水处理系统</w:t>
            </w:r>
          </w:p>
        </w:tc>
        <w:tc>
          <w:tcPr>
            <w:tcW w:w="2098"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ascii="宋体" w:hAnsi="宋体" w:eastAsia="宋体" w:cstheme="minorBidi"/>
                <w:b w:val="0"/>
                <w:bCs w:val="0"/>
                <w:kern w:val="2"/>
                <w:sz w:val="21"/>
                <w:szCs w:val="21"/>
                <w:vertAlign w:val="baseline"/>
                <w:lang w:val="en-US" w:eastAsia="zh-CN" w:bidi="ar-SA"/>
              </w:rPr>
              <w:t>PH、SS</w:t>
            </w:r>
          </w:p>
        </w:tc>
        <w:tc>
          <w:tcPr>
            <w:tcW w:w="1414"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回用输煤系统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2"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2</w:t>
            </w:r>
          </w:p>
        </w:tc>
        <w:tc>
          <w:tcPr>
            <w:tcW w:w="132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工业废水</w:t>
            </w:r>
          </w:p>
        </w:tc>
        <w:tc>
          <w:tcPr>
            <w:tcW w:w="1125"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连续</w:t>
            </w:r>
          </w:p>
        </w:tc>
        <w:tc>
          <w:tcPr>
            <w:tcW w:w="1900"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工业废水处理系统</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ascii="宋体" w:hAnsi="宋体" w:eastAsia="宋体" w:cstheme="minorBidi"/>
                <w:b w:val="0"/>
                <w:bCs w:val="0"/>
                <w:kern w:val="2"/>
                <w:sz w:val="21"/>
                <w:szCs w:val="21"/>
                <w:vertAlign w:val="baseline"/>
                <w:lang w:val="en-US" w:eastAsia="zh-CN" w:bidi="ar-SA"/>
              </w:rPr>
              <w:t>PH、SS、CODcr、BOD5、</w:t>
            </w:r>
            <w:r>
              <w:rPr>
                <w:rFonts w:hint="eastAsia" w:ascii="宋体" w:hAnsi="宋体" w:eastAsia="宋体" w:cs="宋体"/>
                <w:color w:val="auto"/>
                <w:sz w:val="21"/>
                <w:szCs w:val="21"/>
                <w:highlight w:val="none"/>
                <w:lang w:val="en-US" w:eastAsia="zh-CN"/>
              </w:rPr>
              <w:t>NH</w:t>
            </w:r>
            <w:r>
              <w:rPr>
                <w:rFonts w:hint="eastAsia" w:ascii="宋体" w:hAnsi="宋体" w:eastAsia="宋体" w:cs="宋体"/>
                <w:color w:val="auto"/>
                <w:sz w:val="21"/>
                <w:szCs w:val="21"/>
                <w:highlight w:val="none"/>
                <w:vertAlign w:val="subscript"/>
                <w:lang w:val="en-US" w:eastAsia="zh-CN"/>
              </w:rPr>
              <w:t>3</w:t>
            </w:r>
            <w:r>
              <w:rPr>
                <w:rFonts w:hint="eastAsia" w:ascii="宋体" w:hAnsi="宋体" w:eastAsia="宋体" w:cs="宋体"/>
                <w:color w:val="auto"/>
                <w:sz w:val="21"/>
                <w:szCs w:val="21"/>
                <w:highlight w:val="none"/>
                <w:lang w:val="en-US" w:eastAsia="zh-CN"/>
              </w:rPr>
              <w:t>-N、石油类、氰化物、</w:t>
            </w:r>
            <w:r>
              <w:rPr>
                <w:rFonts w:hint="eastAsia" w:ascii="宋体" w:hAnsi="宋体" w:eastAsia="宋体" w:cstheme="minorBidi"/>
                <w:b w:val="0"/>
                <w:bCs w:val="0"/>
                <w:kern w:val="2"/>
                <w:sz w:val="21"/>
                <w:szCs w:val="21"/>
                <w:vertAlign w:val="baseline"/>
                <w:lang w:val="en-US" w:eastAsia="zh-CN" w:bidi="ar-SA"/>
              </w:rPr>
              <w:t>色度、挥发酚、硫化物、锰</w:t>
            </w:r>
          </w:p>
        </w:tc>
        <w:tc>
          <w:tcPr>
            <w:tcW w:w="1414"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园区中水回用系统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2"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3</w:t>
            </w:r>
          </w:p>
        </w:tc>
        <w:tc>
          <w:tcPr>
            <w:tcW w:w="132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脱硫废水</w:t>
            </w:r>
          </w:p>
        </w:tc>
        <w:tc>
          <w:tcPr>
            <w:tcW w:w="1125"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连续</w:t>
            </w:r>
          </w:p>
        </w:tc>
        <w:tc>
          <w:tcPr>
            <w:tcW w:w="1900"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脱硫废水处理系统</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ascii="宋体" w:hAnsi="宋体" w:eastAsia="宋体" w:cstheme="minorBidi"/>
                <w:b w:val="0"/>
                <w:bCs w:val="0"/>
                <w:kern w:val="2"/>
                <w:sz w:val="21"/>
                <w:szCs w:val="21"/>
                <w:vertAlign w:val="baseline"/>
                <w:lang w:val="en-US" w:eastAsia="zh-CN" w:bidi="ar-SA"/>
              </w:rPr>
              <w:t>PH、SS、汞、砷、铅、镉、</w:t>
            </w:r>
          </w:p>
        </w:tc>
        <w:tc>
          <w:tcPr>
            <w:tcW w:w="1414"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含煤废水处理系统、输煤系统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2"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4</w:t>
            </w:r>
          </w:p>
        </w:tc>
        <w:tc>
          <w:tcPr>
            <w:tcW w:w="132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含油废水</w:t>
            </w:r>
          </w:p>
        </w:tc>
        <w:tc>
          <w:tcPr>
            <w:tcW w:w="1125"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间断</w:t>
            </w:r>
          </w:p>
        </w:tc>
        <w:tc>
          <w:tcPr>
            <w:tcW w:w="1900"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含油废水处理系统</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ascii="宋体" w:hAnsi="宋体" w:eastAsia="宋体" w:cstheme="minorBidi"/>
                <w:b w:val="0"/>
                <w:bCs w:val="0"/>
                <w:kern w:val="2"/>
                <w:sz w:val="21"/>
                <w:szCs w:val="21"/>
                <w:vertAlign w:val="baseline"/>
                <w:lang w:val="en-US" w:eastAsia="zh-CN" w:bidi="ar-SA"/>
              </w:rPr>
              <w:t>PH、SS、石油类</w:t>
            </w:r>
          </w:p>
        </w:tc>
        <w:tc>
          <w:tcPr>
            <w:tcW w:w="1414"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园区污水处理站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2"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5</w:t>
            </w:r>
          </w:p>
        </w:tc>
        <w:tc>
          <w:tcPr>
            <w:tcW w:w="132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生活污水</w:t>
            </w:r>
          </w:p>
        </w:tc>
        <w:tc>
          <w:tcPr>
            <w:tcW w:w="1125"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连续</w:t>
            </w:r>
          </w:p>
        </w:tc>
        <w:tc>
          <w:tcPr>
            <w:tcW w:w="1900"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生活污水处理系统</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ascii="宋体" w:hAnsi="宋体" w:eastAsia="宋体" w:cstheme="minorBidi"/>
                <w:b w:val="0"/>
                <w:bCs w:val="0"/>
                <w:kern w:val="2"/>
                <w:sz w:val="21"/>
                <w:szCs w:val="21"/>
                <w:vertAlign w:val="baseline"/>
                <w:lang w:val="en-US" w:eastAsia="zh-CN" w:bidi="ar-SA"/>
              </w:rPr>
              <w:t>PH、SS、CODcr、BOD5、氨氮、动植物油、氰化物、色度、挥发酚、硫化物、锰</w:t>
            </w:r>
          </w:p>
        </w:tc>
        <w:tc>
          <w:tcPr>
            <w:tcW w:w="1414"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工业废水处理系统</w:t>
            </w:r>
          </w:p>
        </w:tc>
      </w:tr>
    </w:tbl>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sz w:val="28"/>
          <w:szCs w:val="28"/>
          <w:lang w:val="en-US" w:eastAsia="zh-CN"/>
        </w:rPr>
      </w:pPr>
      <w:bookmarkStart w:id="14" w:name="_Toc25414"/>
      <w:r>
        <w:rPr>
          <w:rFonts w:hint="eastAsia" w:ascii="宋体" w:hAnsi="宋体" w:eastAsia="宋体"/>
          <w:b/>
          <w:bCs/>
          <w:sz w:val="28"/>
          <w:szCs w:val="28"/>
          <w:lang w:val="en-US" w:eastAsia="zh-CN"/>
        </w:rPr>
        <w:t>4.1.2废气</w:t>
      </w:r>
      <w:bookmarkEnd w:id="14"/>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动力站废气包括有组织废气和无组织废气。其中有组织废气包括：颗粒物、二氧化硫、氮氧化物和汞及其化合物；无组织废气包括：颗粒物和氨。燃煤经低氮燃烧后产生的废气经选择性催化还原（SCR)脱硝装置、</w:t>
      </w:r>
      <w:r>
        <w:rPr>
          <w:rFonts w:hint="eastAsia" w:ascii="宋体" w:hAnsi="宋体" w:eastAsia="宋体"/>
          <w:b w:val="0"/>
          <w:bCs w:val="0"/>
          <w:color w:val="000000" w:themeColor="text1"/>
          <w:sz w:val="28"/>
          <w:szCs w:val="28"/>
          <w:lang w:val="en-US" w:eastAsia="zh-CN"/>
        </w:rPr>
        <w:t>布袋除尘</w:t>
      </w:r>
      <w:r>
        <w:rPr>
          <w:rFonts w:hint="eastAsia" w:ascii="宋体" w:hAnsi="宋体" w:eastAsia="宋体"/>
          <w:b w:val="0"/>
          <w:bCs w:val="0"/>
          <w:sz w:val="28"/>
          <w:szCs w:val="28"/>
          <w:lang w:val="en-US" w:eastAsia="zh-CN"/>
        </w:rPr>
        <w:t>及电石渣石膏法脱硫装置处理后，由210m钢筋混凝土烟囱排放；厂区产生的无组织废气颗粒物和氨区产生的无组织氨通过密闭和喷淋等措施降低浓度后排入大气。废气污染物及处理设施见表4-2。</w:t>
      </w:r>
    </w:p>
    <w:p>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脱硝</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本项目锅炉安装低氮燃烧器，原煤经低氮燃烧后烟气进入SCR脱硝装置，烟气与脱硝装置</w:t>
      </w:r>
      <w:r>
        <w:rPr>
          <w:rFonts w:hint="eastAsia" w:ascii="宋体" w:hAnsi="宋体" w:eastAsia="宋体"/>
          <w:b w:val="0"/>
          <w:bCs w:val="0"/>
          <w:color w:val="auto"/>
          <w:sz w:val="28"/>
          <w:szCs w:val="28"/>
          <w:lang w:val="en-US" w:eastAsia="zh-CN"/>
        </w:rPr>
        <w:t>液氨</w:t>
      </w:r>
      <w:r>
        <w:rPr>
          <w:rFonts w:hint="eastAsia" w:ascii="宋体" w:hAnsi="宋体" w:eastAsia="宋体"/>
          <w:b w:val="0"/>
          <w:bCs w:val="0"/>
          <w:sz w:val="28"/>
          <w:szCs w:val="28"/>
          <w:lang w:val="en-US" w:eastAsia="zh-CN"/>
        </w:rPr>
        <w:t>发生混合，扩散到催化剂表面，在催化剂的作用下将烟气中的一氧化氮和二氧化氮还原成氮气和水，达到脱硝的目的。</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本项目采用高效低氮燃烧技术，根据煤粉炉内燃烧过程和氮氧化物释放规律，通过采用低氮喷嘴、高级复合空气分级、精准配风等方式，实现煤在炉内高效与低氮燃烧。</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除尘</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烟气从脱硝装置进入除尘装置，通过除尘器中布袋过滤来降低烟气中颗粒物含量，烟气进入脱硫塔后经过除雾器进一步除尘后排放；输煤系统T1-T6转运站除尘器、原煤斗除尘器、电石渣仓除尘器、石灰石仓除尘器和灰库除尘器均采用布袋除尘处理后排入大气。动力站锅炉飞灰经发射器存入灰库，由车辆运输至新疆神彩东晟环保科技有限公司贮灰场处理。煤场转运、贮存过程中无组织颗粒物通过厂房封闭、喷淋和湿式除尘等措施来减少无组织颗粒物排放。</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脱硫</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根据生产情况，选用电石渣（兼石灰石）石膏法脱硫。化工区乙炔装置产生的电石渣供动力站脱硫使用，石灰石在电石渣不足时作为补充脱硫剂。烟气通过除尘装置进入脱硫塔内，与脱硫塔内喷淋浆液反应，使烟气中二氧化硫浓度降低，最终经过烟囱排入大气。</w:t>
      </w:r>
    </w:p>
    <w:p>
      <w:pPr>
        <w:pStyle w:val="2"/>
        <w:jc w:val="center"/>
        <w:rPr>
          <w:rFonts w:hint="eastAsia" w:hAnsi="宋体" w:eastAsia="宋体"/>
          <w:b/>
          <w:bCs/>
          <w:sz w:val="24"/>
          <w:szCs w:val="24"/>
          <w:lang w:val="en-US" w:eastAsia="zh-CN"/>
        </w:rPr>
      </w:pPr>
      <w:r>
        <w:rPr>
          <w:rFonts w:hint="eastAsia" w:hAnsi="宋体" w:eastAsia="宋体"/>
          <w:b/>
          <w:bCs/>
          <w:sz w:val="24"/>
          <w:szCs w:val="24"/>
          <w:lang w:val="en-US" w:eastAsia="zh-CN"/>
        </w:rPr>
        <w:t>表4-2  废物污染物及处理设施</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982"/>
        <w:gridCol w:w="2260"/>
        <w:gridCol w:w="1415"/>
        <w:gridCol w:w="1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lang w:val="en-US" w:eastAsia="zh-CN"/>
              </w:rPr>
              <w:t>类别</w:t>
            </w:r>
          </w:p>
        </w:tc>
        <w:tc>
          <w:tcPr>
            <w:tcW w:w="198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污染来源</w:t>
            </w:r>
          </w:p>
        </w:tc>
        <w:tc>
          <w:tcPr>
            <w:tcW w:w="2260"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处理设施</w:t>
            </w:r>
          </w:p>
        </w:tc>
        <w:tc>
          <w:tcPr>
            <w:tcW w:w="1415"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主要污染物</w:t>
            </w:r>
          </w:p>
        </w:tc>
        <w:tc>
          <w:tcPr>
            <w:tcW w:w="199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restart"/>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有组织</w:t>
            </w:r>
          </w:p>
        </w:tc>
        <w:tc>
          <w:tcPr>
            <w:tcW w:w="1982" w:type="dxa"/>
            <w:vMerge w:val="restart"/>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动力站锅炉</w:t>
            </w:r>
          </w:p>
        </w:tc>
        <w:tc>
          <w:tcPr>
            <w:tcW w:w="2260" w:type="dxa"/>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低氮燃烧、选择性催化还原（SCR）脱硝装置</w:t>
            </w:r>
          </w:p>
        </w:tc>
        <w:tc>
          <w:tcPr>
            <w:tcW w:w="1415" w:type="dxa"/>
            <w:vMerge w:val="restart"/>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颗粒物、二氧化物、氮氧化物、氨（氨逃逸）、汞及其化合物</w:t>
            </w:r>
          </w:p>
        </w:tc>
        <w:tc>
          <w:tcPr>
            <w:tcW w:w="1992" w:type="dxa"/>
            <w:vMerge w:val="restart"/>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经210m烟囱排入大气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82"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2260" w:type="dxa"/>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布袋除尘、脱硫除雾器</w:t>
            </w:r>
          </w:p>
        </w:tc>
        <w:tc>
          <w:tcPr>
            <w:tcW w:w="1415"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92"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82"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2260" w:type="dxa"/>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电石渣（兼石灰石）石膏法脱硫装置</w:t>
            </w:r>
          </w:p>
        </w:tc>
        <w:tc>
          <w:tcPr>
            <w:tcW w:w="1415"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92"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82" w:type="dxa"/>
            <w:tcBorders>
              <w:tl2br w:val="nil"/>
              <w:tr2bl w:val="nil"/>
            </w:tcBorders>
            <w:vAlign w:val="center"/>
          </w:tcPr>
          <w:p>
            <w:pPr>
              <w:pStyle w:val="2"/>
              <w:jc w:val="both"/>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输煤系统、电石渣仓、原煤斗、石灰石仓和灰库</w:t>
            </w:r>
          </w:p>
        </w:tc>
        <w:tc>
          <w:tcPr>
            <w:tcW w:w="2260"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布袋除尘器</w:t>
            </w:r>
          </w:p>
        </w:tc>
        <w:tc>
          <w:tcPr>
            <w:tcW w:w="1415"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颗粒物</w:t>
            </w:r>
          </w:p>
        </w:tc>
        <w:tc>
          <w:tcPr>
            <w:tcW w:w="199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经排气筒排入大气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restart"/>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无组织</w:t>
            </w:r>
          </w:p>
        </w:tc>
        <w:tc>
          <w:tcPr>
            <w:tcW w:w="198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厂界</w:t>
            </w:r>
          </w:p>
        </w:tc>
        <w:tc>
          <w:tcPr>
            <w:tcW w:w="2260"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封闭、洒水</w:t>
            </w:r>
          </w:p>
        </w:tc>
        <w:tc>
          <w:tcPr>
            <w:tcW w:w="1415"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颗粒物</w:t>
            </w:r>
          </w:p>
        </w:tc>
        <w:tc>
          <w:tcPr>
            <w:tcW w:w="199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无组织排入大气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7" w:type="dxa"/>
            <w:vMerge w:val="continue"/>
            <w:tcBorders>
              <w:tl2br w:val="nil"/>
              <w:tr2bl w:val="nil"/>
            </w:tcBorders>
            <w:vAlign w:val="center"/>
          </w:tcPr>
          <w:p>
            <w:pPr>
              <w:pStyle w:val="2"/>
              <w:jc w:val="center"/>
              <w:rPr>
                <w:rFonts w:hint="eastAsia" w:hAnsi="宋体" w:eastAsia="宋体"/>
                <w:b w:val="0"/>
                <w:bCs w:val="0"/>
                <w:sz w:val="21"/>
                <w:szCs w:val="21"/>
                <w:vertAlign w:val="baseline"/>
                <w:lang w:val="en-US" w:eastAsia="zh-CN"/>
              </w:rPr>
            </w:pPr>
          </w:p>
        </w:tc>
        <w:tc>
          <w:tcPr>
            <w:tcW w:w="198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氨区</w:t>
            </w:r>
          </w:p>
        </w:tc>
        <w:tc>
          <w:tcPr>
            <w:tcW w:w="2260"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喷淋</w:t>
            </w:r>
          </w:p>
        </w:tc>
        <w:tc>
          <w:tcPr>
            <w:tcW w:w="1415"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氨</w:t>
            </w:r>
          </w:p>
        </w:tc>
        <w:tc>
          <w:tcPr>
            <w:tcW w:w="1992" w:type="dxa"/>
            <w:tcBorders>
              <w:tl2br w:val="nil"/>
              <w:tr2bl w:val="nil"/>
            </w:tcBorders>
            <w:vAlign w:val="center"/>
          </w:tcPr>
          <w:p>
            <w:pPr>
              <w:pStyle w:val="2"/>
              <w:jc w:val="center"/>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无组织排入大气</w:t>
            </w:r>
          </w:p>
        </w:tc>
      </w:tr>
    </w:tbl>
    <w:p>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排气筒</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动力站有组织废气排气筒按照施工设计方案进行建设，具体情况见表4-3。</w:t>
      </w:r>
    </w:p>
    <w:p>
      <w:pPr>
        <w:pStyle w:val="3"/>
        <w:jc w:val="center"/>
        <w:rPr>
          <w:rFonts w:hint="eastAsia" w:ascii="宋体" w:hAnsi="宋体" w:eastAsia="宋体" w:cstheme="minorBidi"/>
          <w:b/>
          <w:bCs/>
          <w:i w:val="0"/>
          <w:iCs w:val="0"/>
          <w:kern w:val="2"/>
          <w:sz w:val="24"/>
          <w:szCs w:val="24"/>
          <w:lang w:val="en-US" w:eastAsia="zh-CN" w:bidi="ar-SA"/>
        </w:rPr>
      </w:pPr>
      <w:r>
        <w:rPr>
          <w:rFonts w:hint="eastAsia" w:ascii="宋体" w:hAnsi="宋体" w:eastAsia="宋体" w:cstheme="minorBidi"/>
          <w:b/>
          <w:bCs/>
          <w:i w:val="0"/>
          <w:iCs w:val="0"/>
          <w:kern w:val="2"/>
          <w:sz w:val="24"/>
          <w:szCs w:val="24"/>
          <w:lang w:val="en-US" w:eastAsia="zh-CN" w:bidi="ar-SA"/>
        </w:rPr>
        <w:t>表4-3  排气筒建设情况一览表</w:t>
      </w:r>
    </w:p>
    <w:tbl>
      <w:tblPr>
        <w:tblStyle w:val="1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579"/>
        <w:gridCol w:w="1703"/>
        <w:gridCol w:w="170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eastAsia="zh-CN"/>
              </w:rPr>
              <w:t>序号</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eastAsia="zh-CN"/>
              </w:rPr>
              <w:t>处理设施</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eastAsia="zh-CN"/>
              </w:rPr>
              <w:t>实际建设</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m）</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环评内容（m）</w:t>
            </w:r>
          </w:p>
        </w:tc>
        <w:tc>
          <w:tcPr>
            <w:tcW w:w="1704" w:type="dxa"/>
            <w:vAlign w:val="center"/>
          </w:tcPr>
          <w:p>
            <w:pPr>
              <w:jc w:val="center"/>
              <w:rPr>
                <w:rFonts w:hint="eastAsia"/>
                <w:vertAlign w:val="baseline"/>
                <w:lang w:val="en-US" w:eastAsia="zh-CN"/>
              </w:rPr>
            </w:pPr>
            <w:r>
              <w:rPr>
                <w:rFonts w:hint="eastAsia"/>
                <w:vertAlign w:val="baseline"/>
                <w:lang w:val="en-US" w:eastAsia="zh-CN"/>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T1转运站1#除尘器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T1转运站2#除尘器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3</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T1转运站3#除尘器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4</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T2转运站1#除尘器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5</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T3转运站1#除尘器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6</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T3转运站2#除尘器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7</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T4转运站1#除尘器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8</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T4转运站2#除尘器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9</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T5转运站1#除尘器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10</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T5转运站2#除尘器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11</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T6转运站1#除尘器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42</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比环评高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12</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T6转运站2#除尘器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42</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20</w:t>
            </w:r>
          </w:p>
        </w:tc>
        <w:tc>
          <w:tcPr>
            <w:tcW w:w="1704" w:type="dxa"/>
          </w:tcPr>
          <w:p>
            <w:pPr>
              <w:rPr>
                <w:rFonts w:hint="eastAsia"/>
                <w:vertAlign w:val="baseline"/>
                <w:lang w:val="en-US" w:eastAsia="zh-CN"/>
              </w:rPr>
            </w:pPr>
            <w:r>
              <w:rPr>
                <w:rFonts w:hint="eastAsia"/>
                <w:vertAlign w:val="baseline"/>
                <w:lang w:val="en-US" w:eastAsia="zh-CN"/>
              </w:rPr>
              <w:t>比环评高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13</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原煤斗7#除尘器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14</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原煤斗8#除尘器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15</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原煤斗9#除尘器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16</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原煤斗10#除尘器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17</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原煤斗11#除尘器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18</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原煤斗12#除尘器</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35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19</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电石渣仓除尘器A</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20</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电石渣仓除尘器B</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21</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电石渣仓除尘器C</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22</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电石渣仓除尘器D</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23</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石灰石粉仓1#除尘器</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15</w:t>
            </w:r>
          </w:p>
        </w:tc>
        <w:tc>
          <w:tcPr>
            <w:tcW w:w="1704" w:type="dxa"/>
          </w:tcPr>
          <w:p>
            <w:pPr>
              <w:rPr>
                <w:rFonts w:hint="eastAsia"/>
                <w:vertAlign w:val="baseline"/>
                <w:lang w:val="en-US" w:eastAsia="zh-CN"/>
              </w:rPr>
            </w:pPr>
            <w:r>
              <w:rPr>
                <w:rFonts w:hint="eastAsia"/>
                <w:vertAlign w:val="baseline"/>
                <w:lang w:val="en-US" w:eastAsia="zh-CN"/>
              </w:rPr>
              <w:t>比环评高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24</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灰库1#除尘器</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25</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灰库2#除尘器</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26</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灰库3#除尘器</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25</w:t>
            </w:r>
          </w:p>
        </w:tc>
        <w:tc>
          <w:tcPr>
            <w:tcW w:w="1704" w:type="dxa"/>
          </w:tcPr>
          <w:p>
            <w:pPr>
              <w:rPr>
                <w:rFonts w:hint="eastAsia"/>
                <w:vertAlign w:val="baseline"/>
                <w:lang w:val="en-US" w:eastAsia="zh-CN"/>
              </w:rPr>
            </w:pPr>
            <w:r>
              <w:rPr>
                <w:rFonts w:hint="eastAsia"/>
                <w:vertAlign w:val="baseli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spacing w:beforeLines="0" w:afterLines="0"/>
              <w:jc w:val="center"/>
              <w:rPr>
                <w:rFonts w:hint="eastAsia"/>
                <w:vertAlign w:val="baseline"/>
                <w:lang w:val="en-US" w:eastAsia="zh-CN"/>
              </w:rPr>
            </w:pPr>
            <w:r>
              <w:rPr>
                <w:rFonts w:hint="eastAsia" w:ascii="宋体" w:hAnsi="宋体" w:eastAsia="宋体" w:cs="宋体"/>
                <w:b w:val="0"/>
                <w:bCs w:val="0"/>
                <w:color w:val="000000"/>
                <w:sz w:val="21"/>
                <w:szCs w:val="21"/>
              </w:rPr>
              <w:t>27</w:t>
            </w:r>
          </w:p>
        </w:tc>
        <w:tc>
          <w:tcPr>
            <w:tcW w:w="2579"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动力站锅炉总排口</w:t>
            </w:r>
          </w:p>
        </w:tc>
        <w:tc>
          <w:tcPr>
            <w:tcW w:w="1703" w:type="dxa"/>
            <w:vAlign w:val="center"/>
          </w:tcPr>
          <w:p>
            <w:pPr>
              <w:jc w:val="center"/>
              <w:rPr>
                <w:rFonts w:hint="eastAsia"/>
                <w:vertAlign w:val="baseline"/>
                <w:lang w:val="en-US" w:eastAsia="zh-CN"/>
              </w:rPr>
            </w:pPr>
            <w:r>
              <w:rPr>
                <w:rFonts w:hint="eastAsia" w:ascii="宋体" w:hAnsi="宋体" w:eastAsia="宋体" w:cs="宋体"/>
                <w:b w:val="0"/>
                <w:bCs w:val="0"/>
                <w:sz w:val="21"/>
                <w:szCs w:val="21"/>
                <w:vertAlign w:val="baseline"/>
                <w:lang w:val="en-US" w:eastAsia="zh-CN"/>
              </w:rPr>
              <w:t>210</w:t>
            </w:r>
          </w:p>
        </w:tc>
        <w:tc>
          <w:tcPr>
            <w:tcW w:w="1703" w:type="dxa"/>
            <w:vAlign w:val="center"/>
          </w:tcPr>
          <w:p>
            <w:pPr>
              <w:jc w:val="center"/>
              <w:rPr>
                <w:rFonts w:hint="eastAsia"/>
                <w:vertAlign w:val="baseline"/>
                <w:lang w:val="en-US" w:eastAsia="zh-CN"/>
              </w:rPr>
            </w:pPr>
            <w:r>
              <w:rPr>
                <w:rFonts w:hint="eastAsia" w:ascii="宋体" w:hAnsi="宋体" w:cs="宋体"/>
                <w:b w:val="0"/>
                <w:bCs w:val="0"/>
                <w:sz w:val="21"/>
                <w:szCs w:val="21"/>
                <w:vertAlign w:val="baseline"/>
                <w:lang w:val="en-US" w:eastAsia="zh-CN"/>
              </w:rPr>
              <w:t>210</w:t>
            </w:r>
          </w:p>
        </w:tc>
        <w:tc>
          <w:tcPr>
            <w:tcW w:w="1704" w:type="dxa"/>
          </w:tcPr>
          <w:p>
            <w:pPr>
              <w:rPr>
                <w:rFonts w:hint="eastAsia"/>
                <w:vertAlign w:val="baseline"/>
                <w:lang w:val="en-US" w:eastAsia="zh-CN"/>
              </w:rPr>
            </w:pPr>
            <w:r>
              <w:rPr>
                <w:rFonts w:hint="eastAsia"/>
                <w:vertAlign w:val="baseline"/>
                <w:lang w:val="en-US" w:eastAsia="zh-CN"/>
              </w:rPr>
              <w:t>一致</w:t>
            </w:r>
          </w:p>
        </w:tc>
      </w:tr>
    </w:tbl>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动力站排气筒T6转运站1#、2#除尘器和石灰石粉仓1#除尘器排气筒高度大于环评要求高度，均按生产工艺要求建设，满足有组织废气排放排气筒建设最低高度要求。</w:t>
      </w:r>
    </w:p>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sz w:val="28"/>
          <w:szCs w:val="28"/>
          <w:lang w:val="en-US" w:eastAsia="zh-CN"/>
        </w:rPr>
      </w:pPr>
      <w:bookmarkStart w:id="15" w:name="_Toc1678"/>
      <w:r>
        <w:rPr>
          <w:rFonts w:hint="eastAsia" w:ascii="宋体" w:hAnsi="宋体" w:eastAsia="宋体"/>
          <w:b/>
          <w:bCs/>
          <w:sz w:val="28"/>
          <w:szCs w:val="28"/>
          <w:lang w:val="en-US" w:eastAsia="zh-CN"/>
        </w:rPr>
        <w:t>4.1.3噪声</w:t>
      </w:r>
      <w:bookmarkEnd w:id="15"/>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本项目主要声源为锅炉房、汽轮机组、空冷机、空压机及各类输送泵设备产生的机械噪声和空气动力噪声。</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（1）机械性噪声是由各种机泵运转、摩擦、撞击、振动所产生。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（2）气体动力性噪声是由各种风机、空压机、喷燃器、汽机汽管中高压汽流运动、扩容、节流、排汽、漏汽等气体振动产生。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本项目主要降噪措施为：对噪声源较大的设备加装消音器/隔声罩；主厂房采用封闭式，车间墙壁采用吸声隔声材料以及采用低噪声设备等，以减少噪声排放。主要噪声设备排放及降噪措施见表4-4。</w:t>
      </w:r>
    </w:p>
    <w:p>
      <w:pPr>
        <w:ind w:firstLine="838" w:firstLineChars="348"/>
        <w:jc w:val="center"/>
        <w:rPr>
          <w:rFonts w:hint="eastAsia"/>
          <w:b/>
          <w:sz w:val="24"/>
        </w:rPr>
      </w:pPr>
      <w:r>
        <w:rPr>
          <w:rFonts w:hint="eastAsia"/>
          <w:b/>
          <w:sz w:val="24"/>
        </w:rPr>
        <w:t>表</w:t>
      </w:r>
      <w:r>
        <w:rPr>
          <w:rFonts w:hint="eastAsia"/>
          <w:b/>
          <w:sz w:val="24"/>
          <w:lang w:val="en-US" w:eastAsia="zh-CN"/>
        </w:rPr>
        <w:t>4</w:t>
      </w:r>
      <w:r>
        <w:rPr>
          <w:rFonts w:hint="eastAsia"/>
          <w:b/>
          <w:sz w:val="24"/>
        </w:rPr>
        <w:t>-</w:t>
      </w:r>
      <w:r>
        <w:rPr>
          <w:rFonts w:hint="eastAsia"/>
          <w:b/>
          <w:sz w:val="24"/>
          <w:lang w:val="en-US" w:eastAsia="zh-CN"/>
        </w:rPr>
        <w:t xml:space="preserve">4 </w:t>
      </w:r>
      <w:r>
        <w:rPr>
          <w:rFonts w:hint="eastAsia"/>
          <w:b/>
          <w:sz w:val="24"/>
        </w:rPr>
        <w:t>主要噪声设备及降噪措施一览表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7"/>
        <w:gridCol w:w="1155"/>
        <w:gridCol w:w="1434"/>
        <w:gridCol w:w="3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设备</w:t>
            </w:r>
          </w:p>
        </w:tc>
        <w:tc>
          <w:tcPr>
            <w:tcW w:w="1155"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数量</w:t>
            </w:r>
          </w:p>
        </w:tc>
        <w:tc>
          <w:tcPr>
            <w:tcW w:w="1434"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距离（m）</w:t>
            </w:r>
          </w:p>
        </w:tc>
        <w:tc>
          <w:tcPr>
            <w:tcW w:w="3060"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汽轮发电机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273</w:t>
            </w:r>
          </w:p>
        </w:tc>
        <w:tc>
          <w:tcPr>
            <w:tcW w:w="3060" w:type="dxa"/>
            <w:vMerge w:val="restart"/>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color w:val="auto"/>
              </w:rPr>
              <w:t>主厂房采取吸声、隔声等建筑措施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给煤机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12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370</w:t>
            </w:r>
          </w:p>
        </w:tc>
        <w:tc>
          <w:tcPr>
            <w:tcW w:w="3060" w:type="dxa"/>
            <w:vMerge w:val="continue"/>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中速磨煤机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12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370</w:t>
            </w:r>
          </w:p>
        </w:tc>
        <w:tc>
          <w:tcPr>
            <w:tcW w:w="3060" w:type="dxa"/>
            <w:vMerge w:val="continue"/>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锅炉本体</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372</w:t>
            </w:r>
          </w:p>
        </w:tc>
        <w:tc>
          <w:tcPr>
            <w:tcW w:w="3060" w:type="dxa"/>
            <w:vMerge w:val="continue"/>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送风机（含一次、二次）</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8</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389</w:t>
            </w:r>
          </w:p>
        </w:tc>
        <w:tc>
          <w:tcPr>
            <w:tcW w:w="3060" w:type="dxa"/>
            <w:vMerge w:val="continue"/>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引风机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4</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447</w:t>
            </w:r>
          </w:p>
        </w:tc>
        <w:tc>
          <w:tcPr>
            <w:tcW w:w="3060" w:type="dxa"/>
            <w:vMerge w:val="continue"/>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空压机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6</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423</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自带隔音罩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气化风机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542</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自带隔音罩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离心浆液泵</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6</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447</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安装在室内厂房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综合水泵</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0</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b w:val="0"/>
                <w:bCs w:val="0"/>
                <w:color w:val="auto"/>
                <w:sz w:val="21"/>
                <w:szCs w:val="21"/>
                <w:vertAlign w:val="baseline"/>
                <w:lang w:val="en-US" w:eastAsia="zh-CN"/>
              </w:rPr>
              <w:t>/</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碎煤机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303</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室内安装，加隔振垫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推煤机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移动</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自身设计考虑隔音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输煤转运机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Theme="minorEastAsia"/>
                <w:b w:val="0"/>
                <w:bCs w:val="0"/>
                <w:color w:val="auto"/>
                <w:sz w:val="21"/>
                <w:szCs w:val="21"/>
                <w:vertAlign w:val="baseline"/>
                <w:lang w:val="en-US" w:eastAsia="zh-CN"/>
              </w:rPr>
            </w:pPr>
            <w:r>
              <w:rPr>
                <w:rFonts w:hint="eastAsia" w:ascii="宋体" w:hAnsi="宋体"/>
                <w:color w:val="auto"/>
                <w:szCs w:val="21"/>
              </w:rPr>
              <w:t>8</w:t>
            </w:r>
            <w:r>
              <w:rPr>
                <w:rFonts w:hint="eastAsia" w:ascii="宋体" w:hAnsi="宋体"/>
                <w:color w:val="auto"/>
                <w:szCs w:val="21"/>
                <w:lang w:val="en-US" w:eastAsia="zh-CN"/>
              </w:rPr>
              <w:t>4</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color w:val="auto"/>
              </w:rPr>
              <w:t>厂房采取吸声、隔声等建筑措施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输煤桥带</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12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color w:val="auto"/>
                <w:szCs w:val="21"/>
                <w:lang w:val="en-US" w:eastAsia="zh-CN"/>
              </w:rPr>
              <w:t>84</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color w:val="auto"/>
              </w:rPr>
              <w:t>厂房采取吸声、隔声等建筑措施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主变</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245</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选用噪音低设备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厂用变</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245</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选用噪音低设备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机力塔</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3</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528</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选用噪音低设备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空冷风机</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0</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b w:val="0"/>
                <w:bCs w:val="0"/>
                <w:color w:val="auto"/>
                <w:sz w:val="21"/>
                <w:szCs w:val="21"/>
                <w:vertAlign w:val="baseline"/>
                <w:lang w:val="en-US" w:eastAsia="zh-CN"/>
              </w:rPr>
              <w:t>/</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67" w:type="dxa"/>
            <w:tcBorders>
              <w:tl2br w:val="nil"/>
              <w:tr2bl w:val="nil"/>
            </w:tcBorders>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eastAsia="宋体"/>
                <w:b w:val="0"/>
                <w:bCs w:val="0"/>
                <w:sz w:val="21"/>
                <w:szCs w:val="21"/>
                <w:vertAlign w:val="baseline"/>
                <w:lang w:val="en-US" w:eastAsia="zh-CN"/>
              </w:rPr>
              <w:t>锅炉排气口</w:t>
            </w:r>
          </w:p>
        </w:tc>
        <w:tc>
          <w:tcPr>
            <w:tcW w:w="1155"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2</w:t>
            </w:r>
          </w:p>
        </w:tc>
        <w:tc>
          <w:tcPr>
            <w:tcW w:w="1434"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color w:val="auto"/>
                <w:szCs w:val="21"/>
              </w:rPr>
              <w:t>468</w:t>
            </w:r>
          </w:p>
        </w:tc>
        <w:tc>
          <w:tcPr>
            <w:tcW w:w="3060" w:type="dxa"/>
            <w:tcBorders>
              <w:tl2br w:val="nil"/>
              <w:tr2bl w:val="nil"/>
            </w:tcBorders>
            <w:vAlign w:val="center"/>
          </w:tcPr>
          <w:p>
            <w:pPr>
              <w:jc w:val="center"/>
              <w:rPr>
                <w:rFonts w:hint="eastAsia" w:ascii="宋体" w:hAnsi="宋体" w:eastAsia="宋体"/>
                <w:b w:val="0"/>
                <w:bCs w:val="0"/>
                <w:color w:val="auto"/>
                <w:sz w:val="21"/>
                <w:szCs w:val="21"/>
                <w:vertAlign w:val="baseline"/>
                <w:lang w:val="en-US" w:eastAsia="zh-CN"/>
              </w:rPr>
            </w:pPr>
            <w:r>
              <w:rPr>
                <w:rFonts w:hint="eastAsia" w:ascii="宋体" w:hAnsi="宋体" w:eastAsia="宋体"/>
                <w:b w:val="0"/>
                <w:bCs w:val="0"/>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sz w:val="28"/>
          <w:szCs w:val="28"/>
          <w:lang w:val="en-US" w:eastAsia="zh-CN"/>
        </w:rPr>
      </w:pPr>
      <w:bookmarkStart w:id="16" w:name="_Toc30525"/>
      <w:r>
        <w:rPr>
          <w:rFonts w:hint="eastAsia" w:ascii="宋体" w:hAnsi="宋体" w:eastAsia="宋体"/>
          <w:b/>
          <w:bCs/>
          <w:sz w:val="28"/>
          <w:szCs w:val="28"/>
          <w:lang w:val="en-US" w:eastAsia="zh-CN"/>
        </w:rPr>
        <w:t>4.1.4固体废物</w:t>
      </w:r>
      <w:bookmarkEnd w:id="16"/>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本项目固体废物主要为燃煤产生的灰渣、脱硝产生的废催化剂、粉煤灰、脱硫石膏、废机油、厂区生活垃圾和工业废水处理系统污泥等，具体内容见表4-5。</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（一）除渣系统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动力站锅炉炉渣采用湿式自平衡除渣系统，炉膛排渣进入捞渣机槽体，经冷却粒化后由刮板捞出，在倾斜段脱水后送入渣仓，经过汽车外运综合利用。石子煤采用人工处理，外运至新疆神彩东晟环保科技有限公司</w:t>
      </w:r>
      <w:r>
        <w:rPr>
          <w:rFonts w:hint="eastAsia" w:ascii="宋体" w:hAnsi="宋体" w:eastAsia="宋体"/>
          <w:b w:val="0"/>
          <w:bCs w:val="0"/>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（二）除灰系统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本项目采用正压气力输送方式将布袋除尘、省煤器等飞灰直接输送至灰库。灰库下设加湿搅拌机和干灰装车机，由汽车外运</w:t>
      </w:r>
      <w:r>
        <w:rPr>
          <w:rFonts w:hint="eastAsia" w:ascii="宋体" w:hAnsi="宋体" w:eastAsia="宋体"/>
          <w:b w:val="0"/>
          <w:bCs w:val="0"/>
          <w:color w:val="auto"/>
          <w:sz w:val="28"/>
          <w:szCs w:val="28"/>
          <w:lang w:val="en-US" w:eastAsia="zh-CN"/>
        </w:rPr>
        <w:t>至</w:t>
      </w:r>
      <w:r>
        <w:rPr>
          <w:rFonts w:hint="eastAsia" w:ascii="宋体" w:hAnsi="宋体" w:eastAsia="宋体"/>
          <w:b w:val="0"/>
          <w:bCs w:val="0"/>
          <w:sz w:val="28"/>
          <w:szCs w:val="28"/>
          <w:lang w:val="en-US" w:eastAsia="zh-CN"/>
        </w:rPr>
        <w:t>新疆神彩东晟环保科技有限公司</w:t>
      </w:r>
      <w:r>
        <w:rPr>
          <w:rFonts w:hint="eastAsia" w:ascii="宋体" w:hAnsi="宋体" w:eastAsia="宋体"/>
          <w:b w:val="0"/>
          <w:bCs w:val="0"/>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（三）脱硫石膏处理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本项目采用电石渣石膏法脱硫，脱硫浆液经处理后所产生的脱硫石膏送至脱硫石膏库，脱硫石膏在厂区固废堆场暂存，由汽车外运至新疆神彩东晟环保科技有限公司</w:t>
      </w:r>
      <w:r>
        <w:rPr>
          <w:rFonts w:hint="eastAsia" w:ascii="宋体" w:hAnsi="宋体" w:eastAsia="宋体"/>
          <w:b w:val="0"/>
          <w:bCs w:val="0"/>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（四）废催化剂、机油</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本项目脱硝装置采用选择性还原脱硝方法，所用催化剂失效后为危险废物，统一送至厂区危废暂存库，由有资质厂家回收处理。验收期间未产生废催化剂（</w:t>
      </w:r>
      <w:r>
        <w:rPr>
          <w:rFonts w:hint="eastAsia" w:ascii="宋体" w:hAnsi="宋体" w:eastAsia="宋体"/>
          <w:b w:val="0"/>
          <w:bCs w:val="0"/>
          <w:color w:val="auto"/>
          <w:sz w:val="28"/>
          <w:szCs w:val="28"/>
          <w:lang w:val="en-US" w:eastAsia="zh-CN"/>
        </w:rPr>
        <w:t>772-007-50）</w:t>
      </w:r>
      <w:r>
        <w:rPr>
          <w:rFonts w:hint="eastAsia" w:ascii="宋体" w:hAnsi="宋体" w:eastAsia="宋体"/>
          <w:b w:val="0"/>
          <w:bCs w:val="0"/>
          <w:sz w:val="28"/>
          <w:szCs w:val="28"/>
          <w:lang w:val="en-US" w:eastAsia="zh-CN"/>
        </w:rPr>
        <w:t>；项目产生废机油（</w:t>
      </w:r>
      <w:r>
        <w:rPr>
          <w:rFonts w:hint="eastAsia" w:ascii="宋体" w:hAnsi="宋体" w:eastAsia="宋体" w:cs="宋体"/>
          <w:sz w:val="28"/>
          <w:szCs w:val="28"/>
          <w:lang w:val="en-US" w:eastAsia="zh-CN"/>
        </w:rPr>
        <w:t>900-249-08</w:t>
      </w:r>
      <w:r>
        <w:rPr>
          <w:rFonts w:hint="eastAsia" w:ascii="宋体" w:hAnsi="宋体" w:eastAsia="宋体"/>
          <w:b w:val="0"/>
          <w:bCs w:val="0"/>
          <w:sz w:val="28"/>
          <w:szCs w:val="28"/>
          <w:lang w:val="en-US" w:eastAsia="zh-CN"/>
        </w:rPr>
        <w:t>），统一送至厂区危废暂存库，由有资质厂家处理。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（五）生活垃圾和废水处理系统污泥</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项目区生活垃圾由厂区统一清运处理。验收监测期间废水处理系统污泥还未产生。</w:t>
      </w:r>
    </w:p>
    <w:p>
      <w:pPr>
        <w:pStyle w:val="2"/>
        <w:jc w:val="center"/>
        <w:rPr>
          <w:rFonts w:hint="eastAsia"/>
          <w:b/>
          <w:bCs/>
          <w:sz w:val="24"/>
          <w:szCs w:val="24"/>
          <w:lang w:val="en-US" w:eastAsia="zh-CN"/>
        </w:rPr>
      </w:pPr>
      <w:r>
        <w:rPr>
          <w:rFonts w:hint="eastAsia"/>
          <w:b/>
          <w:bCs/>
          <w:sz w:val="24"/>
          <w:szCs w:val="24"/>
          <w:lang w:val="en-US" w:eastAsia="zh-CN"/>
        </w:rPr>
        <w:t>表4-5  固废处理和产生量一览表(1月-11月）</w:t>
      </w:r>
    </w:p>
    <w:tbl>
      <w:tblPr>
        <w:tblStyle w:val="12"/>
        <w:tblW w:w="85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830"/>
        <w:gridCol w:w="1638"/>
        <w:gridCol w:w="1287"/>
        <w:gridCol w:w="1410"/>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类别</w:t>
            </w: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污染来源</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产生量（t)</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处理方式</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主要污染物</w:t>
            </w:r>
          </w:p>
        </w:tc>
        <w:tc>
          <w:tcPr>
            <w:tcW w:w="1546"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去向</w:t>
            </w:r>
          </w:p>
          <w:p>
            <w:pPr>
              <w:pStyle w:val="2"/>
              <w:jc w:val="center"/>
              <w:rPr>
                <w:rFonts w:hint="eastAsia"/>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restart"/>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固体废物</w:t>
            </w: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锅炉排渣</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1679.14</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rPr>
              <w:t>机械排渣，湿法除渣</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炉渣</w:t>
            </w:r>
          </w:p>
        </w:tc>
        <w:tc>
          <w:tcPr>
            <w:tcW w:w="1546" w:type="dxa"/>
            <w:vMerge w:val="restart"/>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委托新疆神彩东晟环保科技有限公司处置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粉煤灰</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9662.03</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灰库暂存</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灰</w:t>
            </w:r>
          </w:p>
        </w:tc>
        <w:tc>
          <w:tcPr>
            <w:tcW w:w="1546"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石子煤</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7</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人工清运</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46" w:type="dxa"/>
            <w:vMerge w:val="continue"/>
            <w:tcBorders>
              <w:tl2br w:val="nil"/>
              <w:tr2bl w:val="nil"/>
            </w:tcBorders>
            <w:vAlign w:val="center"/>
          </w:tcPr>
          <w:p>
            <w:pPr>
              <w:pStyle w:val="2"/>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脱硫废水处理</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6582.22</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石膏库暂存</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脱硫石膏</w:t>
            </w:r>
          </w:p>
        </w:tc>
        <w:tc>
          <w:tcPr>
            <w:tcW w:w="1546"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工业废水处理系统</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目前未产生</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污泥</w:t>
            </w:r>
          </w:p>
        </w:tc>
        <w:tc>
          <w:tcPr>
            <w:tcW w:w="1546"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生活垃圾</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55</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厂区清运</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生活垃圾</w:t>
            </w:r>
          </w:p>
        </w:tc>
        <w:tc>
          <w:tcPr>
            <w:tcW w:w="1546"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厂区清运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restart"/>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危险废物</w:t>
            </w: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脱硝装置</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未产生</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危废库暂存</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废催化剂</w:t>
            </w:r>
          </w:p>
        </w:tc>
        <w:tc>
          <w:tcPr>
            <w:tcW w:w="1546" w:type="dxa"/>
            <w:tcBorders>
              <w:tl2br w:val="nil"/>
              <w:tr2bl w:val="nil"/>
            </w:tcBorders>
            <w:vAlign w:val="center"/>
          </w:tcPr>
          <w:p>
            <w:pPr>
              <w:pStyle w:val="2"/>
              <w:jc w:val="center"/>
              <w:rPr>
                <w:rFonts w:hint="eastAsia" w:eastAsiaTheme="minorEastAsia"/>
                <w:b w:val="0"/>
                <w:bCs w:val="0"/>
                <w:sz w:val="21"/>
                <w:szCs w:val="21"/>
                <w:vertAlign w:val="baseline"/>
                <w:lang w:val="en-US" w:eastAsia="zh-CN"/>
              </w:rPr>
            </w:pPr>
            <w:r>
              <w:rPr>
                <w:rFonts w:hint="eastAsia"/>
                <w:sz w:val="21"/>
                <w:szCs w:val="21"/>
                <w:lang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tcBorders>
              <w:tl2br w:val="nil"/>
              <w:tr2bl w:val="nil"/>
            </w:tcBorders>
            <w:vAlign w:val="center"/>
          </w:tcPr>
          <w:p>
            <w:pPr>
              <w:pStyle w:val="2"/>
              <w:jc w:val="center"/>
              <w:rPr>
                <w:rFonts w:hint="eastAsia"/>
                <w:b w:val="0"/>
                <w:bCs w:val="0"/>
                <w:sz w:val="21"/>
                <w:szCs w:val="21"/>
                <w:vertAlign w:val="baseline"/>
                <w:lang w:val="en-US" w:eastAsia="zh-CN"/>
              </w:rPr>
            </w:pPr>
          </w:p>
        </w:tc>
        <w:tc>
          <w:tcPr>
            <w:tcW w:w="183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废机油</w:t>
            </w:r>
          </w:p>
        </w:tc>
        <w:tc>
          <w:tcPr>
            <w:tcW w:w="1638"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42.3（全厂产生量，动力站未单独处置）</w:t>
            </w:r>
          </w:p>
        </w:tc>
        <w:tc>
          <w:tcPr>
            <w:tcW w:w="1287"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危废库暂存</w:t>
            </w:r>
          </w:p>
        </w:tc>
        <w:tc>
          <w:tcPr>
            <w:tcW w:w="1410" w:type="dxa"/>
            <w:tcBorders>
              <w:tl2br w:val="nil"/>
              <w:tr2bl w:val="nil"/>
            </w:tcBorders>
            <w:vAlign w:val="center"/>
          </w:tcPr>
          <w:p>
            <w:pPr>
              <w:pStyle w:val="2"/>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废机油</w:t>
            </w:r>
          </w:p>
        </w:tc>
        <w:tc>
          <w:tcPr>
            <w:tcW w:w="1546" w:type="dxa"/>
            <w:tcBorders>
              <w:tl2br w:val="nil"/>
              <w:tr2bl w:val="nil"/>
            </w:tcBorders>
            <w:vAlign w:val="center"/>
          </w:tcPr>
          <w:p>
            <w:pPr>
              <w:pStyle w:val="2"/>
              <w:jc w:val="center"/>
              <w:rPr>
                <w:rFonts w:hint="eastAsia" w:eastAsiaTheme="minorEastAsia"/>
                <w:b w:val="0"/>
                <w:bCs w:val="0"/>
                <w:sz w:val="21"/>
                <w:szCs w:val="21"/>
                <w:vertAlign w:val="baseline"/>
                <w:lang w:val="en-US" w:eastAsia="zh-CN"/>
              </w:rPr>
            </w:pPr>
            <w:r>
              <w:rPr>
                <w:rFonts w:hint="eastAsia"/>
                <w:sz w:val="21"/>
                <w:szCs w:val="21"/>
                <w:lang w:eastAsia="zh-CN"/>
              </w:rPr>
              <w:t>委托</w:t>
            </w:r>
            <w:r>
              <w:rPr>
                <w:rFonts w:hint="eastAsia" w:ascii="宋体" w:hAnsi="宋体" w:eastAsia="宋体" w:cs="宋体"/>
                <w:color w:val="auto"/>
                <w:kern w:val="0"/>
                <w:sz w:val="21"/>
                <w:szCs w:val="21"/>
              </w:rPr>
              <w:t>新疆聚力环保科技有限公司回收</w:t>
            </w:r>
            <w:r>
              <w:rPr>
                <w:rFonts w:hint="eastAsia" w:ascii="宋体" w:hAnsi="宋体" w:eastAsia="宋体" w:cs="宋体"/>
                <w:color w:val="auto"/>
                <w:kern w:val="0"/>
                <w:sz w:val="21"/>
                <w:szCs w:val="21"/>
                <w:lang w:eastAsia="zh-CN"/>
              </w:rPr>
              <w:t>处置</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17" w:name="_Toc3019"/>
      <w:r>
        <w:rPr>
          <w:rFonts w:hint="eastAsia" w:ascii="宋体" w:hAnsi="宋体" w:eastAsia="宋体"/>
          <w:b/>
          <w:bCs/>
          <w:sz w:val="30"/>
          <w:szCs w:val="30"/>
          <w:lang w:val="en-US" w:eastAsia="zh-CN"/>
        </w:rPr>
        <w:t>4.2其他环境保护设施</w:t>
      </w:r>
      <w:bookmarkEnd w:id="17"/>
    </w:p>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color w:val="000000" w:themeColor="text1"/>
          <w:sz w:val="28"/>
          <w:szCs w:val="28"/>
          <w:lang w:val="en-US" w:eastAsia="zh-CN"/>
        </w:rPr>
      </w:pPr>
      <w:bookmarkStart w:id="18" w:name="_Toc30663"/>
      <w:r>
        <w:rPr>
          <w:rFonts w:hint="eastAsia" w:ascii="宋体" w:hAnsi="宋体" w:eastAsia="宋体"/>
          <w:b/>
          <w:bCs/>
          <w:color w:val="000000" w:themeColor="text1"/>
          <w:sz w:val="28"/>
          <w:szCs w:val="28"/>
          <w:lang w:val="en-US" w:eastAsia="zh-CN"/>
        </w:rPr>
        <w:t>4.2.1环境风险防范设施</w:t>
      </w:r>
      <w:bookmarkEnd w:id="18"/>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b w:val="0"/>
          <w:bCs w:val="0"/>
          <w:color w:val="FF0000"/>
          <w:sz w:val="28"/>
          <w:szCs w:val="28"/>
          <w:lang w:val="en-US" w:eastAsia="zh-CN"/>
        </w:rPr>
      </w:pPr>
      <w:r>
        <w:rPr>
          <w:rFonts w:hint="eastAsia" w:hAnsi="宋体" w:eastAsia="宋体"/>
          <w:b w:val="0"/>
          <w:bCs w:val="0"/>
          <w:color w:val="000000" w:themeColor="text1"/>
          <w:sz w:val="28"/>
          <w:szCs w:val="28"/>
          <w:lang w:val="en-US" w:eastAsia="zh-CN"/>
        </w:rPr>
        <w:t>动力站含有氨区、油罐区和供</w:t>
      </w:r>
      <w:r>
        <w:rPr>
          <w:rFonts w:hint="eastAsia" w:hAnsi="宋体" w:eastAsia="宋体"/>
          <w:b w:val="0"/>
          <w:bCs w:val="0"/>
          <w:color w:val="auto"/>
          <w:sz w:val="28"/>
          <w:szCs w:val="28"/>
          <w:lang w:val="en-US" w:eastAsia="zh-CN"/>
        </w:rPr>
        <w:t>氢站</w:t>
      </w:r>
      <w:r>
        <w:rPr>
          <w:rFonts w:hint="eastAsia" w:hAnsi="宋体" w:eastAsia="宋体"/>
          <w:b w:val="0"/>
          <w:bCs w:val="0"/>
          <w:color w:val="000000" w:themeColor="text1"/>
          <w:sz w:val="28"/>
          <w:szCs w:val="28"/>
          <w:lang w:val="en-US" w:eastAsia="zh-CN"/>
        </w:rPr>
        <w:t>三个危险化学品装置区域，区域内地面均严格按照建筑设计防渗规范做防渗工程，并设有危险区域标识标牌和静电消除器等防范措施；氨区装有氨气连续监测装置、可燃气体报警器9个和水喷淋系统，一旦监测到氨浓度异常，自动开启喷淋系统并报警；氨区设置围堰，发生事故时围堰可形成事故废液池，确保液氨不外泄范围不扩大；油罐区设有围堰、可燃气体报警器2个和消防设施，消防栓、消防沙和铁锹等，能够及时清理泄漏物；动力站供氢站按照有关设计规范选择质量好的设备、管道、管件，防治气体泄露，安装可燃气体报警器6个，定期对装置和管线检查，保证设备正常运行。</w:t>
      </w:r>
    </w:p>
    <w:p>
      <w:pPr>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b/>
          <w:bCs/>
          <w:sz w:val="28"/>
          <w:szCs w:val="28"/>
          <w:lang w:val="en-US" w:eastAsia="zh-CN"/>
        </w:rPr>
      </w:pPr>
      <w:bookmarkStart w:id="19" w:name="_Toc24208"/>
      <w:r>
        <w:rPr>
          <w:rFonts w:hint="eastAsia" w:ascii="宋体" w:hAnsi="宋体" w:eastAsia="宋体"/>
          <w:b/>
          <w:bCs/>
          <w:sz w:val="28"/>
          <w:szCs w:val="28"/>
          <w:lang w:val="en-US" w:eastAsia="zh-CN"/>
        </w:rPr>
        <w:t>4.2.2在线监测装置</w:t>
      </w:r>
      <w:bookmarkEnd w:id="19"/>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b w:val="0"/>
          <w:bCs w:val="0"/>
          <w:color w:val="auto"/>
          <w:sz w:val="28"/>
          <w:szCs w:val="28"/>
          <w:lang w:val="en-US" w:eastAsia="zh-CN"/>
        </w:rPr>
      </w:pPr>
      <w:r>
        <w:rPr>
          <w:rFonts w:hint="eastAsia" w:ascii="宋体" w:hAnsi="宋体" w:eastAsia="宋体"/>
          <w:b w:val="0"/>
          <w:bCs w:val="0"/>
          <w:color w:val="auto"/>
          <w:sz w:val="28"/>
          <w:szCs w:val="28"/>
          <w:lang w:val="en-US" w:eastAsia="zh-CN"/>
        </w:rPr>
        <w:t>本项目动力站脱硝装置AB侧进出口均安装重庆川仪自动化股份有限公司在线监测设备，脱硫装置进出口和烟囱总排口均安装聚光科技（杭州）股份有限公司和上海北分科技股份有限公司在线监测装置，2018年9月与昌吉州环保局监控中心联网，并于2018年12月8日，由新疆新能源（集团）环境检测有限公司完成环保验收。</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20" w:name="_Toc29421"/>
      <w:r>
        <w:rPr>
          <w:rFonts w:hint="eastAsia" w:ascii="宋体" w:hAnsi="宋体" w:eastAsia="宋体"/>
          <w:b/>
          <w:bCs/>
          <w:sz w:val="30"/>
          <w:szCs w:val="30"/>
          <w:lang w:val="en-US" w:eastAsia="zh-CN"/>
        </w:rPr>
        <w:t>4.3项目“三同时”落实情况</w:t>
      </w:r>
      <w:bookmarkEnd w:id="20"/>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hAnsi="宋体" w:eastAsia="宋体"/>
          <w:sz w:val="28"/>
          <w:szCs w:val="28"/>
          <w:lang w:val="en-US" w:eastAsia="zh-CN"/>
        </w:rPr>
      </w:pPr>
      <w:r>
        <w:rPr>
          <w:rFonts w:hint="eastAsia" w:ascii="Times New Roman" w:hAnsi="Times New Roman" w:eastAsia="宋体" w:cs="Times New Roman"/>
          <w:b w:val="0"/>
          <w:bCs w:val="0"/>
          <w:sz w:val="28"/>
          <w:szCs w:val="28"/>
          <w:lang w:val="en-US" w:eastAsia="zh-CN"/>
        </w:rPr>
        <w:t>新疆国泰新华化工有限责任公司</w:t>
      </w:r>
      <w:r>
        <w:rPr>
          <w:rFonts w:hint="eastAsia" w:ascii="宋体" w:hAnsi="宋体" w:eastAsia="宋体"/>
          <w:sz w:val="28"/>
          <w:szCs w:val="28"/>
        </w:rPr>
        <w:t>委托新疆化工设计研究院有限责任公司于2015年5月完成了</w:t>
      </w:r>
      <w:r>
        <w:rPr>
          <w:rFonts w:hint="eastAsia" w:ascii="宋体" w:hAnsi="宋体" w:eastAsia="宋体"/>
          <w:sz w:val="28"/>
          <w:szCs w:val="28"/>
          <w:lang w:eastAsia="zh-CN"/>
        </w:rPr>
        <w:t>动力站</w:t>
      </w:r>
      <w:r>
        <w:rPr>
          <w:rFonts w:hint="eastAsia" w:ascii="宋体" w:hAnsi="宋体" w:eastAsia="宋体"/>
          <w:sz w:val="28"/>
          <w:szCs w:val="28"/>
        </w:rPr>
        <w:t>项目环境影响评价，新疆维吾尔自治区环境保护厅于</w:t>
      </w:r>
      <w:r>
        <w:rPr>
          <w:rFonts w:hint="eastAsia" w:ascii="宋体" w:hAnsi="宋体" w:eastAsia="宋体"/>
          <w:sz w:val="28"/>
          <w:szCs w:val="28"/>
          <w:lang w:val="en-US" w:eastAsia="zh-CN"/>
        </w:rPr>
        <w:t>2015</w:t>
      </w:r>
      <w:r>
        <w:rPr>
          <w:rFonts w:hint="eastAsia" w:ascii="宋体" w:hAnsi="宋体" w:eastAsia="宋体"/>
          <w:sz w:val="28"/>
          <w:szCs w:val="28"/>
        </w:rPr>
        <w:t>年</w:t>
      </w:r>
      <w:r>
        <w:rPr>
          <w:rFonts w:hint="eastAsia" w:ascii="宋体" w:hAnsi="宋体" w:eastAsia="宋体"/>
          <w:sz w:val="28"/>
          <w:szCs w:val="28"/>
          <w:lang w:val="en-US" w:eastAsia="zh-CN"/>
        </w:rPr>
        <w:t>7</w:t>
      </w:r>
      <w:r>
        <w:rPr>
          <w:rFonts w:hint="eastAsia" w:ascii="宋体" w:hAnsi="宋体" w:eastAsia="宋体"/>
          <w:sz w:val="28"/>
          <w:szCs w:val="28"/>
        </w:rPr>
        <w:t>月</w:t>
      </w:r>
      <w:r>
        <w:rPr>
          <w:rFonts w:hint="eastAsia" w:ascii="宋体" w:hAnsi="宋体" w:eastAsia="宋体"/>
          <w:sz w:val="28"/>
          <w:szCs w:val="28"/>
          <w:lang w:val="en-US" w:eastAsia="zh-CN"/>
        </w:rPr>
        <w:t>8日以</w:t>
      </w:r>
      <w:r>
        <w:rPr>
          <w:rFonts w:asciiTheme="minorEastAsia" w:hAnsiTheme="minorEastAsia" w:eastAsiaTheme="minorEastAsia"/>
          <w:sz w:val="28"/>
          <w:szCs w:val="28"/>
        </w:rPr>
        <w:t>新环函</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Theme="minorEastAsia" w:hAnsiTheme="minorEastAsia" w:eastAsiaTheme="minorEastAsia"/>
          <w:sz w:val="28"/>
          <w:szCs w:val="28"/>
          <w:lang w:val="en-US" w:eastAsia="zh-CN"/>
        </w:rPr>
        <w:t>784</w:t>
      </w:r>
      <w:r>
        <w:rPr>
          <w:rFonts w:asciiTheme="minorEastAsia" w:hAnsiTheme="minorEastAsia" w:eastAsiaTheme="minorEastAsia"/>
          <w:sz w:val="28"/>
          <w:szCs w:val="28"/>
        </w:rPr>
        <w:t>号</w:t>
      </w:r>
      <w:r>
        <w:rPr>
          <w:rFonts w:hint="eastAsia" w:asciiTheme="minorEastAsia" w:hAnsiTheme="minorEastAsia"/>
          <w:sz w:val="28"/>
          <w:szCs w:val="28"/>
          <w:lang w:eastAsia="zh-CN"/>
        </w:rPr>
        <w:t>文</w:t>
      </w:r>
      <w:r>
        <w:rPr>
          <w:rFonts w:hint="eastAsia" w:ascii="宋体" w:hAnsi="宋体" w:eastAsia="宋体"/>
          <w:sz w:val="28"/>
          <w:szCs w:val="28"/>
        </w:rPr>
        <w:t>对项目</w:t>
      </w:r>
      <w:r>
        <w:rPr>
          <w:rFonts w:hint="eastAsia" w:ascii="宋体" w:hAnsi="宋体" w:eastAsia="宋体"/>
          <w:sz w:val="28"/>
          <w:szCs w:val="28"/>
          <w:lang w:eastAsia="zh-CN"/>
        </w:rPr>
        <w:t>予以</w:t>
      </w:r>
      <w:r>
        <w:rPr>
          <w:rFonts w:hint="eastAsia" w:ascii="宋体" w:hAnsi="宋体" w:eastAsia="宋体"/>
          <w:sz w:val="28"/>
          <w:szCs w:val="28"/>
        </w:rPr>
        <w:t>批复</w:t>
      </w:r>
      <w:r>
        <w:rPr>
          <w:rFonts w:hint="eastAsia" w:hAnsi="宋体" w:eastAsia="宋体"/>
          <w:sz w:val="28"/>
          <w:szCs w:val="28"/>
          <w:lang w:eastAsia="zh-CN"/>
        </w:rPr>
        <w:t>；</w:t>
      </w:r>
      <w:r>
        <w:rPr>
          <w:rFonts w:hint="eastAsia" w:ascii="宋体" w:hAnsi="宋体" w:eastAsia="宋体"/>
          <w:sz w:val="28"/>
          <w:szCs w:val="28"/>
        </w:rPr>
        <w:t>该工程于</w:t>
      </w:r>
      <w:r>
        <w:rPr>
          <w:rFonts w:hint="eastAsia" w:ascii="宋体" w:hAnsi="宋体" w:eastAsia="宋体"/>
          <w:sz w:val="28"/>
          <w:szCs w:val="28"/>
          <w:lang w:val="en-US" w:eastAsia="zh-CN"/>
        </w:rPr>
        <w:t>2014</w:t>
      </w:r>
      <w:r>
        <w:rPr>
          <w:rFonts w:hint="eastAsia" w:ascii="宋体" w:hAnsi="宋体" w:eastAsia="宋体"/>
          <w:sz w:val="28"/>
          <w:szCs w:val="28"/>
        </w:rPr>
        <w:t>年</w:t>
      </w:r>
      <w:r>
        <w:rPr>
          <w:rFonts w:hint="eastAsia" w:ascii="宋体" w:hAnsi="宋体" w:eastAsia="宋体"/>
          <w:sz w:val="28"/>
          <w:szCs w:val="28"/>
          <w:lang w:val="en-US" w:eastAsia="zh-CN"/>
        </w:rPr>
        <w:t>3</w:t>
      </w:r>
      <w:r>
        <w:rPr>
          <w:rFonts w:hint="eastAsia" w:ascii="宋体" w:hAnsi="宋体" w:eastAsia="宋体"/>
          <w:sz w:val="28"/>
          <w:szCs w:val="28"/>
        </w:rPr>
        <w:t>月</w:t>
      </w:r>
      <w:r>
        <w:rPr>
          <w:rFonts w:hint="eastAsia" w:ascii="宋体" w:hAnsi="宋体" w:eastAsia="宋体"/>
          <w:sz w:val="28"/>
          <w:szCs w:val="28"/>
          <w:lang w:val="en-US" w:eastAsia="zh-CN"/>
        </w:rPr>
        <w:t>18 日</w:t>
      </w:r>
      <w:r>
        <w:rPr>
          <w:rFonts w:hint="eastAsia" w:ascii="宋体" w:hAnsi="宋体" w:eastAsia="宋体"/>
          <w:sz w:val="28"/>
          <w:szCs w:val="28"/>
        </w:rPr>
        <w:t>开工建设，于</w:t>
      </w:r>
      <w:r>
        <w:rPr>
          <w:rFonts w:hint="eastAsia" w:ascii="宋体" w:hAnsi="宋体" w:eastAsia="宋体"/>
          <w:sz w:val="28"/>
          <w:szCs w:val="28"/>
          <w:lang w:val="en-US" w:eastAsia="zh-CN"/>
        </w:rPr>
        <w:t>2017</w:t>
      </w:r>
      <w:r>
        <w:rPr>
          <w:rFonts w:hint="eastAsia" w:ascii="宋体" w:hAnsi="宋体" w:eastAsia="宋体"/>
          <w:sz w:val="28"/>
          <w:szCs w:val="28"/>
        </w:rPr>
        <w:t>年</w:t>
      </w:r>
      <w:r>
        <w:rPr>
          <w:rFonts w:hint="eastAsia" w:ascii="宋体" w:hAnsi="宋体" w:eastAsia="宋体"/>
          <w:sz w:val="28"/>
          <w:szCs w:val="28"/>
          <w:lang w:val="en-US" w:eastAsia="zh-CN"/>
        </w:rPr>
        <w:t>10</w:t>
      </w:r>
      <w:r>
        <w:rPr>
          <w:rFonts w:hint="eastAsia" w:ascii="宋体" w:hAnsi="宋体" w:eastAsia="宋体"/>
          <w:sz w:val="28"/>
          <w:szCs w:val="28"/>
        </w:rPr>
        <w:t>月</w:t>
      </w:r>
      <w:r>
        <w:rPr>
          <w:rFonts w:hint="eastAsia" w:ascii="宋体" w:hAnsi="宋体" w:eastAsia="宋体"/>
          <w:sz w:val="28"/>
          <w:szCs w:val="28"/>
          <w:lang w:val="en-US" w:eastAsia="zh-CN"/>
        </w:rPr>
        <w:t>30日竣工，2018年8月1日</w:t>
      </w:r>
      <w:r>
        <w:rPr>
          <w:rFonts w:hint="eastAsia" w:ascii="宋体" w:hAnsi="宋体" w:eastAsia="宋体"/>
          <w:sz w:val="28"/>
          <w:szCs w:val="28"/>
        </w:rPr>
        <w:t>开始运行</w:t>
      </w:r>
      <w:r>
        <w:rPr>
          <w:rFonts w:hint="eastAsia" w:ascii="宋体" w:hAnsi="宋体" w:eastAsia="宋体"/>
          <w:sz w:val="28"/>
          <w:szCs w:val="28"/>
          <w:lang w:eastAsia="zh-CN"/>
        </w:rPr>
        <w:t>调试，脱硝、除尘和脱硫处理设施同时投运</w:t>
      </w:r>
      <w:r>
        <w:rPr>
          <w:rFonts w:hint="eastAsia" w:hAnsi="宋体" w:eastAsia="宋体"/>
          <w:sz w:val="28"/>
          <w:szCs w:val="28"/>
          <w:lang w:eastAsia="zh-CN"/>
        </w:rPr>
        <w:t>；</w:t>
      </w:r>
      <w:r>
        <w:rPr>
          <w:rFonts w:hint="eastAsia" w:hAnsi="宋体" w:eastAsia="宋体"/>
          <w:sz w:val="28"/>
          <w:szCs w:val="28"/>
          <w:lang w:val="en-US" w:eastAsia="zh-CN"/>
        </w:rPr>
        <w:t>2018年8月委托新疆新环监测检测研究院对本项目进行竣工环保验收监测并编写验收监测报告。环保设施落实情况见表4-5。</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bCs/>
          <w:sz w:val="24"/>
          <w:szCs w:val="24"/>
          <w:lang w:val="en-US" w:eastAsia="zh-CN"/>
        </w:rPr>
      </w:pPr>
      <w:r>
        <w:rPr>
          <w:rFonts w:hint="eastAsia" w:hAnsi="宋体" w:eastAsia="宋体"/>
          <w:b/>
          <w:bCs/>
          <w:sz w:val="24"/>
          <w:szCs w:val="24"/>
          <w:lang w:val="en-US" w:eastAsia="zh-CN"/>
        </w:rPr>
        <w:t>表4-5  环境保护措施落实情况一览表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854"/>
        <w:gridCol w:w="2376"/>
        <w:gridCol w:w="2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lang w:val="en-US" w:eastAsia="zh-CN"/>
              </w:rPr>
              <w:t>类别</w:t>
            </w:r>
          </w:p>
        </w:tc>
        <w:tc>
          <w:tcPr>
            <w:tcW w:w="2854"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环评要求</w:t>
            </w:r>
          </w:p>
        </w:tc>
        <w:tc>
          <w:tcPr>
            <w:tcW w:w="237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批复要求</w:t>
            </w:r>
          </w:p>
        </w:tc>
        <w:tc>
          <w:tcPr>
            <w:tcW w:w="2602"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废水</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建设有工业废水处理站、含油废水处理站、生活废水处理站、脱硫废水处理站、含煤废水处理站、煤场雨水沉淀池等。正常情况下，动力站工业废水、生活废水、含煤废水、含油废水经处理后达到《污水综合排放标准》（GB8978-1996）中新扩建企业一级标准后全部回用，无废水外排，达到全部回用和重复利用。</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未涉及</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工业废水、生活废水、含煤废水、含油废水、脱硫废水均建设污水处理系统。工业废水、生活废水、含煤废水、含油废水经处理后达到污水综合排放标准》（GB8978-1996）中新扩建企业一级标准，脱硫废水处理后达到《火电厂石灰石-石膏湿法脱硫废水水质控制标准》（DL/T997-2006)后全部回用，无废水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废气</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锅炉大气污染物排放满足《火电厂大气污染物排放标准》（GB13223-2011）中新建火力发电锅炉大气污染物排放浓度限值规定。</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w w:val="90"/>
                <w:sz w:val="21"/>
                <w:szCs w:val="21"/>
                <w:vertAlign w:val="baseline"/>
                <w:lang w:val="en-US" w:eastAsia="zh-CN"/>
              </w:rPr>
            </w:pPr>
            <w:r>
              <w:rPr>
                <w:rFonts w:hint="eastAsia" w:hAnsi="宋体" w:eastAsia="宋体"/>
                <w:b w:val="0"/>
                <w:bCs w:val="0"/>
                <w:w w:val="90"/>
                <w:sz w:val="21"/>
                <w:szCs w:val="21"/>
                <w:vertAlign w:val="baseline"/>
                <w:lang w:val="en-US" w:eastAsia="zh-CN"/>
              </w:rPr>
              <w:t>动力站锅炉烟气执行《火电厂大气污染物排放标准》（GB13223-2011）中表1燃煤锅炉限值。</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动力站锅炉烟气排放浓度满足火电厂大气污染物排放标准》（GB13223-2011）中燃煤锅炉特别排放限值。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动力站烟气处理采用低氮燃烧和SCR脱硝、布袋除尘和电石渣（兼石灰石）-石膏法脱硫。</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动力站锅炉烟气经SCR脱硝、袋式除尘、电石渣（兼石灰石）-石膏法脱硫。</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动力站锅炉装有低氮燃烧器，烟气经过SCR脱硝、布袋除尘和电石渣（兼石灰石）-石膏法脱硫后排放。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动力站各类无组织颗粒物产生点包括卸煤沟、原煤斗、转运站、灰库、脱硫剂库都进行封闭集尘，采用布袋除尘器收尘除尘后排放尾气。</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落实《报告书》中各项无组织废气污染防治措施，其中厂内原料煤、动力煤等储存和输送系统均应釆取全封闭措施，严格控制无组织废气排放。</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动力站各类无组织颗粒物产生点包括卸煤沟、原煤斗、转运站、灰库、电石渣仓都采用布袋除尘器收尘除尘后排放尾气，</w:t>
            </w:r>
            <w:r>
              <w:rPr>
                <w:rFonts w:hint="eastAsia" w:hAnsi="宋体" w:eastAsia="宋体"/>
                <w:b w:val="0"/>
                <w:bCs w:val="0"/>
                <w:color w:val="000000" w:themeColor="text1"/>
                <w:sz w:val="21"/>
                <w:szCs w:val="21"/>
                <w:vertAlign w:val="baseline"/>
                <w:lang w:val="en-US" w:eastAsia="zh-CN"/>
              </w:rPr>
              <w:t>卸煤沟目前未使用，燃煤直接卸入煤场。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噪声</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厂区总体布置中统筹规划，合理布局，注意防噪间距。在厂房建筑设计中，尽量使工作和休息场所远离强噪声源。对集控室单独进行声学设计，通过封闭隔声、减振和内部吸声降低混响，减少室内噪声级。选取符合国家规定噪声标准的设备，有限考虑采用低噪声设备。</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优化厂区平面布置，选用低噪声设备，合理布置高噪声设备。高噪声源采取减振、吸声、隔声、消声等措施，确保厂界噪声符合《工业企业厂界环境噪声排放标准》(GB12348-2008）中3类标准要求。</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动力站厂区布局合理，强噪声源远离工作和休息场所，厂房全部封闭隔声，采用低噪和减振设备。锅炉安装消声器，管道加防振垫</w:t>
            </w:r>
            <w:r>
              <w:rPr>
                <w:rFonts w:hint="eastAsia" w:hAnsi="宋体" w:eastAsia="宋体"/>
                <w:b w:val="0"/>
                <w:bCs w:val="0"/>
                <w:w w:val="90"/>
                <w:sz w:val="21"/>
                <w:szCs w:val="21"/>
                <w:vertAlign w:val="baseline"/>
                <w:lang w:val="en-US" w:eastAsia="zh-CN"/>
              </w:rPr>
              <w:t>，厂界噪声排放满足《工业企业厂界环境噪声排放标准》(GB12348-2008）中3类标准要求。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01" w:hRule="atLeast"/>
        </w:trPr>
        <w:tc>
          <w:tcPr>
            <w:tcW w:w="6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固体废物</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灰渣、粉煤灰、脱硫石膏等固废通过除渣系统、除灰系统、脱硫系统分别在渣仓、灰库和脱硫石膏库暂存，通过汽车运送至新疆神彩东晟环保科技有限公司固废堆场处置。生活垃圾由厂区统一清运。</w:t>
            </w:r>
          </w:p>
        </w:tc>
        <w:tc>
          <w:tcPr>
            <w:tcW w:w="237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distribute"/>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严格落实项目固体废物的收集、处置及综合利用措施，严禁随意抛洒或混乱堆放，项目产生的废弃物应依照《国家危险废物名录》和有关分析方法检测认定；属危险废物的须专人管理，并制定危险废物管理计划，符合相关要求可综合利用的优先综合利用，其它不能综合利用的按有关控制标准贮存和运输，定期交有危险废物处置资质的机构安全处置，不得擅自处理。厂内一般工业固废临时堆场和危险废物临时贮存场必须分别按照</w:t>
            </w:r>
            <w:r>
              <w:rPr>
                <w:rFonts w:hint="eastAsia"/>
                <w:lang w:val="en-US" w:eastAsia="zh-CN"/>
              </w:rPr>
              <w:t>《一般工业固体废物贮存、处置场污染控制标准》(GB18597-2001)2013年修改单、《危险废物贮存污染控制标准》(GB18597-2001)及2013年修改单中相关要求进行设计、建设、管理，防止产生二次污染。</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灰渣、粉煤灰、脱硫石膏等固废通过除渣系统、除灰系统、脱硫系统分别在渣仓、灰库和脱硫石膏库暂存，通过汽车运送至新疆神彩东晟环保科技有限公司固废堆场处置。生活垃圾由厂区统一清运。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01" w:hRule="atLeast"/>
        </w:trPr>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动力站废催化剂等按照危险废物要求进行处置，委托催化剂生产厂家回收再生。</w:t>
            </w:r>
          </w:p>
        </w:tc>
        <w:tc>
          <w:tcPr>
            <w:tcW w:w="237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动力站目前没有废催化剂产生，催化剂桶暂存在危废暂存库；危废暂存库按照《危险废物贮存污染控制标准》(GB18597-2001)及2013年修改单中相关要求进行设计、建设、管理。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排污口规范化</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未涉及</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按照排污口设置及规范化整治管理的相关规定设置各类排污口，按要求标识，并设计必备的监测采样平台。按规范安装废气，废水污染源在线自动监控设施，并通过环保部门验收，负责运行维护在线监控设施，确保在线监控设施正常稳定运行及数据正常传输。</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动力站锅炉废气经过脱硝、除尘、脱硫处理后通过210m的烟囱排入大气，烟囱已设置标识牌、脱硝装置、除尘设施、脱硫设施进出口均设置了规范化采样平台、监测孔；脱硝脱硫装置均安装在线监测设施并和昌吉州环保局监控中心联网，在线监测设备</w:t>
            </w:r>
            <w:r>
              <w:rPr>
                <w:rFonts w:hint="eastAsia" w:hAnsi="宋体" w:eastAsia="宋体"/>
                <w:b w:val="0"/>
                <w:bCs w:val="0"/>
                <w:color w:val="000000" w:themeColor="text1"/>
                <w:sz w:val="21"/>
                <w:szCs w:val="21"/>
                <w:vertAlign w:val="baseline"/>
                <w:lang w:val="en-US" w:eastAsia="zh-CN"/>
              </w:rPr>
              <w:t>已验收；输煤系</w:t>
            </w:r>
            <w:r>
              <w:rPr>
                <w:rFonts w:hint="eastAsia" w:hAnsi="宋体" w:eastAsia="宋体"/>
                <w:b w:val="0"/>
                <w:bCs w:val="0"/>
                <w:sz w:val="21"/>
                <w:szCs w:val="21"/>
                <w:vertAlign w:val="baseline"/>
                <w:lang w:val="en-US" w:eastAsia="zh-CN"/>
              </w:rPr>
              <w:t>统、电石渣仓、石灰石库和灰库除尘器均按照环评要求对排气筒进行加高，开设监测孔和采样平台；污水处理系统均在封闭厂房内并设有标识牌；电石渣仓、灰库、石灰石库和脱硫石膏库等固废堆放场所均设置标识标牌；厂区内污染物排放口均按环保要求进行规范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风险防范</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油罐区设置防火堤，</w:t>
            </w:r>
            <w:r>
              <w:rPr>
                <w:rFonts w:hint="eastAsia" w:hAnsi="宋体" w:eastAsia="宋体"/>
                <w:b w:val="0"/>
                <w:bCs w:val="0"/>
                <w:color w:val="000000" w:themeColor="text1"/>
                <w:sz w:val="21"/>
                <w:szCs w:val="21"/>
                <w:vertAlign w:val="baseline"/>
                <w:lang w:val="en-US" w:eastAsia="zh-CN"/>
              </w:rPr>
              <w:t>容积约360m</w:t>
            </w:r>
            <w:r>
              <w:rPr>
                <w:rFonts w:hint="eastAsia" w:hAnsi="宋体" w:eastAsia="宋体"/>
                <w:b w:val="0"/>
                <w:bCs w:val="0"/>
                <w:color w:val="000000" w:themeColor="text1"/>
                <w:sz w:val="21"/>
                <w:szCs w:val="21"/>
                <w:vertAlign w:val="superscript"/>
                <w:lang w:val="en-US" w:eastAsia="zh-CN"/>
              </w:rPr>
              <w:t>3</w:t>
            </w:r>
            <w:r>
              <w:rPr>
                <w:rFonts w:hint="eastAsia" w:hAnsi="宋体" w:eastAsia="宋体"/>
                <w:b w:val="0"/>
                <w:bCs w:val="0"/>
                <w:sz w:val="21"/>
                <w:szCs w:val="21"/>
                <w:vertAlign w:val="baseline"/>
                <w:lang w:val="en-US" w:eastAsia="zh-CN"/>
              </w:rPr>
              <w:t>，能够确保单罐同时破裂泄露的油及一定量消防水的收集</w:t>
            </w:r>
          </w:p>
        </w:tc>
        <w:tc>
          <w:tcPr>
            <w:tcW w:w="237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加强环境风险事故防范，建立事故应急监测系统，落实各项防范环境风险的措施，制定环境风险应急预案，建立事故紧急停车系统，事故应急监测系统，完善应急处理措施和救援预案并与工业加工区、当地政府应急预案联动，化工区设置1座2万立方米事故池、动力站设置1座3000立方米事故池，用于事故状态下废污水暂存，确保区域环境安全。</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Theme="minorEastAsia"/>
                <w:b w:val="0"/>
                <w:bCs w:val="0"/>
                <w:sz w:val="21"/>
                <w:szCs w:val="21"/>
                <w:vertAlign w:val="baseline"/>
                <w:lang w:val="en-US" w:eastAsia="zh-CN"/>
              </w:rPr>
            </w:pPr>
            <w:r>
              <w:rPr>
                <w:rFonts w:hint="eastAsia"/>
                <w:color w:val="auto"/>
                <w:lang w:eastAsia="zh-CN"/>
              </w:rPr>
              <w:t>油罐区设置</w:t>
            </w:r>
            <w:r>
              <w:rPr>
                <w:rFonts w:hint="eastAsia"/>
                <w:color w:val="auto"/>
              </w:rPr>
              <w:t>29.5</w:t>
            </w:r>
            <w:r>
              <w:rPr>
                <w:rFonts w:hint="default" w:ascii="Arial" w:hAnsi="Arial" w:cs="Arial"/>
                <w:color w:val="auto"/>
              </w:rPr>
              <w:t>×</w:t>
            </w:r>
            <w:r>
              <w:rPr>
                <w:rFonts w:hint="eastAsia"/>
                <w:color w:val="auto"/>
              </w:rPr>
              <w:t>16</w:t>
            </w:r>
            <w:r>
              <w:rPr>
                <w:rFonts w:hint="default" w:ascii="Arial" w:hAnsi="Arial" w:cs="Arial"/>
                <w:color w:val="auto"/>
              </w:rPr>
              <w:t>×</w:t>
            </w:r>
            <w:r>
              <w:rPr>
                <w:rFonts w:hint="eastAsia"/>
                <w:color w:val="auto"/>
              </w:rPr>
              <w:t>0.75</w:t>
            </w:r>
            <w:r>
              <w:rPr>
                <w:rFonts w:hint="eastAsia"/>
                <w:color w:val="auto"/>
                <w:lang w:eastAsia="zh-CN"/>
              </w:rPr>
              <w:t>围堰，地面采取防渗措施，容积约为</w:t>
            </w:r>
            <w:r>
              <w:rPr>
                <w:rFonts w:hint="eastAsia"/>
                <w:color w:val="auto"/>
                <w:lang w:val="en-US" w:eastAsia="zh-CN"/>
              </w:rPr>
              <w:t>354m</w:t>
            </w:r>
            <w:r>
              <w:rPr>
                <w:rFonts w:hint="eastAsia"/>
                <w:color w:val="auto"/>
                <w:vertAlign w:val="superscript"/>
                <w:lang w:val="en-US" w:eastAsia="zh-CN"/>
              </w:rPr>
              <w:t>3</w:t>
            </w: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氨区设有围栏，警告标示，场地内设有自动监测氨气装置和报警装置，四周设有围堰、水喷淋系统和冲洗设施，周围设置消防设施和事故池。</w:t>
            </w:r>
          </w:p>
        </w:tc>
        <w:tc>
          <w:tcPr>
            <w:tcW w:w="237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氨区设有围墙，并有警告标示，场内安装自动监测氨气装置、报警装置、水喷淋系统和冲洗设施，罐区周围有围堰和消防设施。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事故水池在化工装置场地建设，建设一座容积为20000m</w:t>
            </w:r>
            <w:r>
              <w:rPr>
                <w:rFonts w:hint="eastAsia" w:hAnsi="宋体" w:eastAsia="宋体"/>
                <w:b w:val="0"/>
                <w:bCs w:val="0"/>
                <w:sz w:val="21"/>
                <w:szCs w:val="21"/>
                <w:vertAlign w:val="superscript"/>
                <w:lang w:val="en-US" w:eastAsia="zh-CN"/>
              </w:rPr>
              <w:t>3</w:t>
            </w:r>
            <w:r>
              <w:rPr>
                <w:rFonts w:hint="eastAsia" w:hAnsi="宋体" w:eastAsia="宋体"/>
                <w:b w:val="0"/>
                <w:bCs w:val="0"/>
                <w:sz w:val="21"/>
                <w:szCs w:val="21"/>
                <w:vertAlign w:val="baseline"/>
                <w:lang w:val="en-US" w:eastAsia="zh-CN"/>
              </w:rPr>
              <w:t>的水池。</w:t>
            </w:r>
          </w:p>
        </w:tc>
        <w:tc>
          <w:tcPr>
            <w:tcW w:w="237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color w:val="000000" w:themeColor="text1"/>
                <w:sz w:val="21"/>
                <w:szCs w:val="21"/>
                <w:vertAlign w:val="baseline"/>
                <w:lang w:val="en-US" w:eastAsia="zh-CN"/>
              </w:rPr>
              <w:t>化工区建设一座100000m</w:t>
            </w:r>
            <w:r>
              <w:rPr>
                <w:rFonts w:hint="eastAsia" w:hAnsi="宋体" w:eastAsia="宋体"/>
                <w:b w:val="0"/>
                <w:bCs w:val="0"/>
                <w:color w:val="000000" w:themeColor="text1"/>
                <w:sz w:val="21"/>
                <w:szCs w:val="21"/>
                <w:vertAlign w:val="superscript"/>
                <w:lang w:val="en-US" w:eastAsia="zh-CN"/>
              </w:rPr>
              <w:t>3</w:t>
            </w:r>
            <w:r>
              <w:rPr>
                <w:rFonts w:hint="eastAsia" w:hAnsi="宋体" w:eastAsia="宋体"/>
                <w:b w:val="0"/>
                <w:bCs w:val="0"/>
                <w:color w:val="000000" w:themeColor="text1"/>
                <w:sz w:val="21"/>
                <w:szCs w:val="21"/>
                <w:vertAlign w:val="baseline"/>
                <w:lang w:val="en-US" w:eastAsia="zh-CN"/>
              </w:rPr>
              <w:t>应急缓冲回收池。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制定环境突发事件应急预案</w:t>
            </w:r>
          </w:p>
        </w:tc>
        <w:tc>
          <w:tcPr>
            <w:tcW w:w="237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制定了环境突发事件应急预案，并在准东经济技术开发区环保局备案备编号：652325-2016-03-L。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总量控制</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二氧化硫为1809.5t/a，氮氧化物为1447.6t/a</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二氧化硫为1809.5t/a，氮氧化物为1809.5t/a</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二氧化硫为157.92t/a，氮氧化物为340.8t/a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环境管理</w:t>
            </w:r>
          </w:p>
        </w:tc>
        <w:tc>
          <w:tcPr>
            <w:tcW w:w="285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未涉及</w:t>
            </w:r>
          </w:p>
        </w:tc>
        <w:tc>
          <w:tcPr>
            <w:tcW w:w="237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未涉及</w:t>
            </w:r>
          </w:p>
        </w:tc>
        <w:tc>
          <w:tcPr>
            <w:tcW w:w="26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b w:val="0"/>
                <w:bCs w:val="0"/>
                <w:sz w:val="21"/>
                <w:szCs w:val="21"/>
                <w:vertAlign w:val="baseline"/>
                <w:lang w:val="en-US" w:eastAsia="zh-CN"/>
              </w:rPr>
            </w:pPr>
            <w:r>
              <w:rPr>
                <w:rFonts w:hint="eastAsia" w:hAnsi="宋体" w:eastAsia="宋体"/>
                <w:b w:val="0"/>
                <w:bCs w:val="0"/>
                <w:sz w:val="21"/>
                <w:szCs w:val="21"/>
                <w:vertAlign w:val="baseline"/>
                <w:lang w:val="en-US" w:eastAsia="zh-CN"/>
              </w:rPr>
              <w:t>企业由安全环保副总分管环保工作，下设安环部，各事业部均设有安环科，有专职人员负责环保工作并制定了企业环境管理制度和企业自行监测方案等。</w:t>
            </w:r>
          </w:p>
        </w:tc>
      </w:tr>
    </w:tbl>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b/>
          <w:bCs/>
          <w:sz w:val="32"/>
          <w:szCs w:val="32"/>
          <w:lang w:val="en-US" w:eastAsia="zh-CN"/>
        </w:rPr>
      </w:pPr>
      <w:bookmarkStart w:id="21" w:name="_Toc16607"/>
      <w:r>
        <w:rPr>
          <w:rFonts w:hint="eastAsia" w:ascii="宋体" w:hAnsi="宋体" w:eastAsia="宋体"/>
          <w:b/>
          <w:bCs/>
          <w:sz w:val="32"/>
          <w:szCs w:val="32"/>
          <w:lang w:val="en-US" w:eastAsia="zh-CN"/>
        </w:rPr>
        <w:t>5环境影响报告书主要结论与建议及其审批部门审批决定</w:t>
      </w:r>
      <w:bookmarkEnd w:id="21"/>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b/>
          <w:bCs/>
          <w:sz w:val="30"/>
          <w:szCs w:val="30"/>
          <w:lang w:val="en-US" w:eastAsia="zh-CN"/>
        </w:rPr>
      </w:pPr>
      <w:bookmarkStart w:id="22" w:name="_Toc18013"/>
      <w:r>
        <w:rPr>
          <w:rFonts w:hint="eastAsia" w:ascii="宋体" w:hAnsi="宋体" w:eastAsia="宋体"/>
          <w:b/>
          <w:bCs/>
          <w:sz w:val="30"/>
          <w:szCs w:val="30"/>
          <w:lang w:val="en-US" w:eastAsia="zh-CN"/>
        </w:rPr>
        <w:t>5.1环境影响报告书主要结论与建议</w:t>
      </w:r>
      <w:bookmarkEnd w:id="22"/>
      <w:r>
        <w:rPr>
          <w:rFonts w:hint="eastAsia" w:ascii="宋体" w:hAnsi="宋体" w:eastAsia="宋体"/>
          <w:b/>
          <w:bCs/>
          <w:sz w:val="30"/>
          <w:szCs w:val="30"/>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国泰新华</w:t>
      </w:r>
      <w:r>
        <w:rPr>
          <w:rFonts w:hint="eastAsia" w:hAnsi="宋体" w:eastAsia="宋体" w:cstheme="minorBidi"/>
          <w:b w:val="0"/>
          <w:bCs w:val="0"/>
          <w:kern w:val="2"/>
          <w:sz w:val="28"/>
          <w:szCs w:val="28"/>
          <w:lang w:val="en-US" w:eastAsia="zh-CN" w:bidi="ar-SA"/>
        </w:rPr>
        <w:t>化工</w:t>
      </w:r>
      <w:r>
        <w:rPr>
          <w:rFonts w:hint="eastAsia" w:ascii="宋体" w:hAnsi="宋体" w:eastAsia="宋体" w:cstheme="minorBidi"/>
          <w:b w:val="0"/>
          <w:bCs w:val="0"/>
          <w:kern w:val="2"/>
          <w:sz w:val="28"/>
          <w:szCs w:val="28"/>
          <w:lang w:val="en-US" w:eastAsia="zh-CN" w:bidi="ar-SA"/>
        </w:rPr>
        <w:t>股份有限公司准东经济技术开发区煤基精细化工循环经济工业园一期项目动力站选址于吉木萨尔准东经济开发区，项目建设符合产业政策，选址符合国家法律法规及地方规划，工艺选择符合清洁生产要求；积极采用除尘、脱硫、脱硝等环保节能措施，各项污染物能够达标排放，经预测对当地环境空气质量影响较小；以再生水作为生产水源，动力站的各类废水经处理后回收利用，正常工况下无废污水外排；灰渣和脱硫石膏优先考虑综合利用，暂未利用部分运往灰场临时分区喷水、碾压堆存，灰场建设和运行符合《一般工业固体废物贮存、处置场污染控制标准》(GB18599－2001)Ⅱ类场及修改单中的标准要求；通过选择低噪声设备、采取防振降噪等措施，降低厂界噪声；工程建设及运行过程中采取水土保持及生态恢复措施，减轻对生态环境的影响。</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项目运行后对周围环境影响较轻；环境风险水平在可接受程度内；通过公众与分析，当地群众大部分支持该项目建设，无反对意见；项目建成后对当地经济起到促进作用，项目建设可以实现“达标排放”、“总量控制”和“风险控制”的目标。考虑项目在建设过程中的不确定因素，项目建设过程中认真落实环境保护“三同时”，严格落实设计和环评报告提出的污染防治措施和环境保护措施，并加强环保设施的运行维护和管理，保证各种环保设施的正常运行和污染物长期稳定达标排放。在落实并保证以上条件实施的前提下，从环保角度分析，该项目的建设是可行的。</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theme="minorBidi"/>
          <w:b/>
          <w:bCs/>
          <w:kern w:val="2"/>
          <w:sz w:val="28"/>
          <w:szCs w:val="28"/>
          <w:lang w:val="en-US" w:eastAsia="zh-CN" w:bidi="ar-SA"/>
        </w:rPr>
      </w:pPr>
      <w:bookmarkStart w:id="23" w:name="_Toc30359"/>
      <w:r>
        <w:rPr>
          <w:rFonts w:hint="eastAsia" w:ascii="宋体" w:hAnsi="宋体" w:eastAsia="宋体" w:cstheme="minorBidi"/>
          <w:b/>
          <w:bCs/>
          <w:kern w:val="2"/>
          <w:sz w:val="28"/>
          <w:szCs w:val="28"/>
          <w:lang w:val="en-US" w:eastAsia="zh-CN" w:bidi="ar-SA"/>
        </w:rPr>
        <w:t>5.2审批部门审批决定</w:t>
      </w:r>
      <w:bookmarkEnd w:id="23"/>
    </w:p>
    <w:p>
      <w:pPr>
        <w:spacing w:line="360" w:lineRule="auto"/>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新疆维吾尔自治区环境保护厅《关于</w:t>
      </w:r>
      <w:r>
        <w:rPr>
          <w:rFonts w:hint="eastAsia" w:asciiTheme="minorEastAsia" w:hAnsiTheme="minorEastAsia" w:eastAsiaTheme="minorEastAsia"/>
          <w:sz w:val="28"/>
          <w:szCs w:val="28"/>
        </w:rPr>
        <w:t>新疆国泰新华</w:t>
      </w:r>
      <w:r>
        <w:rPr>
          <w:rFonts w:hint="eastAsia" w:asciiTheme="minorEastAsia" w:hAnsiTheme="minorEastAsia"/>
          <w:sz w:val="28"/>
          <w:szCs w:val="28"/>
          <w:lang w:eastAsia="zh-CN"/>
        </w:rPr>
        <w:t>矿业</w:t>
      </w:r>
      <w:r>
        <w:rPr>
          <w:rFonts w:hint="eastAsia" w:asciiTheme="minorEastAsia" w:hAnsiTheme="minorEastAsia" w:eastAsiaTheme="minorEastAsia"/>
          <w:sz w:val="28"/>
          <w:szCs w:val="28"/>
        </w:rPr>
        <w:t>股份有限公司准东经济技术开发区煤基精细化工循环经济工业园一期项目环境影响报告书</w:t>
      </w:r>
      <w:r>
        <w:rPr>
          <w:rFonts w:hint="eastAsia" w:asciiTheme="minorEastAsia" w:hAnsiTheme="minorEastAsia" w:eastAsiaTheme="minorEastAsia"/>
          <w:sz w:val="28"/>
          <w:szCs w:val="28"/>
          <w:lang w:eastAsia="zh-CN"/>
        </w:rPr>
        <w:t>的</w:t>
      </w:r>
      <w:r>
        <w:rPr>
          <w:rFonts w:asciiTheme="minorEastAsia" w:hAnsiTheme="minorEastAsia" w:eastAsiaTheme="minorEastAsia"/>
          <w:sz w:val="28"/>
          <w:szCs w:val="28"/>
        </w:rPr>
        <w:t>批复》</w:t>
      </w:r>
      <w:r>
        <w:rPr>
          <w:rFonts w:hint="eastAsia" w:asciiTheme="minorEastAsia" w:hAnsiTheme="minorEastAsia" w:eastAsiaTheme="minorEastAsia"/>
          <w:sz w:val="28"/>
          <w:szCs w:val="28"/>
        </w:rPr>
        <w:t>(</w:t>
      </w:r>
      <w:r>
        <w:rPr>
          <w:rFonts w:asciiTheme="minorEastAsia" w:hAnsiTheme="minorEastAsia" w:eastAsiaTheme="minorEastAsia"/>
          <w:sz w:val="28"/>
          <w:szCs w:val="28"/>
        </w:rPr>
        <w:t>新环函</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Theme="minorEastAsia" w:hAnsiTheme="minorEastAsia" w:eastAsiaTheme="minorEastAsia"/>
          <w:sz w:val="28"/>
          <w:szCs w:val="28"/>
          <w:lang w:val="en-US" w:eastAsia="zh-CN"/>
        </w:rPr>
        <w:t>784</w:t>
      </w:r>
      <w:r>
        <w:rPr>
          <w:rFonts w:asciiTheme="minorEastAsia" w:hAnsiTheme="minorEastAsia" w:eastAsiaTheme="minorEastAsia"/>
          <w:sz w:val="28"/>
          <w:szCs w:val="28"/>
        </w:rPr>
        <w:t>号</w:t>
      </w:r>
      <w:r>
        <w:rPr>
          <w:rFonts w:hint="eastAsia" w:asciiTheme="minorEastAsia" w:hAnsiTheme="minorEastAsia" w:eastAsiaTheme="minorEastAsia"/>
          <w:sz w:val="28"/>
          <w:szCs w:val="28"/>
        </w:rPr>
        <w:t>)</w:t>
      </w:r>
      <w:r>
        <w:rPr>
          <w:rFonts w:asciiTheme="minorEastAsia" w:hAnsiTheme="minorEastAsia" w:eastAsiaTheme="minorEastAsia"/>
          <w:sz w:val="28"/>
          <w:szCs w:val="28"/>
        </w:rPr>
        <w:t>如下：</w:t>
      </w:r>
    </w:p>
    <w:p>
      <w:pPr>
        <w:pStyle w:val="2"/>
        <w:spacing w:before="0" w:after="0" w:line="360" w:lineRule="auto"/>
        <w:ind w:firstLine="560" w:firstLineChars="200"/>
        <w:jc w:val="both"/>
        <w:rPr>
          <w:rFonts w:hint="eastAsia" w:asciiTheme="minorEastAsia" w:hAnsiTheme="minorEastAsia" w:eastAsiaTheme="minorEastAsia"/>
          <w:sz w:val="28"/>
          <w:szCs w:val="28"/>
          <w:lang w:eastAsia="zh-CN"/>
        </w:rPr>
      </w:pPr>
      <w:r>
        <w:rPr>
          <w:rFonts w:hint="eastAsia" w:asciiTheme="minorEastAsia" w:hAnsiTheme="minorEastAsia"/>
          <w:sz w:val="28"/>
          <w:szCs w:val="28"/>
          <w:lang w:eastAsia="zh-CN"/>
        </w:rPr>
        <w:t>一、</w:t>
      </w:r>
      <w:r>
        <w:rPr>
          <w:rFonts w:hint="eastAsia" w:asciiTheme="minorEastAsia" w:hAnsiTheme="minorEastAsia" w:eastAsiaTheme="minorEastAsia"/>
          <w:sz w:val="28"/>
          <w:szCs w:val="28"/>
        </w:rPr>
        <w:t>新疆国泰新华</w:t>
      </w:r>
      <w:r>
        <w:rPr>
          <w:rFonts w:hint="eastAsia" w:asciiTheme="minorEastAsia" w:hAnsiTheme="minorEastAsia"/>
          <w:sz w:val="28"/>
          <w:szCs w:val="28"/>
          <w:lang w:eastAsia="zh-CN"/>
        </w:rPr>
        <w:t>矿业</w:t>
      </w:r>
      <w:r>
        <w:rPr>
          <w:rFonts w:hint="eastAsia" w:asciiTheme="minorEastAsia" w:hAnsiTheme="minorEastAsia" w:eastAsiaTheme="minorEastAsia"/>
          <w:sz w:val="28"/>
          <w:szCs w:val="28"/>
        </w:rPr>
        <w:t>股份有限公司准东经济技术开发区煤基精细化正循环经济工业园一期项目建于准东经济技术开发区西部产业集中区五彩湾南部产业园内，本次为补办环评。项目以煤为原料，设计年产1,4-丁</w:t>
      </w:r>
      <w:r>
        <w:rPr>
          <w:rFonts w:hint="eastAsia" w:asciiTheme="minorEastAsia" w:hAnsiTheme="minorEastAsia" w:eastAsiaTheme="minorEastAsia"/>
          <w:sz w:val="28"/>
          <w:szCs w:val="28"/>
          <w:lang w:eastAsia="zh-CN"/>
        </w:rPr>
        <w:t>二</w:t>
      </w:r>
      <w:r>
        <w:rPr>
          <w:rFonts w:hint="eastAsia" w:asciiTheme="minorEastAsia" w:hAnsiTheme="minorEastAsia" w:eastAsiaTheme="minorEastAsia"/>
          <w:sz w:val="28"/>
          <w:szCs w:val="28"/>
        </w:rPr>
        <w:t>醇20万吨，年产聚四亚甲基醚二醇6万吨，副产硫酸、正丁醇等。1,4-丁二醇生产采用炔醛法生产</w:t>
      </w:r>
      <w:r>
        <w:rPr>
          <w:rFonts w:hint="eastAsia" w:asciiTheme="minorEastAsia" w:hAnsiTheme="minorEastAsia" w:eastAsiaTheme="minorEastAsia"/>
          <w:sz w:val="28"/>
          <w:szCs w:val="28"/>
          <w:lang w:eastAsia="zh-CN"/>
        </w:rPr>
        <w:t>工艺</w:t>
      </w:r>
      <w:r>
        <w:rPr>
          <w:rFonts w:hint="eastAsia" w:asciiTheme="minorEastAsia" w:hAnsiTheme="minorEastAsia"/>
          <w:sz w:val="28"/>
          <w:szCs w:val="28"/>
          <w:lang w:eastAsia="zh-CN"/>
        </w:rPr>
        <w:t>，</w:t>
      </w:r>
      <w:r>
        <w:rPr>
          <w:rFonts w:hint="eastAsia" w:asciiTheme="minorEastAsia" w:hAnsiTheme="minorEastAsia" w:eastAsiaTheme="minorEastAsia"/>
          <w:sz w:val="28"/>
          <w:szCs w:val="28"/>
        </w:rPr>
        <w:t>其中乙炔生产采取以石灰石为原料通过气烧窑生产石灰，以石灰和外购</w:t>
      </w:r>
      <w:r>
        <w:rPr>
          <w:rFonts w:hint="eastAsia" w:asciiTheme="minorEastAsia" w:hAnsiTheme="minorEastAsia"/>
          <w:sz w:val="28"/>
          <w:szCs w:val="28"/>
          <w:lang w:eastAsia="zh-CN"/>
        </w:rPr>
        <w:t>兰</w:t>
      </w:r>
      <w:r>
        <w:rPr>
          <w:rFonts w:hint="eastAsia" w:asciiTheme="minorEastAsia" w:hAnsiTheme="minorEastAsia" w:eastAsiaTheme="minorEastAsia"/>
          <w:sz w:val="28"/>
          <w:szCs w:val="28"/>
        </w:rPr>
        <w:t>炭为原料，通过密闭电石炉采用电热法生产电石，再以电石为原料，通过乙炔发生装置采用电石干法乙炔工艺生产乙炔：甲醛生产采取甲醇氧化铁钼法生产工艺，甲醇生产采取以煤为原料经水煤浆水冷壁清华炉气化工艺生产粗煤气，再经变换</w:t>
      </w:r>
      <w:r>
        <w:rPr>
          <w:rFonts w:hint="eastAsia" w:asciiTheme="minorEastAsia" w:hAnsiTheme="minorEastAsia"/>
          <w:sz w:val="28"/>
          <w:szCs w:val="28"/>
          <w:lang w:eastAsia="zh-CN"/>
        </w:rPr>
        <w:t>、</w:t>
      </w:r>
      <w:r>
        <w:rPr>
          <w:rFonts w:hint="eastAsia" w:asciiTheme="minorEastAsia" w:hAnsiTheme="minorEastAsia" w:eastAsiaTheme="minorEastAsia"/>
          <w:sz w:val="28"/>
          <w:szCs w:val="28"/>
        </w:rPr>
        <w:t>低温甲醇洗、硫回收、甲醇合成、甲醇精馏、变压吸附制氢等工艺后分别制得甲醇和氢气。最后将乙炔、甲醛和氢气送1,4-丁</w:t>
      </w:r>
      <w:r>
        <w:rPr>
          <w:rFonts w:hint="eastAsia" w:asciiTheme="minorEastAsia" w:hAnsiTheme="minorEastAsia" w:eastAsiaTheme="minorEastAsia"/>
          <w:sz w:val="28"/>
          <w:szCs w:val="28"/>
          <w:lang w:eastAsia="zh-CN"/>
        </w:rPr>
        <w:t>二</w:t>
      </w:r>
      <w:r>
        <w:rPr>
          <w:rFonts w:hint="eastAsia" w:asciiTheme="minorEastAsia" w:hAnsiTheme="minorEastAsia" w:eastAsiaTheme="minorEastAsia"/>
          <w:sz w:val="28"/>
          <w:szCs w:val="28"/>
        </w:rPr>
        <w:t>醇合成装置生成1,4-丁二醇。再以1,4-丁二醇为原料经脱水生产四氢呋喃(THF</w:t>
      </w:r>
      <w:r>
        <w:rPr>
          <w:rFonts w:hint="eastAsia" w:asciiTheme="minorEastAsia" w:hAnsiTheme="minorEastAsia"/>
          <w:sz w:val="28"/>
          <w:szCs w:val="28"/>
          <w:lang w:eastAsia="zh-CN"/>
        </w:rPr>
        <w:t>）</w:t>
      </w:r>
      <w:r>
        <w:rPr>
          <w:rFonts w:hint="eastAsia" w:asciiTheme="minorEastAsia" w:hAnsiTheme="minorEastAsia" w:eastAsiaTheme="minorEastAsia"/>
          <w:sz w:val="28"/>
          <w:szCs w:val="28"/>
        </w:rPr>
        <w:t>；再经四氢呋喃(THF)聚合、醇解、中和、精制等单元生产四亚甲基醚二醇(PTMEG)。生产用电由自备电站新建2</w:t>
      </w:r>
      <w:r>
        <w:rPr>
          <w:rFonts w:hint="eastAsia" w:asciiTheme="minorEastAsia" w:hAnsiTheme="minorEastAsia" w:eastAsiaTheme="minorEastAsia"/>
          <w:sz w:val="28"/>
          <w:szCs w:val="28"/>
          <w:lang w:eastAsia="zh-CN"/>
        </w:rPr>
        <w:t>台</w:t>
      </w:r>
      <w:r>
        <w:rPr>
          <w:rFonts w:hint="eastAsia" w:asciiTheme="minorEastAsia" w:hAnsiTheme="minorEastAsia" w:eastAsiaTheme="minorEastAsia"/>
          <w:sz w:val="28"/>
          <w:szCs w:val="28"/>
        </w:rPr>
        <w:t>350兆瓦超临界间接空冷汽轮发电机组提供；用蒸汽由3台150吨/时化工锅炉提供。工程总投资11</w:t>
      </w:r>
      <w:r>
        <w:rPr>
          <w:rFonts w:hint="eastAsia" w:asciiTheme="minorEastAsia" w:hAnsiTheme="minorEastAsia"/>
          <w:sz w:val="28"/>
          <w:szCs w:val="28"/>
          <w:lang w:val="en-US" w:eastAsia="zh-CN"/>
        </w:rPr>
        <w:t>7</w:t>
      </w:r>
      <w:r>
        <w:rPr>
          <w:rFonts w:hint="eastAsia" w:asciiTheme="minorEastAsia" w:hAnsiTheme="minorEastAsia" w:eastAsiaTheme="minorEastAsia"/>
          <w:sz w:val="28"/>
          <w:szCs w:val="28"/>
        </w:rPr>
        <w:t>.43亿元，其中环保投资7.53亿元</w:t>
      </w:r>
      <w:r>
        <w:rPr>
          <w:rFonts w:hint="eastAsia" w:asciiTheme="minorEastAsia" w:hAnsiTheme="minorEastAsia" w:eastAsiaTheme="minorEastAsia"/>
          <w:sz w:val="28"/>
          <w:szCs w:val="28"/>
          <w:lang w:eastAsia="zh-CN"/>
        </w:rPr>
        <w:t>。</w:t>
      </w:r>
    </w:p>
    <w:p>
      <w:pPr>
        <w:pStyle w:val="2"/>
        <w:spacing w:before="0" w:after="0" w:line="360" w:lineRule="auto"/>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二、根据新疆化工设计研究院有限责任公司编制的《新疆国泰新华</w:t>
      </w:r>
      <w:r>
        <w:rPr>
          <w:rFonts w:hint="eastAsia" w:asciiTheme="minorEastAsia" w:hAnsiTheme="minorEastAsia"/>
          <w:sz w:val="28"/>
          <w:szCs w:val="28"/>
          <w:lang w:eastAsia="zh-CN"/>
        </w:rPr>
        <w:t>矿业</w:t>
      </w:r>
      <w:r>
        <w:rPr>
          <w:rFonts w:hint="eastAsia" w:asciiTheme="minorEastAsia" w:hAnsiTheme="minorEastAsia" w:eastAsiaTheme="minorEastAsia"/>
          <w:sz w:val="28"/>
          <w:szCs w:val="28"/>
        </w:rPr>
        <w:t>股份有限公司准东经济技术开发区煤基精细化工循环经济工业园一期项目环境影响报告书》(以下简称《报告书》)的评价结论、新疆环境工程评估中心对《报告书》的技术评估意见(新环评估</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Theme="minorEastAsia" w:hAnsiTheme="minorEastAsia" w:eastAsiaTheme="minorEastAsia"/>
          <w:sz w:val="28"/>
          <w:szCs w:val="28"/>
        </w:rPr>
        <w:t>193号)及昌吉州环保局对《报告书》的审查意见(昌州环函</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Theme="minorEastAsia" w:hAnsiTheme="minorEastAsia" w:eastAsiaTheme="minorEastAsia"/>
          <w:sz w:val="28"/>
          <w:szCs w:val="28"/>
        </w:rPr>
        <w:t>172号)，从环境保护的角度，我厅同意新疆国泰新华</w:t>
      </w:r>
      <w:r>
        <w:rPr>
          <w:rFonts w:hint="eastAsia" w:asciiTheme="minorEastAsia" w:hAnsiTheme="minorEastAsia"/>
          <w:sz w:val="28"/>
          <w:szCs w:val="28"/>
          <w:lang w:eastAsia="zh-CN"/>
        </w:rPr>
        <w:t>化工</w:t>
      </w:r>
      <w:r>
        <w:rPr>
          <w:rFonts w:hint="eastAsia" w:asciiTheme="minorEastAsia" w:hAnsiTheme="minorEastAsia" w:eastAsiaTheme="minorEastAsia"/>
          <w:sz w:val="28"/>
          <w:szCs w:val="28"/>
        </w:rPr>
        <w:t>股份有限公司准东经济技术开发区煤基精细化工循环经济工业园一期项目按照《报告书》所列建设项目的性质、规模、地点、采用的生产工艺、环境保护对策措施进行项目建设。</w:t>
      </w:r>
    </w:p>
    <w:p>
      <w:pPr>
        <w:pStyle w:val="2"/>
        <w:spacing w:before="0" w:after="0" w:line="360" w:lineRule="auto"/>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三、项目运行管理应重点做好的工作</w:t>
      </w:r>
    </w:p>
    <w:p>
      <w:pPr>
        <w:pStyle w:val="2"/>
        <w:spacing w:before="0" w:after="0" w:line="360" w:lineRule="auto"/>
        <w:ind w:firstLine="560" w:firstLineChars="200"/>
        <w:jc w:val="both"/>
        <w:rPr>
          <w:rFonts w:hint="eastAsia" w:asciiTheme="minorEastAsia" w:hAnsiTheme="minorEastAsia"/>
          <w:sz w:val="28"/>
          <w:szCs w:val="28"/>
          <w:lang w:eastAsia="zh-CN"/>
        </w:rPr>
      </w:pPr>
      <w:r>
        <w:rPr>
          <w:rFonts w:hint="eastAsia" w:asciiTheme="minorEastAsia" w:hAnsiTheme="minorEastAsia"/>
          <w:sz w:val="28"/>
          <w:szCs w:val="28"/>
          <w:lang w:eastAsia="zh-CN"/>
        </w:rPr>
        <w:t>（一）</w:t>
      </w:r>
      <w:r>
        <w:rPr>
          <w:rFonts w:hint="eastAsia" w:asciiTheme="minorEastAsia" w:hAnsiTheme="minorEastAsia" w:eastAsiaTheme="minorEastAsia"/>
          <w:sz w:val="28"/>
          <w:szCs w:val="28"/>
        </w:rPr>
        <w:t>你公司必须认真落实《报告书》中提出的各项环保要求，严格执行环保“三同时”制度，确保各项污染物稳定达标排放</w:t>
      </w:r>
      <w:r>
        <w:rPr>
          <w:rFonts w:hint="eastAsia" w:asciiTheme="minorEastAsia" w:hAnsi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560" w:firstLineChars="200"/>
        <w:jc w:val="both"/>
        <w:textAlignment w:val="auto"/>
        <w:outlineLvl w:val="9"/>
        <w:rPr>
          <w:rFonts w:hint="eastAsia" w:asciiTheme="minorEastAsia" w:hAnsiTheme="minorEastAsia"/>
          <w:sz w:val="28"/>
          <w:szCs w:val="28"/>
          <w:lang w:eastAsia="zh-CN"/>
        </w:rPr>
      </w:pPr>
      <w:r>
        <w:rPr>
          <w:rFonts w:hint="eastAsia" w:asciiTheme="minorEastAsia" w:hAnsiTheme="minorEastAsia"/>
          <w:sz w:val="28"/>
          <w:szCs w:val="28"/>
          <w:lang w:eastAsia="zh-CN"/>
        </w:rPr>
        <w:t>（二）</w:t>
      </w:r>
      <w:r>
        <w:rPr>
          <w:rFonts w:hint="eastAsia" w:asciiTheme="minorEastAsia" w:hAnsiTheme="minorEastAsia" w:eastAsiaTheme="minorEastAsia"/>
          <w:sz w:val="28"/>
          <w:szCs w:val="28"/>
        </w:rPr>
        <w:t>对生产过程产生的各类工艺废气采取成熟稳定的处理工艺，确保废气污染物稳定达标排放，各排气筒高度符合规范要求</w:t>
      </w:r>
      <w:r>
        <w:rPr>
          <w:rFonts w:hint="eastAsia" w:asciiTheme="minorEastAsia" w:hAnsi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eastAsiaTheme="minorEastAsia"/>
          <w:sz w:val="28"/>
          <w:szCs w:val="28"/>
        </w:rPr>
        <w:t>电石装置、乙炔装置、固体物料贮存系统在每个产尘点上方</w:t>
      </w:r>
      <w:r>
        <w:rPr>
          <w:rFonts w:hint="eastAsia" w:asciiTheme="minorEastAsia" w:hAnsiTheme="minorEastAsia" w:eastAsiaTheme="minorEastAsia"/>
          <w:sz w:val="28"/>
          <w:szCs w:val="28"/>
          <w:lang w:val="en-US" w:eastAsia="zh-CN"/>
        </w:rPr>
        <w:t>安装集尘罩；甲醛装置废气采用催化焚烧处理；动力站锅炉烟气</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化工锅炉房锅炉烟气经SCR法脱硝、袋式除尘、电石渣(兼容石灰石)-石膏法脱硫；甲醛装置废气、硫回收单元制酸尾气、</w:t>
      </w:r>
      <w:r>
        <w:rPr>
          <w:rFonts w:hint="eastAsia" w:asciiTheme="minorEastAsia" w:hAnsiTheme="minorEastAsia"/>
          <w:sz w:val="28"/>
          <w:szCs w:val="28"/>
          <w:lang w:val="en-US" w:eastAsia="zh-CN"/>
        </w:rPr>
        <w:t>BOD</w:t>
      </w:r>
      <w:r>
        <w:rPr>
          <w:rFonts w:hint="eastAsia" w:asciiTheme="minorEastAsia" w:hAnsiTheme="minorEastAsia" w:eastAsiaTheme="minorEastAsia"/>
          <w:sz w:val="28"/>
          <w:szCs w:val="28"/>
          <w:lang w:val="en-US" w:eastAsia="zh-CN"/>
        </w:rPr>
        <w:t>装置废气等有组织废气达标排放。上述各工段废气排放分别执行《工业炉窑大气污染物排放标准》(</w:t>
      </w:r>
      <w:r>
        <w:rPr>
          <w:rFonts w:hint="eastAsia" w:asciiTheme="minorEastAsia" w:hAnsiTheme="minorEastAsia"/>
          <w:sz w:val="28"/>
          <w:szCs w:val="28"/>
          <w:lang w:val="en-US" w:eastAsia="zh-CN"/>
        </w:rPr>
        <w:t>G</w:t>
      </w:r>
      <w:r>
        <w:rPr>
          <w:rFonts w:hint="eastAsia" w:asciiTheme="minorEastAsia" w:hAnsiTheme="minorEastAsia" w:eastAsiaTheme="minorEastAsia"/>
          <w:sz w:val="28"/>
          <w:szCs w:val="28"/>
          <w:lang w:val="en-US" w:eastAsia="zh-CN"/>
        </w:rPr>
        <w:t>B9078-1996)中的二级标准、《大气污染物综合排放标准》(GB16297-1996)中二级标准、《火电厂大气污染物排放标准》(GB13223-20</w:t>
      </w:r>
      <w:r>
        <w:rPr>
          <w:rFonts w:hint="eastAsia" w:asciiTheme="minorEastAsia" w:hAnsiTheme="minorEastAsia"/>
          <w:sz w:val="28"/>
          <w:szCs w:val="28"/>
          <w:lang w:val="en-US" w:eastAsia="zh-CN"/>
        </w:rPr>
        <w:t>0</w:t>
      </w:r>
      <w:r>
        <w:rPr>
          <w:rFonts w:hint="eastAsia" w:asciiTheme="minorEastAsia" w:hAnsiTheme="minorEastAsia" w:eastAsiaTheme="minorEastAsia"/>
          <w:sz w:val="28"/>
          <w:szCs w:val="28"/>
          <w:lang w:val="en-US" w:eastAsia="zh-CN"/>
        </w:rPr>
        <w:t>1)中表1燃煤锅炉限值</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《危险废物焚烧污染控制标准》、甲醇装置废气中硫化氢排放速率符合《恶臭污染物排放标准》(GB14554-93)表2限值。厂区设置1座90米高火炬，用于处理工艺中低热值的可燃性气体；电石炉</w:t>
      </w:r>
      <w:r>
        <w:rPr>
          <w:rFonts w:hint="eastAsia" w:asciiTheme="minorEastAsia" w:hAnsiTheme="minorEastAsia"/>
          <w:sz w:val="28"/>
          <w:szCs w:val="28"/>
          <w:lang w:val="en-US" w:eastAsia="zh-CN"/>
        </w:rPr>
        <w:t>气、</w:t>
      </w:r>
      <w:r>
        <w:rPr>
          <w:rFonts w:hint="eastAsia" w:asciiTheme="minorEastAsia" w:hAnsiTheme="minorEastAsia" w:eastAsiaTheme="minorEastAsia"/>
          <w:sz w:val="28"/>
          <w:szCs w:val="28"/>
          <w:lang w:val="en-US" w:eastAsia="zh-CN"/>
        </w:rPr>
        <w:t>甲醇装置驰放气等送燃料气管网回用</w:t>
      </w:r>
      <w:r>
        <w:rPr>
          <w:rFonts w:hint="eastAsia" w:asciiTheme="minorEastAsia" w:hAnsiTheme="minorEastAsia"/>
          <w:sz w:val="28"/>
          <w:szCs w:val="28"/>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eastAsiaTheme="minorEastAsia"/>
          <w:sz w:val="28"/>
          <w:szCs w:val="28"/>
          <w:lang w:val="en-US" w:eastAsia="zh-CN"/>
        </w:rPr>
        <w:t>落实《报告书》中各项无组织废气污染防治措施，其中厂内原料煤、动力煤等储存和输送系统均应釆取全封闭措施，严格控制无组织废气排放</w:t>
      </w:r>
      <w:r>
        <w:rPr>
          <w:rFonts w:hint="eastAsia" w:asciiTheme="minorEastAsia" w:hAnsiTheme="minorEastAsia"/>
          <w:sz w:val="28"/>
          <w:szCs w:val="28"/>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firstLine="560" w:firstLineChars="200"/>
        <w:jc w:val="both"/>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（三）</w:t>
      </w:r>
      <w:r>
        <w:rPr>
          <w:rFonts w:hint="eastAsia" w:asciiTheme="minorEastAsia" w:hAnsiTheme="minorEastAsia" w:eastAsiaTheme="minorEastAsia"/>
          <w:sz w:val="28"/>
          <w:szCs w:val="28"/>
          <w:lang w:val="en-US" w:eastAsia="zh-CN"/>
        </w:rPr>
        <w:t>根据“雨污分流、清污分流”的原则建设和使用厂区给排水系统，提高水的利用率，最大限度减少用水量和废水排放量。优化污水处理方案，选用成熟稳定的处理工艺</w:t>
      </w:r>
      <w:r>
        <w:rPr>
          <w:rFonts w:hint="eastAsia" w:asciiTheme="minorEastAsia" w:hAnsiTheme="minorEastAsia"/>
          <w:sz w:val="28"/>
          <w:szCs w:val="28"/>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560" w:firstLineChars="200"/>
        <w:jc w:val="both"/>
        <w:textAlignment w:val="auto"/>
        <w:rPr>
          <w:rFonts w:hint="eastAsia" w:asciiTheme="minorEastAsia" w:hAnsiTheme="minorEastAsia"/>
          <w:sz w:val="28"/>
          <w:szCs w:val="28"/>
          <w:lang w:val="en-US" w:eastAsia="zh-CN"/>
        </w:rPr>
      </w:pPr>
      <w:r>
        <w:rPr>
          <w:rFonts w:hint="eastAsia" w:asciiTheme="minorEastAsia" w:hAnsiTheme="minorEastAsia" w:eastAsiaTheme="minorEastAsia"/>
          <w:sz w:val="28"/>
          <w:szCs w:val="28"/>
          <w:lang w:val="en-US" w:eastAsia="zh-CN"/>
        </w:rPr>
        <w:t>化工装置区工艺及生活废水经厂区污水站处理达到《污水综合排放标准》中的二级标准后排入回用水处理系统，厂区污水站设计处理规模为800立方米/时，采用MBR法处理工艺；除盐水站浓盐水及中和后的酸碱废水、循环水系统排污，直接进入回用水处理系统。回用水处理系统设计处理规模为1200立方米/时，采用反渗透工艺，处理后的回用水水质达到《污水再生利用工程设计规范》(GB50335-2002)循环水补充水质要求作为循环冷却水系统补充用水；回用水处理系统排水排至浓盐水处理系统，浓盐水处理系统设计规模为220立方米/时，采用反渗透工艺，处理后的出水满足《污水再生利用工程设计规范》(GB50335-2002)循环水补充水质要求作为循环水系统补充用水；全厂所有废水均经处理后回用，无废水外排</w:t>
      </w:r>
      <w:r>
        <w:rPr>
          <w:rFonts w:hint="eastAsia" w:asciiTheme="minorEastAsia" w:hAnsiTheme="minorEastAsia"/>
          <w:sz w:val="28"/>
          <w:szCs w:val="28"/>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560" w:firstLineChars="200"/>
        <w:jc w:val="both"/>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切实落实地下水污染防治措施，严格按照《报告书》确定的地下水分区防渗原则落实地下水防渗工作。按要求设置地下水监测井，并定期进行水质监测。</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（四）</w:t>
      </w:r>
      <w:r>
        <w:rPr>
          <w:rFonts w:hint="eastAsia" w:asciiTheme="minorEastAsia" w:hAnsiTheme="minorEastAsia" w:eastAsiaTheme="minorEastAsia"/>
          <w:sz w:val="28"/>
          <w:szCs w:val="28"/>
          <w:lang w:val="en-US" w:eastAsia="zh-CN"/>
        </w:rPr>
        <w:t>优化厂区平面布置，选用低噪声设备，合理布置高噪声设备。高噪声源采取减振、吸声、隔声、消声等措施，确保厂界噪声符合《工业企业厂界环境噪声排放标准》(GB12348-2008</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中3类标准要求。</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（五）</w:t>
      </w:r>
      <w:r>
        <w:rPr>
          <w:rFonts w:hint="eastAsia" w:asciiTheme="minorEastAsia" w:hAnsiTheme="minorEastAsia" w:eastAsiaTheme="minorEastAsia"/>
          <w:sz w:val="28"/>
          <w:szCs w:val="28"/>
          <w:lang w:val="en-US" w:eastAsia="zh-CN"/>
        </w:rPr>
        <w:t>严格落实项目固体废物的收集、处置及综合利用措施，严禁随意抛洒或混乱堆放，项目产生的废弃物应依照《国家危险废物名录》和有关分析方法检测认定；属危险废物的须专人管理，并制定危险废物管理计划，符合相关要求可综合利用的优先综合利用，其它不能综合利用的按有关控制标准贮存和运输，定期交有危险废物处置资质的机构安全处置，不得擅自处理。厂内一般工业固废临时堆场和危险废物临时贮存场必须分别按照《一般工业固体废物贮存、处置场污染控制标准》(GB18599-2001)及2013年修改单、《危险废物贮存污染控制标准》(GB18597-2001)及2013年修改单中相关要求进行设计、建设、管理，防止产生二次污染。</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（六）</w:t>
      </w:r>
      <w:r>
        <w:rPr>
          <w:rFonts w:hint="eastAsia" w:asciiTheme="minorEastAsia" w:hAnsiTheme="minorEastAsia" w:eastAsiaTheme="minorEastAsia"/>
          <w:sz w:val="28"/>
          <w:szCs w:val="28"/>
          <w:lang w:val="en-US" w:eastAsia="zh-CN"/>
        </w:rPr>
        <w:t>加强环境风险事故防范，建立事故应急监测系统，落实各项防范环境风险的措施，制定环境风险应急预案，建立事故紧急停车系统，事故应急监测系统，完善应急处理措施和救援预案并与工业加工区、当地政府应急预案联动，化工区设置1座2万立方米事故池、动力站设置1座3000立方米事故池，用于事故状态下废污水暂存，确保区域环境安全。</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（七）</w:t>
      </w:r>
      <w:r>
        <w:rPr>
          <w:rFonts w:hint="eastAsia" w:asciiTheme="minorEastAsia" w:hAnsiTheme="minorEastAsia" w:eastAsiaTheme="minorEastAsia"/>
          <w:sz w:val="28"/>
          <w:szCs w:val="28"/>
          <w:lang w:val="en-US" w:eastAsia="zh-CN"/>
        </w:rPr>
        <w:t>项目石灰装置、硫酸装置、电石装置按规定设置分别300米，300米和1000米卫生防护距离，并配合当地政府和有关部门加强规划控制，严禁在卫生防护距离范围内新建居民住宅</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医院、学校等环境敏感建筑。</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（八）</w:t>
      </w:r>
      <w:r>
        <w:rPr>
          <w:rFonts w:hint="eastAsia" w:asciiTheme="minorEastAsia" w:hAnsiTheme="minorEastAsia" w:eastAsiaTheme="minorEastAsia"/>
          <w:sz w:val="28"/>
          <w:szCs w:val="28"/>
          <w:lang w:val="en-US" w:eastAsia="zh-CN"/>
        </w:rPr>
        <w:t>按照排污口设置及规范化整治管理的相关规定设置各类排污口，按要求标识，并设计必备的监测采样平台。按规范安装废气</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废水污染源在线自动监控设施，并通过环保部门验收，负责运行维护在线监控设施，确保在线监控设施正常稳定运行及数据正常传输。</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（九）</w:t>
      </w:r>
      <w:r>
        <w:rPr>
          <w:rFonts w:hint="eastAsia" w:asciiTheme="minorEastAsia" w:hAnsiTheme="minorEastAsia" w:eastAsiaTheme="minorEastAsia"/>
          <w:sz w:val="28"/>
          <w:szCs w:val="28"/>
          <w:lang w:val="en-US" w:eastAsia="zh-CN"/>
        </w:rPr>
        <w:t>在工程施工和运营过程中，应建立畅通的公众参与平台，及时解决公众担忧的环境问题，满足公众合理的环境诉求。定期发布企业环境信息，并主动接受社会监督。</w:t>
      </w:r>
    </w:p>
    <w:p>
      <w:pPr>
        <w:pStyle w:val="2"/>
        <w:spacing w:before="0" w:after="0" w:line="360" w:lineRule="auto"/>
        <w:ind w:firstLine="560" w:firstLineChars="200"/>
        <w:jc w:val="both"/>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四、经核定，本项目主要污染物排放总量分别为：二氧化硫2113.3吨/年、氮氧化物2104.2吨/年，其中动力站污染物排放二氧化硫为1809.5吨/年，氮氧化物为1809.5吨/年，化工部分污染物排放二氧化硫为303.8吨/年，氮氧化物为294.7吨/年。</w:t>
      </w:r>
    </w:p>
    <w:p>
      <w:pPr>
        <w:pStyle w:val="2"/>
        <w:spacing w:before="0" w:after="0" w:line="360" w:lineRule="auto"/>
        <w:ind w:firstLine="560" w:firstLineChars="20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五、你公司应按规定程序向自治区环保厅申请试生产和项目竣工环境保护验收</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如项目的性质，规模，地点、采用的工艺</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防治污染，防止生态破坏的措施发生重大变动，须报我厅重新审批。</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theme="minorBidi"/>
          <w:b/>
          <w:bCs/>
          <w:kern w:val="2"/>
          <w:sz w:val="28"/>
          <w:szCs w:val="28"/>
          <w:lang w:val="en-US" w:eastAsia="zh-CN" w:bidi="ar-SA"/>
        </w:rPr>
      </w:pPr>
      <w:r>
        <w:rPr>
          <w:rFonts w:hint="eastAsia" w:asciiTheme="minorEastAsia" w:hAnsiTheme="minorEastAsia" w:eastAsiaTheme="minorEastAsia"/>
          <w:sz w:val="28"/>
          <w:szCs w:val="28"/>
          <w:lang w:val="en-US" w:eastAsia="zh-CN"/>
        </w:rPr>
        <w:t>六、本项目的日常环境监督管理工作由昌吉州环保局和准东经济技术开发区环保局负责，自治区环境监察总队进行不定期抽查。你公司收到批复20个工作日内，将《报告书》分送昌吉州环保局和准东经济技术开发区环保局。</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bookmarkStart w:id="24" w:name="_Toc14266"/>
      <w:r>
        <w:rPr>
          <w:rFonts w:hint="eastAsia" w:ascii="宋体" w:hAnsi="宋体" w:eastAsia="宋体" w:cstheme="minorBidi"/>
          <w:b/>
          <w:bCs/>
          <w:kern w:val="2"/>
          <w:sz w:val="32"/>
          <w:szCs w:val="32"/>
          <w:lang w:val="en-US" w:eastAsia="zh-CN" w:bidi="ar-SA"/>
        </w:rPr>
        <w:t>6验收执行标准</w:t>
      </w:r>
      <w:bookmarkEnd w:id="24"/>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theme="minorBidi"/>
          <w:b/>
          <w:bCs/>
          <w:kern w:val="2"/>
          <w:sz w:val="30"/>
          <w:szCs w:val="30"/>
          <w:lang w:val="en-US" w:eastAsia="zh-CN" w:bidi="ar-SA"/>
        </w:rPr>
      </w:pPr>
      <w:bookmarkStart w:id="25" w:name="_Toc776"/>
      <w:r>
        <w:rPr>
          <w:rFonts w:hint="eastAsia" w:ascii="宋体" w:hAnsi="宋体" w:eastAsia="宋体" w:cstheme="minorBidi"/>
          <w:b/>
          <w:bCs/>
          <w:kern w:val="2"/>
          <w:sz w:val="30"/>
          <w:szCs w:val="30"/>
          <w:lang w:val="en-US" w:eastAsia="zh-CN" w:bidi="ar-SA"/>
        </w:rPr>
        <w:t>6.1废气</w:t>
      </w:r>
      <w:bookmarkEnd w:id="25"/>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新疆国泰新华化工有限责任公司动力站锅炉有组织废气污染物颗粒物、二氧化硫、氮氧化物、汞及其化合物和烟气黑度执行《火电厂大气污染物排放标准》（GB13223-2011）中燃煤锅炉大气污染物特别排放限值；输煤系统、原煤斗、灰库、电石渣仓和石灰石仓布袋除尘器污染物排放执行《大气污染物综合排放标准》（GB16297-1996）中表2新污染源排放限值；厂区无组织颗粒物执行《大气污染物综合排放标准》（GB16297-1996）中表2新污染源排放限值；脱硝装置氨逃逸执行</w:t>
      </w:r>
      <w:r>
        <w:rPr>
          <w:rFonts w:hint="eastAsia" w:asciiTheme="minorEastAsia" w:hAnsiTheme="minorEastAsia" w:eastAsiaTheme="minorEastAsia"/>
          <w:sz w:val="28"/>
          <w:szCs w:val="28"/>
        </w:rPr>
        <w:t>《火电厂烟气脱硝工程技术规范 选择性催化还原法》（HJ 562-2010）</w:t>
      </w:r>
      <w:r>
        <w:rPr>
          <w:rFonts w:hint="eastAsia" w:asciiTheme="minorEastAsia" w:hAnsiTheme="minorEastAsia"/>
          <w:sz w:val="28"/>
          <w:szCs w:val="28"/>
          <w:lang w:eastAsia="zh-CN"/>
        </w:rPr>
        <w:t>；</w:t>
      </w:r>
      <w:r>
        <w:rPr>
          <w:rFonts w:hint="eastAsia"/>
          <w:sz w:val="28"/>
          <w:szCs w:val="28"/>
        </w:rPr>
        <w:t>氨区周界无组织氨排放执行《恶臭污染物排放标准》（</w:t>
      </w:r>
      <w:r>
        <w:rPr>
          <w:rFonts w:hint="eastAsia" w:ascii="宋体" w:hAnsi="宋体" w:eastAsia="宋体" w:cstheme="minorBidi"/>
          <w:b w:val="0"/>
          <w:bCs w:val="0"/>
          <w:kern w:val="2"/>
          <w:sz w:val="28"/>
          <w:szCs w:val="28"/>
          <w:lang w:val="en-US" w:eastAsia="zh-CN" w:bidi="ar-SA"/>
        </w:rPr>
        <w:t>GB14554-93</w:t>
      </w:r>
      <w:r>
        <w:rPr>
          <w:rFonts w:hint="eastAsia"/>
          <w:sz w:val="28"/>
          <w:szCs w:val="28"/>
        </w:rPr>
        <w:t>）</w:t>
      </w:r>
      <w:r>
        <w:rPr>
          <w:rFonts w:hint="eastAsia"/>
          <w:sz w:val="28"/>
          <w:szCs w:val="28"/>
          <w:lang w:eastAsia="zh-CN"/>
        </w:rPr>
        <w:t>中表</w:t>
      </w:r>
      <w:r>
        <w:rPr>
          <w:rFonts w:hint="eastAsia"/>
          <w:sz w:val="28"/>
          <w:szCs w:val="28"/>
          <w:lang w:val="en-US" w:eastAsia="zh-CN"/>
        </w:rPr>
        <w:t>1二级新扩改建排放限值</w:t>
      </w:r>
      <w:r>
        <w:rPr>
          <w:rFonts w:hint="eastAsia"/>
          <w:sz w:val="28"/>
          <w:szCs w:val="28"/>
          <w:lang w:eastAsia="zh-CN"/>
        </w:rPr>
        <w:t>；大气</w:t>
      </w:r>
      <w:r>
        <w:rPr>
          <w:rFonts w:hint="eastAsia" w:ascii="宋体" w:hAnsi="宋体" w:eastAsia="宋体" w:cstheme="minorBidi"/>
          <w:b w:val="0"/>
          <w:bCs w:val="0"/>
          <w:kern w:val="2"/>
          <w:sz w:val="28"/>
          <w:szCs w:val="28"/>
          <w:lang w:val="en-US" w:eastAsia="zh-CN" w:bidi="ar-SA"/>
        </w:rPr>
        <w:t>污染物排放标准限值见表6-1。</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表6-1  大气污染物排放标准限值</w:t>
      </w:r>
    </w:p>
    <w:p>
      <w:pPr>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宋体" w:hAnsi="宋体" w:eastAsiaTheme="minorEastAsia"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单位：</w:t>
      </w:r>
      <w:r>
        <w:rPr>
          <w:b w:val="0"/>
          <w:bCs w:val="0"/>
          <w:sz w:val="24"/>
          <w:szCs w:val="24"/>
        </w:rPr>
        <w:t>mg/m</w:t>
      </w:r>
      <w:r>
        <w:rPr>
          <w:b w:val="0"/>
          <w:bCs w:val="0"/>
          <w:sz w:val="24"/>
          <w:szCs w:val="24"/>
          <w:vertAlign w:val="superscript"/>
        </w:rPr>
        <w:t>3</w:t>
      </w:r>
      <w:r>
        <w:rPr>
          <w:rFonts w:hint="eastAsia"/>
          <w:b w:val="0"/>
          <w:bCs w:val="0"/>
          <w:sz w:val="24"/>
          <w:szCs w:val="24"/>
          <w:vertAlign w:val="baseline"/>
          <w:lang w:eastAsia="zh-CN"/>
        </w:rPr>
        <w:t>（烟气黑度除外）</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1931"/>
        <w:gridCol w:w="1489"/>
        <w:gridCol w:w="2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类别</w:t>
            </w: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污染物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Theme="minorEastAsia"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标准限值</w:t>
            </w:r>
          </w:p>
        </w:tc>
        <w:tc>
          <w:tcPr>
            <w:tcW w:w="2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燃煤锅炉</w:t>
            </w: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颗粒物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20</w:t>
            </w:r>
          </w:p>
        </w:tc>
        <w:tc>
          <w:tcPr>
            <w:tcW w:w="27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lang w:val="en-US" w:eastAsia="zh-CN" w:bidi="ar-SA"/>
              </w:rPr>
              <w:t>《火电厂大气污染物排放标准》（GB13223-2011）燃煤锅炉大气污染物特别排放限值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二氧化硫</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50</w:t>
            </w:r>
          </w:p>
        </w:tc>
        <w:tc>
          <w:tcPr>
            <w:tcW w:w="2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氮氧化物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100</w:t>
            </w:r>
          </w:p>
        </w:tc>
        <w:tc>
          <w:tcPr>
            <w:tcW w:w="2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汞及其化合物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0.03</w:t>
            </w:r>
          </w:p>
        </w:tc>
        <w:tc>
          <w:tcPr>
            <w:tcW w:w="2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烟气黑度</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1</w:t>
            </w:r>
          </w:p>
        </w:tc>
        <w:tc>
          <w:tcPr>
            <w:tcW w:w="2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氨逃逸</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2.5</w:t>
            </w:r>
          </w:p>
        </w:tc>
        <w:tc>
          <w:tcPr>
            <w:tcW w:w="2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lang w:val="en-US" w:eastAsia="zh-CN" w:bidi="ar-SA"/>
              </w:rPr>
              <w:t>《火电厂烟气脱硝工程技术规范 选择性催化还原法》（HJ 562-2010）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输煤系统、灰库、电石渣仓、石灰石料仓</w:t>
            </w: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颗粒物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120</w:t>
            </w:r>
          </w:p>
        </w:tc>
        <w:tc>
          <w:tcPr>
            <w:tcW w:w="27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《大气污染物综合排放标准》（GB16297-1996）表2新污染源排放限值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厂界无组织</w:t>
            </w: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颗粒物</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1.0</w:t>
            </w:r>
          </w:p>
        </w:tc>
        <w:tc>
          <w:tcPr>
            <w:tcW w:w="2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氨区</w:t>
            </w:r>
          </w:p>
        </w:tc>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氨</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1.5</w:t>
            </w:r>
          </w:p>
        </w:tc>
        <w:tc>
          <w:tcPr>
            <w:tcW w:w="2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Theme="minorEastAsia"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《恶臭污染物排放标准》（GB14554-93）中表1二级标准新扩改建</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theme="minorBidi"/>
          <w:b/>
          <w:bCs/>
          <w:kern w:val="2"/>
          <w:sz w:val="30"/>
          <w:szCs w:val="30"/>
          <w:lang w:val="en-US" w:eastAsia="zh-CN" w:bidi="ar-SA"/>
        </w:rPr>
      </w:pPr>
      <w:bookmarkStart w:id="26" w:name="_Toc10347"/>
      <w:r>
        <w:rPr>
          <w:rFonts w:hint="eastAsia" w:ascii="宋体" w:hAnsi="宋体" w:eastAsia="宋体" w:cstheme="minorBidi"/>
          <w:b/>
          <w:bCs/>
          <w:kern w:val="2"/>
          <w:sz w:val="30"/>
          <w:szCs w:val="30"/>
          <w:lang w:val="en-US" w:eastAsia="zh-CN" w:bidi="ar-SA"/>
        </w:rPr>
        <w:t>6.2废水</w:t>
      </w:r>
      <w:bookmarkEnd w:id="26"/>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动力站工业废水、生活污水、含煤废水经处理后达到《污水综合排放标准》（GB8978-1996）中新扩建企业一级标准，排放限值见表6-2；脱硫废水达到《火电厂石灰石-石膏湿法脱硫废水水质控制标准》（DL/T997-2006)标准后回用，排放限值见表6-3。</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表6-2  废水污染物排放限值</w:t>
      </w:r>
    </w:p>
    <w:p>
      <w:pPr>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单位：mg/L</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249"/>
        <w:gridCol w:w="2129"/>
        <w:gridCol w:w="2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序号</w:t>
            </w:r>
          </w:p>
        </w:tc>
        <w:tc>
          <w:tcPr>
            <w:tcW w:w="224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污染物</w:t>
            </w:r>
          </w:p>
        </w:tc>
        <w:tc>
          <w:tcPr>
            <w:tcW w:w="212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标准限值</w:t>
            </w:r>
          </w:p>
        </w:tc>
        <w:tc>
          <w:tcPr>
            <w:tcW w:w="212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PH</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6~9</w:t>
            </w:r>
          </w:p>
        </w:tc>
        <w:tc>
          <w:tcPr>
            <w:tcW w:w="21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《污水综合排放标准》（GB8978-1996）中新扩建企业一级标准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SS</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70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CODcr</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4</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BOD</w:t>
            </w:r>
            <w:r>
              <w:rPr>
                <w:rFonts w:hint="eastAsia" w:ascii="宋体" w:hAnsi="宋体" w:eastAsia="宋体" w:cs="宋体"/>
                <w:b w:val="0"/>
                <w:bCs w:val="0"/>
                <w:kern w:val="2"/>
                <w:sz w:val="21"/>
                <w:szCs w:val="21"/>
                <w:vertAlign w:val="subscript"/>
                <w:lang w:val="en-US" w:eastAsia="zh-CN" w:bidi="ar-SA"/>
              </w:rPr>
              <w:t>5</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5</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color w:val="auto"/>
                <w:sz w:val="21"/>
                <w:szCs w:val="21"/>
                <w:highlight w:val="none"/>
                <w:lang w:val="en-US" w:eastAsia="zh-CN"/>
              </w:rPr>
              <w:t>NH</w:t>
            </w:r>
            <w:r>
              <w:rPr>
                <w:rFonts w:hint="eastAsia" w:ascii="宋体" w:hAnsi="宋体" w:eastAsia="宋体" w:cs="宋体"/>
                <w:color w:val="auto"/>
                <w:sz w:val="21"/>
                <w:szCs w:val="21"/>
                <w:highlight w:val="none"/>
                <w:vertAlign w:val="subscript"/>
                <w:lang w:val="en-US" w:eastAsia="zh-CN"/>
              </w:rPr>
              <w:t>3</w:t>
            </w:r>
            <w:r>
              <w:rPr>
                <w:rFonts w:hint="eastAsia" w:ascii="宋体" w:hAnsi="宋体" w:eastAsia="宋体" w:cs="宋体"/>
                <w:color w:val="auto"/>
                <w:sz w:val="21"/>
                <w:szCs w:val="21"/>
                <w:highlight w:val="none"/>
                <w:lang w:val="en-US" w:eastAsia="zh-CN"/>
              </w:rPr>
              <w:t>-N</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15</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6</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动植物油</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7</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color w:val="auto"/>
                <w:sz w:val="21"/>
                <w:szCs w:val="21"/>
                <w:highlight w:val="none"/>
                <w:lang w:val="en-US" w:eastAsia="zh-CN"/>
              </w:rPr>
              <w:t>石油类</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5</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8</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氰化物</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9</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色度</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50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w:t>
            </w:r>
          </w:p>
        </w:tc>
        <w:tc>
          <w:tcPr>
            <w:tcW w:w="2249" w:type="dxa"/>
            <w:tcBorders>
              <w:tl2br w:val="nil"/>
              <w:tr2bl w:val="nil"/>
            </w:tcBorders>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cs="宋体"/>
                <w:color w:val="auto"/>
                <w:sz w:val="21"/>
                <w:szCs w:val="21"/>
                <w:highlight w:val="none"/>
                <w:lang w:val="en-US" w:eastAsia="zh-CN"/>
              </w:rPr>
              <w:t>挥发酚</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0.5</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11</w:t>
            </w:r>
          </w:p>
        </w:tc>
        <w:tc>
          <w:tcPr>
            <w:tcW w:w="2249" w:type="dxa"/>
            <w:tcBorders>
              <w:tl2br w:val="nil"/>
              <w:tr2bl w:val="nil"/>
            </w:tcBorders>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cs="宋体"/>
                <w:color w:val="auto"/>
                <w:sz w:val="21"/>
                <w:szCs w:val="21"/>
                <w:highlight w:val="none"/>
                <w:lang w:val="en-US" w:eastAsia="zh-CN"/>
              </w:rPr>
              <w:t>硫化物</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12</w:t>
            </w:r>
          </w:p>
        </w:tc>
        <w:tc>
          <w:tcPr>
            <w:tcW w:w="2249" w:type="dxa"/>
            <w:tcBorders>
              <w:tl2br w:val="nil"/>
              <w:tr2bl w:val="nil"/>
            </w:tcBorders>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cs="宋体"/>
                <w:color w:val="auto"/>
                <w:sz w:val="21"/>
                <w:szCs w:val="21"/>
                <w:highlight w:val="none"/>
                <w:lang w:val="en-US" w:eastAsia="zh-CN"/>
              </w:rPr>
              <w:t>锰</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6-3  脱硫废水排放限值</w:t>
      </w:r>
    </w:p>
    <w:p>
      <w:pPr>
        <w:pStyle w:val="2"/>
        <w:jc w:val="right"/>
        <w:rPr>
          <w:rFonts w:hint="eastAsia"/>
          <w:lang w:val="en-US" w:eastAsia="zh-CN"/>
        </w:rPr>
      </w:pPr>
      <w:r>
        <w:rPr>
          <w:rFonts w:hint="eastAsia" w:ascii="宋体" w:hAnsi="宋体" w:eastAsia="宋体" w:cstheme="minorBidi"/>
          <w:b w:val="0"/>
          <w:bCs w:val="0"/>
          <w:kern w:val="2"/>
          <w:sz w:val="24"/>
          <w:szCs w:val="24"/>
          <w:lang w:val="en-US" w:eastAsia="zh-CN" w:bidi="ar-SA"/>
        </w:rPr>
        <w:t>单位：mg/L</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249"/>
        <w:gridCol w:w="2129"/>
        <w:gridCol w:w="2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序号</w:t>
            </w:r>
          </w:p>
        </w:tc>
        <w:tc>
          <w:tcPr>
            <w:tcW w:w="224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污染物</w:t>
            </w:r>
          </w:p>
        </w:tc>
        <w:tc>
          <w:tcPr>
            <w:tcW w:w="212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标准限值</w:t>
            </w:r>
          </w:p>
        </w:tc>
        <w:tc>
          <w:tcPr>
            <w:tcW w:w="212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PH</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6~9</w:t>
            </w:r>
          </w:p>
        </w:tc>
        <w:tc>
          <w:tcPr>
            <w:tcW w:w="21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《火电厂石灰石-石膏湿法脱硫废水水质控制标准》（DL/T997-2006)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SS</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70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汞</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0.05</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4</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砷</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0.5</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5</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铅</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1.0</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9"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6</w:t>
            </w:r>
          </w:p>
        </w:tc>
        <w:tc>
          <w:tcPr>
            <w:tcW w:w="22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镉</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0.1</w:t>
            </w:r>
          </w:p>
        </w:tc>
        <w:tc>
          <w:tcPr>
            <w:tcW w:w="212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kern w:val="2"/>
                <w:sz w:val="21"/>
                <w:szCs w:val="21"/>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theme="minorBidi"/>
          <w:b/>
          <w:bCs/>
          <w:kern w:val="2"/>
          <w:sz w:val="30"/>
          <w:szCs w:val="30"/>
          <w:lang w:val="en-US" w:eastAsia="zh-CN" w:bidi="ar-SA"/>
        </w:rPr>
      </w:pPr>
      <w:bookmarkStart w:id="27" w:name="_Toc18441"/>
      <w:r>
        <w:rPr>
          <w:rFonts w:hint="eastAsia" w:ascii="宋体" w:hAnsi="宋体" w:eastAsia="宋体" w:cstheme="minorBidi"/>
          <w:b/>
          <w:bCs/>
          <w:kern w:val="2"/>
          <w:sz w:val="30"/>
          <w:szCs w:val="30"/>
          <w:lang w:val="en-US" w:eastAsia="zh-CN" w:bidi="ar-SA"/>
        </w:rPr>
        <w:t>6.3噪声</w:t>
      </w:r>
      <w:bookmarkEnd w:id="27"/>
    </w:p>
    <w:p>
      <w:pPr>
        <w:snapToGrid w:val="0"/>
        <w:spacing w:line="360" w:lineRule="auto"/>
        <w:ind w:firstLine="560" w:firstLineChars="200"/>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本项目厂界噪声执行《工业企业厂界噪声排放标准》（GB12348-2008）3类标准。厂区周围无敏感点。厂界噪声排放限值见表6-4。</w:t>
      </w:r>
    </w:p>
    <w:p>
      <w:pPr>
        <w:pStyle w:val="2"/>
        <w:rPr>
          <w:rFonts w:hint="eastAsia"/>
          <w:lang w:val="en-US" w:eastAsia="zh-CN"/>
        </w:rPr>
      </w:pPr>
    </w:p>
    <w:p>
      <w:pPr>
        <w:pStyle w:val="2"/>
        <w:jc w:val="center"/>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表6-4  噪声排放限值</w:t>
      </w:r>
    </w:p>
    <w:p>
      <w:pPr>
        <w:pStyle w:val="2"/>
        <w:jc w:val="right"/>
        <w:rPr>
          <w:rFonts w:hint="eastAsia" w:hAnsi="宋体" w:eastAsia="宋体" w:cstheme="minorBidi"/>
          <w:b w:val="0"/>
          <w:bCs w:val="0"/>
          <w:kern w:val="2"/>
          <w:sz w:val="24"/>
          <w:szCs w:val="24"/>
          <w:lang w:val="en-US" w:eastAsia="zh-CN" w:bidi="ar-SA"/>
        </w:rPr>
      </w:pPr>
      <w:r>
        <w:rPr>
          <w:rFonts w:hint="eastAsia" w:hAnsi="宋体" w:eastAsia="宋体" w:cstheme="minorBidi"/>
          <w:b w:val="0"/>
          <w:bCs w:val="0"/>
          <w:kern w:val="2"/>
          <w:sz w:val="24"/>
          <w:szCs w:val="24"/>
          <w:lang w:val="en-US" w:eastAsia="zh-CN" w:bidi="ar-SA"/>
        </w:rPr>
        <w:t>单位：dB（A）</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888"/>
        <w:gridCol w:w="2052"/>
        <w:gridCol w:w="4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2"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类别</w:t>
            </w:r>
          </w:p>
        </w:tc>
        <w:tc>
          <w:tcPr>
            <w:tcW w:w="888"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污染物</w:t>
            </w:r>
          </w:p>
        </w:tc>
        <w:tc>
          <w:tcPr>
            <w:tcW w:w="2052"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限值</w:t>
            </w:r>
          </w:p>
        </w:tc>
        <w:tc>
          <w:tcPr>
            <w:tcW w:w="4464"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2"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厂界噪声</w:t>
            </w:r>
          </w:p>
        </w:tc>
        <w:tc>
          <w:tcPr>
            <w:tcW w:w="888"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噪声</w:t>
            </w:r>
          </w:p>
        </w:tc>
        <w:tc>
          <w:tcPr>
            <w:tcW w:w="2052" w:type="dxa"/>
            <w:tcBorders>
              <w:tl2br w:val="nil"/>
              <w:tr2bl w:val="nil"/>
            </w:tcBorders>
            <w:vAlign w:val="center"/>
          </w:tcPr>
          <w:p>
            <w:pPr>
              <w:pStyle w:val="2"/>
              <w:jc w:val="center"/>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昼间：65，夜间：55</w:t>
            </w:r>
          </w:p>
        </w:tc>
        <w:tc>
          <w:tcPr>
            <w:tcW w:w="4464" w:type="dxa"/>
            <w:tcBorders>
              <w:tl2br w:val="nil"/>
              <w:tr2bl w:val="nil"/>
            </w:tcBorders>
            <w:vAlign w:val="center"/>
          </w:tcPr>
          <w:p>
            <w:pPr>
              <w:pStyle w:val="2"/>
              <w:jc w:val="both"/>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《工业企业厂界噪声排放标准》（GB12348-2008）3类标准</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theme="minorBidi"/>
          <w:b/>
          <w:bCs/>
          <w:kern w:val="2"/>
          <w:sz w:val="30"/>
          <w:szCs w:val="30"/>
          <w:lang w:val="en-US" w:eastAsia="zh-CN" w:bidi="ar-SA"/>
        </w:rPr>
      </w:pPr>
      <w:bookmarkStart w:id="28" w:name="_Toc2250"/>
      <w:r>
        <w:rPr>
          <w:rFonts w:hint="eastAsia" w:ascii="宋体" w:hAnsi="宋体" w:eastAsia="宋体" w:cstheme="minorBidi"/>
          <w:b/>
          <w:bCs/>
          <w:kern w:val="2"/>
          <w:sz w:val="30"/>
          <w:szCs w:val="30"/>
          <w:lang w:val="en-US" w:eastAsia="zh-CN" w:bidi="ar-SA"/>
        </w:rPr>
        <w:t>6.4污染物总量控制指标</w:t>
      </w:r>
      <w:bookmarkEnd w:id="28"/>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heme="minorEastAsia" w:hAnsiTheme="minorEastAsia"/>
          <w:sz w:val="28"/>
          <w:szCs w:val="28"/>
          <w:lang w:val="en-US" w:eastAsia="zh-CN"/>
        </w:rPr>
      </w:pPr>
      <w:r>
        <w:rPr>
          <w:rFonts w:hint="eastAsia" w:ascii="宋体" w:hAnsi="宋体" w:eastAsia="宋体" w:cstheme="minorBidi"/>
          <w:b w:val="0"/>
          <w:bCs w:val="0"/>
          <w:kern w:val="2"/>
          <w:sz w:val="28"/>
          <w:szCs w:val="28"/>
          <w:lang w:val="en-US" w:eastAsia="zh-CN" w:bidi="ar-SA"/>
        </w:rPr>
        <w:t>新疆维吾尔自治区环境保护厅以新环函</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784号文《关于新疆国泰新华矿业股份有限公司准东经济技术开发区煤基精细化工循环经济工业园一期项目环境影响评价报告书的批复》对全厂和动力站总量指标进行批复：“经核定，本项目主要污染物排放总量分别为：</w:t>
      </w:r>
      <w:r>
        <w:rPr>
          <w:rFonts w:hint="eastAsia" w:asciiTheme="minorEastAsia" w:hAnsiTheme="minorEastAsia" w:eastAsiaTheme="minorEastAsia"/>
          <w:sz w:val="28"/>
          <w:szCs w:val="28"/>
          <w:lang w:val="en-US" w:eastAsia="zh-CN"/>
        </w:rPr>
        <w:t>二氧化硫2113.3吨/年、氮氧化物2104.2吨/年，</w:t>
      </w:r>
      <w:r>
        <w:rPr>
          <w:rFonts w:hint="eastAsia" w:asciiTheme="minorEastAsia" w:hAnsiTheme="minorEastAsia"/>
          <w:sz w:val="28"/>
          <w:szCs w:val="28"/>
          <w:lang w:val="en-US" w:eastAsia="zh-CN"/>
        </w:rPr>
        <w:t>其中</w:t>
      </w:r>
      <w:r>
        <w:rPr>
          <w:rFonts w:hint="eastAsia" w:asciiTheme="minorEastAsia" w:hAnsiTheme="minorEastAsia" w:eastAsiaTheme="minorEastAsia"/>
          <w:sz w:val="28"/>
          <w:szCs w:val="28"/>
          <w:lang w:val="en-US" w:eastAsia="zh-CN"/>
        </w:rPr>
        <w:t>动力站污染物排放二氧化硫为1809.5吨/年，氮氧化物为1809.5吨/年</w:t>
      </w:r>
      <w:r>
        <w:rPr>
          <w:rFonts w:hint="eastAsia" w:asciiTheme="minorEastAsia" w:hAnsiTheme="minor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Theme="minorEastAsia" w:hAnsiTheme="minorEastAsia"/>
          <w:b/>
          <w:bCs/>
          <w:sz w:val="30"/>
          <w:szCs w:val="30"/>
          <w:lang w:val="en-US" w:eastAsia="zh-CN"/>
        </w:rPr>
      </w:pPr>
      <w:bookmarkStart w:id="29" w:name="_Toc15079"/>
      <w:r>
        <w:rPr>
          <w:rFonts w:hint="eastAsia" w:asciiTheme="minorEastAsia" w:hAnsiTheme="minorEastAsia"/>
          <w:b/>
          <w:bCs/>
          <w:sz w:val="30"/>
          <w:szCs w:val="30"/>
          <w:lang w:val="en-US" w:eastAsia="zh-CN"/>
        </w:rPr>
        <w:t>6.5固体废物</w:t>
      </w:r>
      <w:bookmarkEnd w:id="29"/>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危险废物临时贮存场满足《危险废物贮存污染控制标准》(GB18597-2001)的要求，并严格按照国家有关规定执行转移联单制度，工业固废临时堆场的建设和使用满足《一般工业固体废物贮存、处置场污染控制标准》(GB18599-2001)II类场地要求。</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hAnsi="宋体" w:eastAsia="宋体" w:cs="宋体"/>
          <w:b w:val="0"/>
          <w:bCs w:val="0"/>
          <w:i w:val="0"/>
          <w:color w:val="000000"/>
          <w:kern w:val="0"/>
          <w:sz w:val="28"/>
          <w:szCs w:val="28"/>
          <w:u w:val="none"/>
          <w:lang w:val="en-US" w:eastAsia="zh-CN" w:bidi="ar"/>
        </w:rPr>
      </w:pPr>
      <w:r>
        <w:rPr>
          <w:rFonts w:hint="eastAsia" w:hAnsi="宋体" w:eastAsia="宋体" w:cstheme="minorBidi"/>
          <w:b w:val="0"/>
          <w:bCs w:val="0"/>
          <w:kern w:val="2"/>
          <w:sz w:val="28"/>
          <w:szCs w:val="28"/>
          <w:lang w:val="en-US" w:eastAsia="zh-CN" w:bidi="ar-SA"/>
        </w:rPr>
        <w:t>固体废物执行</w:t>
      </w:r>
      <w:r>
        <w:rPr>
          <w:rFonts w:hint="eastAsia" w:ascii="宋体" w:hAnsi="宋体" w:eastAsia="宋体" w:cs="宋体"/>
          <w:b w:val="0"/>
          <w:bCs w:val="0"/>
          <w:i w:val="0"/>
          <w:color w:val="000000"/>
          <w:kern w:val="0"/>
          <w:sz w:val="28"/>
          <w:szCs w:val="28"/>
          <w:u w:val="none"/>
          <w:lang w:val="en-US" w:eastAsia="zh-CN" w:bidi="ar"/>
        </w:rPr>
        <w:t>《危险废物鉴别标准 腐蚀性鉴别》（GB5085.1-2007）和《危险废物鉴别标准 浸出毒性鉴别》（GB5085.3-2007）</w:t>
      </w:r>
      <w:r>
        <w:rPr>
          <w:rFonts w:hint="eastAsia" w:hAnsi="宋体" w:eastAsia="宋体" w:cs="宋体"/>
          <w:b w:val="0"/>
          <w:bCs w:val="0"/>
          <w:i w:val="0"/>
          <w:color w:val="000000"/>
          <w:kern w:val="0"/>
          <w:sz w:val="28"/>
          <w:szCs w:val="28"/>
          <w:u w:val="none"/>
          <w:lang w:val="en-US" w:eastAsia="zh-CN" w:bidi="ar"/>
        </w:rPr>
        <w:t>标准，具体标准限值见表6-5。</w:t>
      </w:r>
    </w:p>
    <w:p>
      <w:pPr>
        <w:pStyle w:val="3"/>
        <w:jc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表6-5  固体废物标准限值</w:t>
      </w:r>
    </w:p>
    <w:p>
      <w:pPr>
        <w:pStyle w:val="3"/>
        <w:keepNext w:val="0"/>
        <w:keepLines w:val="0"/>
        <w:pageBreakBefore w:val="0"/>
        <w:widowControl w:val="0"/>
        <w:kinsoku/>
        <w:wordWrap/>
        <w:overflowPunct/>
        <w:topLinePunct w:val="0"/>
        <w:autoSpaceDE/>
        <w:autoSpaceDN/>
        <w:bidi w:val="0"/>
        <w:adjustRightInd/>
        <w:snapToGrid/>
        <w:jc w:val="right"/>
        <w:textAlignment w:val="auto"/>
        <w:rPr>
          <w:rFonts w:hint="eastAsia" w:ascii="宋体" w:hAnsi="宋体" w:eastAsia="宋体" w:cs="宋体"/>
          <w:b w:val="0"/>
          <w:bCs w:val="0"/>
          <w:i w:val="0"/>
          <w:color w:val="000000"/>
          <w:kern w:val="0"/>
          <w:sz w:val="24"/>
          <w:szCs w:val="24"/>
          <w:u w:val="none"/>
          <w:lang w:val="en-US" w:eastAsia="zh-CN" w:bidi="ar"/>
        </w:rPr>
      </w:pPr>
      <w:r>
        <w:rPr>
          <w:rFonts w:hint="eastAsia" w:ascii="宋体" w:hAnsi="宋体" w:eastAsia="宋体" w:cs="宋体"/>
          <w:b w:val="0"/>
          <w:bCs w:val="0"/>
          <w:i w:val="0"/>
          <w:color w:val="000000"/>
          <w:kern w:val="0"/>
          <w:sz w:val="24"/>
          <w:szCs w:val="24"/>
          <w:u w:val="none"/>
          <w:lang w:val="en-US" w:eastAsia="zh-CN" w:bidi="ar"/>
        </w:rPr>
        <w:t>单位：</w:t>
      </w:r>
      <w:r>
        <w:rPr>
          <w:rFonts w:hint="eastAsia" w:ascii="宋体" w:hAnsi="宋体" w:eastAsia="宋体" w:cs="宋体"/>
          <w:b w:val="0"/>
          <w:bCs w:val="0"/>
          <w:sz w:val="24"/>
          <w:szCs w:val="24"/>
          <w:vertAlign w:val="baseline"/>
          <w:lang w:val="en-US" w:eastAsia="zh-CN"/>
        </w:rPr>
        <w:t>mg/L</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834"/>
        <w:gridCol w:w="1800"/>
        <w:gridCol w:w="3470"/>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411" w:type="dxa"/>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类别</w:t>
            </w:r>
          </w:p>
        </w:tc>
        <w:tc>
          <w:tcPr>
            <w:tcW w:w="1834" w:type="dxa"/>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污染物</w:t>
            </w:r>
          </w:p>
        </w:tc>
        <w:tc>
          <w:tcPr>
            <w:tcW w:w="1800" w:type="dxa"/>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标准限值</w:t>
            </w:r>
          </w:p>
        </w:tc>
        <w:tc>
          <w:tcPr>
            <w:tcW w:w="3470" w:type="dxa"/>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restart"/>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固体废物</w:t>
            </w: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pH</w:t>
            </w:r>
          </w:p>
        </w:tc>
        <w:tc>
          <w:tcPr>
            <w:tcW w:w="180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sz w:val="21"/>
                <w:szCs w:val="21"/>
                <w:u w:val="none"/>
                <w:lang w:val="en-US" w:eastAsia="zh-CN"/>
              </w:rPr>
              <w:t>≤12.5</w:t>
            </w:r>
          </w:p>
        </w:tc>
        <w:tc>
          <w:tcPr>
            <w:tcW w:w="3471" w:type="dxa"/>
            <w:gridSpan w:val="2"/>
            <w:tcBorders>
              <w:tl2br w:val="nil"/>
              <w:tr2bl w:val="nil"/>
            </w:tcBorders>
            <w:vAlign w:val="center"/>
          </w:tcPr>
          <w:p>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b w:val="0"/>
                <w:bCs w:val="0"/>
                <w:i w:val="0"/>
                <w:color w:val="000000"/>
                <w:kern w:val="0"/>
                <w:sz w:val="21"/>
                <w:szCs w:val="21"/>
                <w:u w:val="none"/>
                <w:lang w:val="en-US" w:eastAsia="zh-CN" w:bidi="ar"/>
              </w:rPr>
              <w:t>《危险废物鉴别标准 腐蚀性鉴别》（GB5085.1-2007）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总镉</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w:t>
            </w:r>
          </w:p>
        </w:tc>
        <w:tc>
          <w:tcPr>
            <w:tcW w:w="3471" w:type="dxa"/>
            <w:gridSpan w:val="2"/>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b w:val="0"/>
                <w:bCs w:val="0"/>
                <w:i w:val="0"/>
                <w:color w:val="000000"/>
                <w:kern w:val="0"/>
                <w:sz w:val="21"/>
                <w:szCs w:val="21"/>
                <w:u w:val="none"/>
                <w:lang w:val="en-US" w:eastAsia="zh-CN" w:bidi="ar"/>
              </w:rPr>
              <w:t>《危险废物鉴别标准 浸出毒性鉴别》（GB5085.3-2007）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总汞</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0.1</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砷</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5</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总铅</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kern w:val="0"/>
                <w:sz w:val="21"/>
                <w:szCs w:val="21"/>
                <w:u w:val="none"/>
                <w:lang w:val="en-US" w:eastAsia="zh-CN" w:bidi="ar"/>
              </w:rPr>
              <w:t>5</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总铬</w:t>
            </w:r>
          </w:p>
        </w:tc>
        <w:tc>
          <w:tcPr>
            <w:tcW w:w="1800" w:type="dxa"/>
            <w:tcBorders>
              <w:tl2br w:val="nil"/>
              <w:tr2bl w:val="nil"/>
            </w:tcBorders>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总铜</w:t>
            </w:r>
          </w:p>
        </w:tc>
        <w:tc>
          <w:tcPr>
            <w:tcW w:w="1800" w:type="dxa"/>
            <w:tcBorders>
              <w:tl2br w:val="nil"/>
              <w:tr2bl w:val="nil"/>
            </w:tcBorders>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sz w:val="21"/>
                <w:szCs w:val="21"/>
                <w:u w:val="none"/>
                <w:lang w:val="en-US" w:eastAsia="zh-CN"/>
              </w:rPr>
              <w:t>100</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总锌</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100</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p>
        </w:tc>
        <w:tc>
          <w:tcPr>
            <w:tcW w:w="1834"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镍</w:t>
            </w:r>
          </w:p>
        </w:tc>
        <w:tc>
          <w:tcPr>
            <w:tcW w:w="1800" w:type="dxa"/>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5</w:t>
            </w:r>
          </w:p>
        </w:tc>
        <w:tc>
          <w:tcPr>
            <w:tcW w:w="3471" w:type="dxa"/>
            <w:gridSpan w:val="2"/>
            <w:vMerge w:val="continue"/>
            <w:tcBorders>
              <w:tl2br w:val="nil"/>
              <w:tr2bl w:val="nil"/>
            </w:tcBorders>
            <w:vAlign w:val="center"/>
          </w:tcPr>
          <w:p>
            <w:pPr>
              <w:jc w:val="center"/>
              <w:rPr>
                <w:rFonts w:hint="eastAsia" w:ascii="宋体" w:hAnsi="宋体" w:eastAsia="宋体" w:cs="宋体"/>
                <w:i w:val="0"/>
                <w:color w:val="000000"/>
                <w:sz w:val="21"/>
                <w:szCs w:val="21"/>
                <w:u w:val="none"/>
                <w:lang w:val="en-US" w:eastAsia="zh-CN"/>
              </w:rPr>
            </w:pPr>
          </w:p>
        </w:tc>
      </w:tr>
    </w:tbl>
    <w:p>
      <w:pPr>
        <w:pageBreakBefore w:val="0"/>
        <w:kinsoku/>
        <w:wordWrap/>
        <w:topLinePunct w:val="0"/>
        <w:bidi w:val="0"/>
        <w:spacing w:line="360" w:lineRule="auto"/>
        <w:ind w:firstLine="560" w:firstLineChars="200"/>
        <w:jc w:val="both"/>
        <w:rPr>
          <w:rFonts w:hint="eastAsia" w:ascii="宋体" w:hAnsi="宋体" w:eastAsia="宋体" w:cs="宋体"/>
          <w:sz w:val="28"/>
          <w:szCs w:val="28"/>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pStyle w:val="2"/>
        <w:rPr>
          <w:rFonts w:hint="eastAsia" w:ascii="宋体" w:hAnsi="宋体" w:eastAsia="宋体" w:cstheme="minorBidi"/>
          <w:b/>
          <w:bCs/>
          <w:kern w:val="2"/>
          <w:sz w:val="32"/>
          <w:szCs w:val="32"/>
          <w:lang w:val="en-US" w:eastAsia="zh-CN" w:bidi="ar-SA"/>
        </w:rPr>
      </w:pPr>
    </w:p>
    <w:p>
      <w:pPr>
        <w:pStyle w:val="3"/>
        <w:rPr>
          <w:rFonts w:hint="eastAsia" w:ascii="宋体" w:hAnsi="宋体" w:eastAsia="宋体" w:cstheme="minorBidi"/>
          <w:b/>
          <w:bCs/>
          <w:kern w:val="2"/>
          <w:sz w:val="32"/>
          <w:szCs w:val="32"/>
          <w:lang w:val="en-US" w:eastAsia="zh-CN" w:bidi="ar-SA"/>
        </w:rPr>
      </w:pPr>
    </w:p>
    <w:p>
      <w:pPr>
        <w:rPr>
          <w:rFonts w:hint="eastAsia" w:ascii="宋体" w:hAnsi="宋体" w:eastAsia="宋体" w:cstheme="minorBidi"/>
          <w:b/>
          <w:bCs/>
          <w:kern w:val="2"/>
          <w:sz w:val="32"/>
          <w:szCs w:val="32"/>
          <w:lang w:val="en-US" w:eastAsia="zh-CN" w:bidi="ar-SA"/>
        </w:rPr>
      </w:pPr>
    </w:p>
    <w:p>
      <w:pPr>
        <w:pStyle w:val="2"/>
        <w:rPr>
          <w:rFonts w:hint="eastAsia" w:ascii="宋体" w:hAnsi="宋体" w:eastAsia="宋体" w:cstheme="minorBidi"/>
          <w:b/>
          <w:bCs/>
          <w:kern w:val="2"/>
          <w:sz w:val="32"/>
          <w:szCs w:val="32"/>
          <w:lang w:val="en-US" w:eastAsia="zh-CN" w:bidi="ar-SA"/>
        </w:rPr>
      </w:pPr>
    </w:p>
    <w:p>
      <w:pPr>
        <w:pStyle w:val="3"/>
        <w:rPr>
          <w:rFonts w:hint="eastAsia" w:ascii="宋体" w:hAnsi="宋体" w:eastAsia="宋体" w:cstheme="minorBidi"/>
          <w:b/>
          <w:bCs/>
          <w:kern w:val="2"/>
          <w:sz w:val="32"/>
          <w:szCs w:val="32"/>
          <w:lang w:val="en-US" w:eastAsia="zh-CN" w:bidi="ar-SA"/>
        </w:rPr>
      </w:pPr>
    </w:p>
    <w:p>
      <w:pPr>
        <w:rPr>
          <w:rFonts w:hint="eastAsia" w:ascii="宋体" w:hAnsi="宋体" w:eastAsia="宋体" w:cstheme="minorBidi"/>
          <w:b/>
          <w:bCs/>
          <w:kern w:val="2"/>
          <w:sz w:val="32"/>
          <w:szCs w:val="32"/>
          <w:lang w:val="en-US" w:eastAsia="zh-CN" w:bidi="ar-SA"/>
        </w:rPr>
      </w:pPr>
    </w:p>
    <w:p>
      <w:pPr>
        <w:pStyle w:val="2"/>
        <w:rPr>
          <w:rFonts w:hint="eastAsia" w:ascii="宋体" w:hAnsi="宋体" w:eastAsia="宋体" w:cstheme="minorBidi"/>
          <w:b/>
          <w:bCs/>
          <w:kern w:val="2"/>
          <w:sz w:val="32"/>
          <w:szCs w:val="32"/>
          <w:lang w:val="en-US" w:eastAsia="zh-CN" w:bidi="ar-SA"/>
        </w:rPr>
      </w:pPr>
    </w:p>
    <w:p>
      <w:pPr>
        <w:pStyle w:val="3"/>
        <w:rPr>
          <w:rFonts w:hint="eastAsia" w:ascii="宋体" w:hAnsi="宋体" w:eastAsia="宋体" w:cstheme="minorBidi"/>
          <w:b/>
          <w:bCs/>
          <w:kern w:val="2"/>
          <w:sz w:val="32"/>
          <w:szCs w:val="32"/>
          <w:lang w:val="en-US" w:eastAsia="zh-CN" w:bidi="ar-SA"/>
        </w:rPr>
      </w:pPr>
    </w:p>
    <w:p>
      <w:pPr>
        <w:rPr>
          <w:rFonts w:hint="eastAsia" w:ascii="宋体" w:hAnsi="宋体" w:eastAsia="宋体" w:cstheme="minorBidi"/>
          <w:b/>
          <w:bCs/>
          <w:kern w:val="2"/>
          <w:sz w:val="32"/>
          <w:szCs w:val="32"/>
          <w:lang w:val="en-US" w:eastAsia="zh-CN" w:bidi="ar-SA"/>
        </w:rPr>
      </w:pPr>
    </w:p>
    <w:p>
      <w:pPr>
        <w:pStyle w:val="2"/>
        <w:rPr>
          <w:rFonts w:hint="eastAsia" w:ascii="宋体" w:hAnsi="宋体" w:eastAsia="宋体" w:cstheme="minorBidi"/>
          <w:b/>
          <w:bCs/>
          <w:kern w:val="2"/>
          <w:sz w:val="32"/>
          <w:szCs w:val="32"/>
          <w:lang w:val="en-US" w:eastAsia="zh-CN" w:bidi="ar-SA"/>
        </w:rPr>
      </w:pPr>
    </w:p>
    <w:p>
      <w:pPr>
        <w:pStyle w:val="3"/>
        <w:rPr>
          <w:rFonts w:hint="eastAsia" w:ascii="宋体" w:hAnsi="宋体" w:eastAsia="宋体" w:cstheme="minorBidi"/>
          <w:b/>
          <w:bCs/>
          <w:kern w:val="2"/>
          <w:sz w:val="32"/>
          <w:szCs w:val="32"/>
          <w:lang w:val="en-US" w:eastAsia="zh-CN" w:bidi="ar-SA"/>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theme="minorBidi"/>
          <w:b/>
          <w:bCs/>
          <w:kern w:val="2"/>
          <w:sz w:val="32"/>
          <w:szCs w:val="32"/>
          <w:lang w:val="en-US" w:eastAsia="zh-CN" w:bidi="ar-SA"/>
        </w:rPr>
      </w:pPr>
      <w:bookmarkStart w:id="30" w:name="_Toc3554"/>
      <w:r>
        <w:rPr>
          <w:rFonts w:hint="eastAsia" w:ascii="宋体" w:hAnsi="宋体" w:eastAsia="宋体" w:cstheme="minorBidi"/>
          <w:b/>
          <w:bCs/>
          <w:kern w:val="2"/>
          <w:sz w:val="32"/>
          <w:szCs w:val="32"/>
          <w:lang w:val="en-US" w:eastAsia="zh-CN" w:bidi="ar-SA"/>
        </w:rPr>
        <w:t>7验收监测内容</w:t>
      </w:r>
      <w:bookmarkEnd w:id="30"/>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31" w:name="_Toc17831"/>
      <w:r>
        <w:rPr>
          <w:rFonts w:hint="eastAsia" w:hAnsi="宋体" w:eastAsia="宋体" w:cstheme="minorBidi"/>
          <w:b/>
          <w:bCs/>
          <w:kern w:val="2"/>
          <w:sz w:val="30"/>
          <w:szCs w:val="30"/>
          <w:lang w:val="en-US" w:eastAsia="zh-CN" w:bidi="ar-SA"/>
        </w:rPr>
        <w:t>7.1废水</w:t>
      </w:r>
      <w:bookmarkEnd w:id="31"/>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本次验收监测期间对动力站产生的工业废水、生活污水、含煤废水、脱硫废水进行监测，含油废水产生量较少无法监测，监测内容见表7-1。</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表7-1 废水监测内容</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监测类别</w:t>
            </w:r>
          </w:p>
        </w:tc>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监测内容</w:t>
            </w:r>
          </w:p>
        </w:tc>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监测点位</w:t>
            </w:r>
          </w:p>
        </w:tc>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工业废水</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PH、SS、CODcr、BOD</w:t>
            </w:r>
            <w:r>
              <w:rPr>
                <w:rFonts w:hint="eastAsia" w:ascii="宋体" w:hAnsi="宋体" w:eastAsia="宋体" w:cstheme="minorBidi"/>
                <w:b w:val="0"/>
                <w:bCs w:val="0"/>
                <w:kern w:val="2"/>
                <w:sz w:val="21"/>
                <w:szCs w:val="21"/>
                <w:vertAlign w:val="subscript"/>
                <w:lang w:val="en-US" w:eastAsia="zh-CN" w:bidi="ar-SA"/>
              </w:rPr>
              <w:t>5</w:t>
            </w:r>
            <w:r>
              <w:rPr>
                <w:rFonts w:hint="eastAsia" w:ascii="宋体" w:hAnsi="宋体" w:eastAsia="宋体" w:cstheme="minorBidi"/>
                <w:b w:val="0"/>
                <w:bCs w:val="0"/>
                <w:kern w:val="2"/>
                <w:sz w:val="21"/>
                <w:szCs w:val="21"/>
                <w:vertAlign w:val="baseline"/>
                <w:lang w:val="en-US" w:eastAsia="zh-CN" w:bidi="ar-SA"/>
              </w:rPr>
              <w:t>、</w:t>
            </w:r>
            <w:r>
              <w:rPr>
                <w:rFonts w:hint="eastAsia" w:ascii="宋体" w:hAnsi="宋体" w:eastAsia="宋体" w:cs="宋体"/>
                <w:color w:val="auto"/>
                <w:sz w:val="21"/>
                <w:szCs w:val="21"/>
                <w:highlight w:val="none"/>
                <w:lang w:val="en-US" w:eastAsia="zh-CN"/>
              </w:rPr>
              <w:t>NH</w:t>
            </w:r>
            <w:r>
              <w:rPr>
                <w:rFonts w:hint="eastAsia" w:ascii="宋体" w:hAnsi="宋体" w:eastAsia="宋体" w:cs="宋体"/>
                <w:color w:val="auto"/>
                <w:sz w:val="21"/>
                <w:szCs w:val="21"/>
                <w:highlight w:val="none"/>
                <w:vertAlign w:val="subscript"/>
                <w:lang w:val="en-US" w:eastAsia="zh-CN"/>
              </w:rPr>
              <w:t>3</w:t>
            </w:r>
            <w:r>
              <w:rPr>
                <w:rFonts w:hint="eastAsia" w:ascii="宋体" w:hAnsi="宋体" w:eastAsia="宋体" w:cs="宋体"/>
                <w:color w:val="auto"/>
                <w:sz w:val="21"/>
                <w:szCs w:val="21"/>
                <w:highlight w:val="none"/>
                <w:lang w:val="en-US" w:eastAsia="zh-CN"/>
              </w:rPr>
              <w:t>-N、石油类、氰化物、</w:t>
            </w:r>
            <w:r>
              <w:rPr>
                <w:rFonts w:hint="eastAsia" w:ascii="宋体" w:hAnsi="宋体" w:eastAsia="宋体" w:cstheme="minorBidi"/>
                <w:b w:val="0"/>
                <w:bCs w:val="0"/>
                <w:kern w:val="2"/>
                <w:sz w:val="21"/>
                <w:szCs w:val="21"/>
                <w:vertAlign w:val="baseline"/>
                <w:lang w:val="en-US" w:eastAsia="zh-CN" w:bidi="ar-SA"/>
              </w:rPr>
              <w:t>色度、挥发酚、硫化物、锰</w:t>
            </w:r>
          </w:p>
        </w:tc>
        <w:tc>
          <w:tcPr>
            <w:tcW w:w="212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处理设施出口</w:t>
            </w:r>
          </w:p>
        </w:tc>
        <w:tc>
          <w:tcPr>
            <w:tcW w:w="212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4次/天，连续2天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生活污水</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PH、SS、CODcr、BOD</w:t>
            </w:r>
            <w:r>
              <w:rPr>
                <w:rFonts w:hint="eastAsia" w:ascii="宋体" w:hAnsi="宋体" w:eastAsia="宋体" w:cstheme="minorBidi"/>
                <w:b w:val="0"/>
                <w:bCs w:val="0"/>
                <w:kern w:val="2"/>
                <w:sz w:val="21"/>
                <w:szCs w:val="21"/>
                <w:vertAlign w:val="subscript"/>
                <w:lang w:val="en-US" w:eastAsia="zh-CN" w:bidi="ar-SA"/>
              </w:rPr>
              <w:t>5</w:t>
            </w:r>
            <w:r>
              <w:rPr>
                <w:rFonts w:hint="eastAsia" w:ascii="宋体" w:hAnsi="宋体" w:eastAsia="宋体" w:cstheme="minorBidi"/>
                <w:b w:val="0"/>
                <w:bCs w:val="0"/>
                <w:kern w:val="2"/>
                <w:sz w:val="21"/>
                <w:szCs w:val="21"/>
                <w:vertAlign w:val="baseline"/>
                <w:lang w:val="en-US" w:eastAsia="zh-CN" w:bidi="ar-SA"/>
              </w:rPr>
              <w:t>、氨氮、动植物油、氰化物、色度、挥发酚、硫化物、锰</w:t>
            </w: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含煤废水</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PH、SS</w:t>
            </w: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脱硫废水</w:t>
            </w:r>
          </w:p>
        </w:tc>
        <w:tc>
          <w:tcPr>
            <w:tcW w:w="212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PH、SS、汞、砷、铅、镉、</w:t>
            </w: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29"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jc w:val="left"/>
        <w:textAlignment w:val="auto"/>
        <w:outlineLvl w:val="1"/>
        <w:rPr>
          <w:rFonts w:hint="eastAsia" w:hAnsi="宋体" w:eastAsia="宋体" w:cstheme="minorBidi"/>
          <w:b/>
          <w:bCs/>
          <w:kern w:val="2"/>
          <w:sz w:val="30"/>
          <w:szCs w:val="30"/>
          <w:lang w:val="en-US" w:eastAsia="zh-CN" w:bidi="ar-SA"/>
        </w:rPr>
      </w:pPr>
      <w:bookmarkStart w:id="32" w:name="_Toc1575"/>
      <w:r>
        <w:rPr>
          <w:rFonts w:hint="eastAsia" w:hAnsi="宋体" w:eastAsia="宋体" w:cstheme="minorBidi"/>
          <w:b/>
          <w:bCs/>
          <w:kern w:val="2"/>
          <w:sz w:val="30"/>
          <w:szCs w:val="30"/>
          <w:lang w:val="en-US" w:eastAsia="zh-CN" w:bidi="ar-SA"/>
        </w:rPr>
        <w:t>7.2废气</w:t>
      </w:r>
      <w:bookmarkEnd w:id="32"/>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hAnsi="宋体" w:eastAsia="宋体" w:cstheme="minorBidi"/>
          <w:b/>
          <w:bCs/>
          <w:kern w:val="2"/>
          <w:sz w:val="28"/>
          <w:szCs w:val="28"/>
          <w:lang w:val="en-US" w:eastAsia="zh-CN" w:bidi="ar-SA"/>
        </w:rPr>
      </w:pPr>
      <w:bookmarkStart w:id="33" w:name="_Toc24428"/>
      <w:r>
        <w:rPr>
          <w:rFonts w:hint="eastAsia" w:hAnsi="宋体" w:eastAsia="宋体" w:cstheme="minorBidi"/>
          <w:b/>
          <w:bCs/>
          <w:kern w:val="2"/>
          <w:sz w:val="28"/>
          <w:szCs w:val="28"/>
          <w:lang w:val="en-US" w:eastAsia="zh-CN" w:bidi="ar-SA"/>
        </w:rPr>
        <w:t>7.2.1有组织废气</w:t>
      </w:r>
      <w:bookmarkEnd w:id="33"/>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机组为一开一备，本次验收监测期间1#机组进行超低排放改造，只监测2#机组。2#机组有组织废气污染物为颗粒物、二氧化硫、氮氧化物、汞及其化合物、氨和烟气黑度，输煤系统、原煤斗、电石渣仓、石灰石仓和灰库有组织污染物为颗粒物。具体监测内容见表7-2，监测点位见图7-1。</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表7-2 有组织废气监测内容</w:t>
      </w:r>
    </w:p>
    <w:tbl>
      <w:tblPr>
        <w:tblStyle w:val="12"/>
        <w:tblW w:w="85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350"/>
        <w:gridCol w:w="1646"/>
        <w:gridCol w:w="1420"/>
        <w:gridCol w:w="1421"/>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污染源</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监测环节</w:t>
            </w:r>
          </w:p>
        </w:tc>
        <w:tc>
          <w:tcPr>
            <w:tcW w:w="16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监测内容</w:t>
            </w:r>
          </w:p>
        </w:tc>
        <w:tc>
          <w:tcPr>
            <w:tcW w:w="14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监测点位</w:t>
            </w:r>
          </w:p>
        </w:tc>
        <w:tc>
          <w:tcPr>
            <w:tcW w:w="142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监测频次</w:t>
            </w: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抽测率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2#机组</w:t>
            </w:r>
          </w:p>
        </w:tc>
        <w:tc>
          <w:tcPr>
            <w:tcW w:w="13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脱硝装置</w:t>
            </w:r>
          </w:p>
        </w:tc>
        <w:tc>
          <w:tcPr>
            <w:tcW w:w="16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颗粒物、二氧化硫、氮氧化物</w:t>
            </w:r>
          </w:p>
        </w:tc>
        <w:tc>
          <w:tcPr>
            <w:tcW w:w="14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脱硝装置A、B侧进口</w:t>
            </w:r>
          </w:p>
        </w:tc>
        <w:tc>
          <w:tcPr>
            <w:tcW w:w="142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3次/天，连续2天（烟气黑度1次/天，连续2天）</w:t>
            </w: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6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颗粒物、二氧化硫、氮氧化物、氨逃逸</w:t>
            </w:r>
          </w:p>
        </w:tc>
        <w:tc>
          <w:tcPr>
            <w:tcW w:w="14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脱硝装置A、B侧出口</w:t>
            </w: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tcBorders>
              <w:tl2br w:val="nil"/>
              <w:tr2bl w:val="nil"/>
            </w:tcBorders>
            <w:vAlign w:val="center"/>
          </w:tcPr>
          <w:p>
            <w:pPr>
              <w:pStyle w:val="2"/>
              <w:keepNext w:val="0"/>
              <w:keepLines w:val="0"/>
              <w:pageBreakBefore w:val="0"/>
              <w:widowControl w:val="0"/>
              <w:tabs>
                <w:tab w:val="left" w:pos="420"/>
              </w:tabs>
              <w:kinsoku/>
              <w:wordWrap/>
              <w:overflowPunct/>
              <w:topLinePunct w:val="0"/>
              <w:autoSpaceDE/>
              <w:autoSpaceDN/>
              <w:bidi w:val="0"/>
              <w:adjustRightInd/>
              <w:snapToGrid/>
              <w:jc w:val="left"/>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ab/>
            </w: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脱硫装置</w:t>
            </w:r>
          </w:p>
        </w:tc>
        <w:tc>
          <w:tcPr>
            <w:tcW w:w="16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颗粒物、二氧化硫、氮氧化物</w:t>
            </w:r>
          </w:p>
        </w:tc>
        <w:tc>
          <w:tcPr>
            <w:tcW w:w="14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脱硫装置进口</w:t>
            </w: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64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颗粒物、二氧化硫、氮氧化物、汞及其化合物、烟气黑度</w:t>
            </w:r>
          </w:p>
        </w:tc>
        <w:tc>
          <w:tcPr>
            <w:tcW w:w="14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总排口</w:t>
            </w: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T1转运站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颗粒物</w:t>
            </w:r>
          </w:p>
        </w:tc>
        <w:tc>
          <w:tcPr>
            <w:tcW w:w="14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除尘器进、出口</w:t>
            </w:r>
          </w:p>
        </w:tc>
        <w:tc>
          <w:tcPr>
            <w:tcW w:w="142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3次/天，连续2天</w:t>
            </w: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除尘器3#</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T2转运站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T3转运站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T4转运站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T5转运站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T6转运站</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原煤斗</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除尘器出口</w:t>
            </w: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除尘器3#</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除尘器4#</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除尘器5#</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除尘器6#</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电石渣仓</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除尘器A</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除尘器B</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除尘器C</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除尘器D</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除尘器E</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除尘器F</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除尘器G</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除尘器H</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石灰石仓</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灰库</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除尘器1#</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除尘器2#</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除尘器3#</w:t>
            </w:r>
          </w:p>
        </w:tc>
        <w:tc>
          <w:tcPr>
            <w:tcW w:w="164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2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14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521" w:type="dxa"/>
            <w:gridSpan w:val="6"/>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备注：根据《建设项目竣工环境保护验收技术指南 污染影响类》中验收监测频次确定原则，对型号、功能相同的多个小型环境保护设施和污染物排放监测，可采取随机抽测方法进行。设施总数大于5个小于20个的，随机抽测设施数量比例应不小于同样设施总数量的50%。</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r>
        <w:rPr>
          <w:sz w:val="28"/>
        </w:rPr>
        <w:pict>
          <v:shape id="_x0000_s1168" o:spid="_x0000_s1168" o:spt="3" type="#_x0000_t3" style="position:absolute;left:0pt;margin-left:353.2pt;margin-top:24.45pt;height:117pt;width:60pt;mso-wrap-distance-bottom:0pt;mso-wrap-distance-left:9pt;mso-wrap-distance-right:9pt;mso-wrap-distance-top:0pt;z-index:-1544445952;mso-width-relative:page;mso-height-relative:page;" fillcolor="#FFFFFF" filled="t" stroked="t" coordsize="21600,21600">
            <v:path/>
            <v:fill on="t" color2="#FFFFFF" focussize="0,0"/>
            <v:stroke color="#000000"/>
            <v:imagedata o:title=""/>
            <o:lock v:ext="edit" aspectratio="f"/>
            <v:textbox>
              <w:txbxContent>
                <w:p>
                  <w:pPr>
                    <w:rPr>
                      <w:rFonts w:hint="eastAsia"/>
                      <w:lang w:eastAsia="zh-CN"/>
                    </w:rPr>
                  </w:pPr>
                </w:p>
                <w:p>
                  <w:pPr>
                    <w:rPr>
                      <w:rFonts w:hint="eastAsia"/>
                      <w:lang w:eastAsia="zh-CN"/>
                    </w:rPr>
                  </w:pPr>
                </w:p>
                <w:p>
                  <w:pPr>
                    <w:rPr>
                      <w:rFonts w:hint="eastAsia" w:eastAsiaTheme="minorEastAsia"/>
                      <w:lang w:eastAsia="zh-CN"/>
                    </w:rPr>
                  </w:pPr>
                  <w:r>
                    <w:rPr>
                      <w:rFonts w:hint="eastAsia"/>
                      <w:lang w:eastAsia="zh-CN"/>
                    </w:rPr>
                    <w:t>总排口</w:t>
                  </w:r>
                </w:p>
              </w:txbxContent>
            </v:textbox>
            <w10:wrap type="square"/>
          </v:shape>
        </w:pict>
      </w:r>
      <w:r>
        <w:rPr>
          <w:sz w:val="28"/>
        </w:rPr>
        <w:pict>
          <v:shape id="_x0000_s1172" o:spid="_x0000_s1172" o:spt="23" type="#_x0000_t23" style="position:absolute;left:0pt;margin-left:171.4pt;margin-top:28.65pt;height:11.4pt;width:13.2pt;z-index:-1872068608;mso-width-relative:page;mso-height-relative:page;" fillcolor="#FFFFFF" filled="t" stroked="t" coordsize="21600,21600" adj="5400">
            <v:path/>
            <v:fill on="t" color2="#FFFFFF" focussize="0,0"/>
            <v:stroke color="#000000"/>
            <v:imagedata o:title=""/>
            <o:lock v:ext="edit" aspectratio="f"/>
          </v:shape>
        </w:pict>
      </w:r>
      <w:r>
        <w:rPr>
          <w:sz w:val="28"/>
        </w:rPr>
        <w:pict>
          <v:shape id="_x0000_s1169" o:spid="_x0000_s1169" o:spt="23" type="#_x0000_t23" style="position:absolute;left:0pt;margin-left:105.4pt;margin-top:30.45pt;height:11.4pt;width:13.2pt;z-index:-456251392;mso-width-relative:page;mso-height-relative:page;" fillcolor="#FFFFFF" filled="t" stroked="t" coordsize="21600,21600" adj="5400">
            <v:path/>
            <v:fill on="t" color2="#FFFFFF" focussize="0,0"/>
            <v:stroke color="#000000"/>
            <v:imagedata o:title=""/>
            <o:lock v:ext="edit" aspectratio="f"/>
          </v:shape>
        </w:pict>
      </w:r>
      <w:r>
        <w:rPr>
          <w:sz w:val="28"/>
        </w:rPr>
        <w:pict>
          <v:rect id="_x0000_s1160" o:spid="_x0000_s1160" o:spt="1" style="position:absolute;left:0pt;margin-left:190.6pt;margin-top:3.65pt;height:154.8pt;width:45.6pt;z-index:-456254464;mso-width-relative:page;mso-height-relative:page;" fillcolor="#FFFFFF" filled="t" stroked="t" coordsize="21600,21600">
            <v:path/>
            <v:fill on="t" color2="#FFFFFF" focussize="0,0"/>
            <v:stroke color="#000000"/>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t>布</w:t>
                  </w:r>
                </w:p>
                <w:p>
                  <w:pPr>
                    <w:jc w:val="center"/>
                    <w:rPr>
                      <w:rFonts w:hint="eastAsia"/>
                      <w:lang w:eastAsia="zh-CN"/>
                    </w:rPr>
                  </w:pPr>
                  <w:r>
                    <w:rPr>
                      <w:rFonts w:hint="eastAsia"/>
                      <w:lang w:eastAsia="zh-CN"/>
                    </w:rPr>
                    <w:t>袋</w:t>
                  </w:r>
                </w:p>
                <w:p>
                  <w:pPr>
                    <w:jc w:val="center"/>
                    <w:rPr>
                      <w:rFonts w:hint="eastAsia"/>
                      <w:lang w:eastAsia="zh-CN"/>
                    </w:rPr>
                  </w:pPr>
                  <w:r>
                    <w:rPr>
                      <w:rFonts w:hint="eastAsia"/>
                      <w:lang w:eastAsia="zh-CN"/>
                    </w:rPr>
                    <w:t>除</w:t>
                  </w:r>
                </w:p>
                <w:p>
                  <w:pPr>
                    <w:jc w:val="center"/>
                    <w:rPr>
                      <w:rFonts w:hint="eastAsia"/>
                      <w:lang w:eastAsia="zh-CN"/>
                    </w:rPr>
                  </w:pPr>
                  <w:r>
                    <w:rPr>
                      <w:rFonts w:hint="eastAsia"/>
                      <w:lang w:eastAsia="zh-CN"/>
                    </w:rPr>
                    <w:t>尘</w:t>
                  </w:r>
                </w:p>
                <w:p>
                  <w:pPr>
                    <w:jc w:val="center"/>
                    <w:rPr>
                      <w:rFonts w:hint="eastAsia" w:eastAsiaTheme="minorEastAsia"/>
                      <w:lang w:eastAsia="zh-CN"/>
                    </w:rPr>
                  </w:pPr>
                  <w:r>
                    <w:rPr>
                      <w:rFonts w:hint="eastAsia"/>
                      <w:lang w:eastAsia="zh-CN"/>
                    </w:rPr>
                    <w:t>器</w:t>
                  </w:r>
                </w:p>
              </w:txbxContent>
            </v:textbox>
          </v:rect>
        </w:pict>
      </w:r>
      <w:r>
        <w:rPr>
          <w:sz w:val="28"/>
        </w:rPr>
        <w:pict>
          <v:rect id="_x0000_s1156" o:spid="_x0000_s1156" o:spt="1" style="position:absolute;left:0pt;margin-left:125.75pt;margin-top:23.45pt;height:43.8pt;width:38.45pt;z-index:2045184000;mso-width-relative:page;mso-height-relative:page;" fillcolor="#FFFFFF" filled="t" stroked="t" coordsize="21600,21600">
            <v:path/>
            <v:fill on="t" color2="#FFFFFF" focussize="0,0"/>
            <v:stroke color="#000000"/>
            <v:imagedata o:title=""/>
            <o:lock v:ext="edit" aspectratio="f"/>
            <v:textbox>
              <w:txbxContent>
                <w:p>
                  <w:pPr>
                    <w:rPr>
                      <w:rFonts w:hint="eastAsia" w:eastAsiaTheme="minorEastAsia"/>
                      <w:lang w:val="en-US" w:eastAsia="zh-CN"/>
                    </w:rPr>
                  </w:pPr>
                  <w:r>
                    <w:rPr>
                      <w:rFonts w:hint="eastAsia"/>
                      <w:lang w:eastAsia="zh-CN"/>
                    </w:rPr>
                    <w:t>脱硝</w:t>
                  </w:r>
                  <w:r>
                    <w:rPr>
                      <w:rFonts w:hint="eastAsia"/>
                      <w:lang w:val="en-US" w:eastAsia="zh-CN"/>
                    </w:rPr>
                    <w:t>A侧</w:t>
                  </w:r>
                </w:p>
              </w:txbxContent>
            </v:textbox>
          </v:rect>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r>
        <w:rPr>
          <w:sz w:val="28"/>
        </w:rPr>
        <w:pict>
          <v:shape id="_x0000_s1162" o:spid="_x0000_s1162" o:spt="3" type="#_x0000_t3" style="position:absolute;left:0pt;margin-left:277.6pt;margin-top:19.75pt;height:60.6pt;width:48pt;z-index:-456253440;mso-width-relative:page;mso-height-relative:page;" fillcolor="#FFFFFF" filled="t" stroked="t" coordsize="21600,21600">
            <v:path/>
            <v:fill on="t" color2="#FFFFFF" focussize="0,0"/>
            <v:stroke color="#000000"/>
            <v:imagedata o:title=""/>
            <o:lock v:ext="edit" aspectratio="f"/>
            <v:textbox>
              <w:txbxContent>
                <w:p>
                  <w:pPr>
                    <w:rPr>
                      <w:rFonts w:hint="eastAsia" w:eastAsiaTheme="minorEastAsia"/>
                      <w:lang w:eastAsia="zh-CN"/>
                    </w:rPr>
                  </w:pPr>
                  <w:r>
                    <w:rPr>
                      <w:rFonts w:hint="eastAsia"/>
                      <w:lang w:eastAsia="zh-CN"/>
                    </w:rPr>
                    <w:t>脱硫塔</w:t>
                  </w:r>
                </w:p>
              </w:txbxContent>
            </v:textbox>
          </v:shape>
        </w:pict>
      </w:r>
      <w:r>
        <w:rPr>
          <w:sz w:val="28"/>
        </w:rPr>
        <w:pict>
          <v:line id="_x0000_s1158" o:spid="_x0000_s1158" o:spt="20" style="position:absolute;left:0pt;margin-left:164.8pt;margin-top:13.75pt;height:0.05pt;width:23.4pt;z-index:-456255488;mso-width-relative:page;mso-height-relative:page;" fillcolor="#FFFFFF" filled="t" stroked="t" coordsize="21600,21600">
            <v:path arrowok="t"/>
            <v:fill on="t" color2="#FFFFFF" focussize="0,0"/>
            <v:stroke color="#000000" endarrow="open"/>
            <v:imagedata o:title=""/>
            <o:lock v:ext="edit" aspectratio="f"/>
          </v:line>
        </w:pict>
      </w:r>
      <w:r>
        <w:rPr>
          <w:sz w:val="28"/>
        </w:rPr>
        <w:pict>
          <v:shape id="_x0000_s1154" o:spid="_x0000_s1154" o:spt="34" type="#_x0000_t34" style="position:absolute;left:0pt;flip:y;margin-left:80.8pt;margin-top:15.55pt;height:35.4pt;width:43.8pt;z-index:2045181952;mso-width-relative:page;mso-height-relative:page;" filled="f" stroked="t" coordsize="21600,21600" adj="10825">
            <v:path arrowok="t"/>
            <v:fill on="f" focussize="0,0"/>
            <v:stroke color="#000000" joinstyle="miter" endarrow="block"/>
            <v:imagedata o:title=""/>
            <o:lock v:ext="edit" aspectratio="f"/>
          </v:shape>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r>
        <w:rPr>
          <w:sz w:val="28"/>
        </w:rPr>
        <w:pict>
          <v:shape id="_x0000_s1175" o:spid="_x0000_s1175" o:spt="23" type="#_x0000_t23" style="position:absolute;left:0pt;margin-left:418.6pt;margin-top:14.65pt;height:11.4pt;width:13.2pt;z-index:-959566848;mso-width-relative:page;mso-height-relative:page;" fillcolor="#FFFFFF" filled="t" stroked="t" coordsize="21600,21600" adj="5400">
            <v:path/>
            <v:fill on="t" color2="#FFFFFF" focussize="0,0"/>
            <v:stroke color="#000000"/>
            <v:imagedata o:title=""/>
            <o:lock v:ext="edit" aspectratio="f"/>
          </v:shape>
        </w:pict>
      </w:r>
      <w:r>
        <w:rPr>
          <w:sz w:val="28"/>
        </w:rPr>
        <w:pict>
          <v:line id="_x0000_s1163" o:spid="_x0000_s1163" o:spt="20" style="position:absolute;left:0pt;margin-left:327.4pt;margin-top:17.75pt;height:0.05pt;width:25.85pt;z-index:-1872077824;mso-width-relative:page;mso-height-relative:page;" filled="f" stroked="t" coordsize="21600,21600">
            <v:path arrowok="t"/>
            <v:fill on="f" focussize="0,0"/>
            <v:stroke color="#000000" endarrow="open"/>
            <v:imagedata o:title=""/>
            <o:lock v:ext="edit" aspectratio="f"/>
          </v:line>
        </w:pict>
      </w:r>
      <w:r>
        <w:rPr>
          <w:sz w:val="28"/>
        </w:rPr>
        <w:pict>
          <v:line id="_x0000_s1161" o:spid="_x0000_s1161" o:spt="20" style="position:absolute;left:0pt;margin-left:237.4pt;margin-top:17.75pt;height:0.05pt;width:39.6pt;z-index:-1164167168;mso-width-relative:page;mso-height-relative:page;" filled="f" stroked="t" coordsize="21600,21600">
            <v:path arrowok="t"/>
            <v:fill on="f" focussize="0,0"/>
            <v:stroke color="#000000" endarrow="open"/>
            <v:imagedata o:title=""/>
            <o:lock v:ext="edit" aspectratio="f"/>
          </v:line>
        </w:pict>
      </w:r>
      <w:r>
        <w:rPr>
          <w:sz w:val="28"/>
        </w:rPr>
        <w:pict>
          <v:shape id="_x0000_s1174" o:spid="_x0000_s1174" o:spt="23" type="#_x0000_t23" style="position:absolute;left:0pt;margin-left:250.6pt;margin-top:26.65pt;height:11.4pt;width:13.2pt;z-index:-1872068608;mso-width-relative:page;mso-height-relative:page;" fillcolor="#FFFFFF" filled="t" stroked="t" coordsize="21600,21600" adj="5400">
            <v:path/>
            <v:fill on="t" color2="#FFFFFF" focussize="0,0"/>
            <v:stroke color="#000000"/>
            <v:imagedata o:title=""/>
            <o:lock v:ext="edit" aspectratio="f"/>
          </v:shape>
        </w:pict>
      </w:r>
      <w:r>
        <w:rPr>
          <w:sz w:val="28"/>
        </w:rPr>
        <w:pict>
          <v:rect id="_x0000_s1157" o:spid="_x0000_s1157" o:spt="1" style="position:absolute;left:0pt;margin-left:125.75pt;margin-top:29.85pt;height:43.8pt;width:38.45pt;z-index:-456256512;mso-width-relative:page;mso-height-relative:page;" fillcolor="#FFFFFF" filled="t" stroked="t" coordsize="21600,21600">
            <v:path/>
            <v:fill on="t" color2="#FFFFFF" focussize="0,0"/>
            <v:stroke color="#000000"/>
            <v:imagedata o:title=""/>
            <o:lock v:ext="edit" aspectratio="f"/>
            <v:textbox>
              <w:txbxContent>
                <w:p>
                  <w:pPr>
                    <w:rPr>
                      <w:rFonts w:hint="eastAsia" w:eastAsiaTheme="minorEastAsia"/>
                      <w:lang w:val="en-US" w:eastAsia="zh-CN"/>
                    </w:rPr>
                  </w:pPr>
                  <w:r>
                    <w:rPr>
                      <w:rFonts w:hint="eastAsia"/>
                      <w:lang w:eastAsia="zh-CN"/>
                    </w:rPr>
                    <w:t>脱硝</w:t>
                  </w:r>
                  <w:r>
                    <w:rPr>
                      <w:rFonts w:hint="eastAsia"/>
                      <w:lang w:val="en-US" w:eastAsia="zh-CN"/>
                    </w:rPr>
                    <w:t>B侧</w:t>
                  </w:r>
                </w:p>
              </w:txbxContent>
            </v:textbox>
          </v:rect>
        </w:pict>
      </w:r>
      <w:r>
        <w:rPr>
          <w:sz w:val="28"/>
        </w:rPr>
        <w:pict>
          <v:shape id="_x0000_s1155" o:spid="_x0000_s1155" o:spt="34" type="#_x0000_t34" style="position:absolute;left:0pt;margin-left:80.2pt;margin-top:18.45pt;height:32.4pt;width:45.6pt;z-index:2045182976;mso-width-relative:page;mso-height-relative:page;" filled="f" stroked="t" coordsize="21600,21600" adj="10800">
            <v:path arrowok="t"/>
            <v:fill on="f" focussize="0,0"/>
            <v:stroke color="#000000" joinstyle="miter" endarrow="block"/>
            <v:imagedata o:title=""/>
            <o:lock v:ext="edit" aspectratio="f"/>
          </v:shape>
        </w:pict>
      </w:r>
      <w:r>
        <w:rPr>
          <w:sz w:val="28"/>
        </w:rPr>
        <w:pict>
          <v:rect id="_x0000_s1152" o:spid="_x0000_s1152" o:spt="1" style="position:absolute;left:0pt;margin-left:20.8pt;margin-top:1.65pt;height:33.6pt;width:59.4pt;z-index:2045179904;mso-width-relative:page;mso-height-relative:page;" fillcolor="#FFFFFF" filled="t" stroked="t" coordsize="21600,21600">
            <v:path/>
            <v:fill on="t" color2="#FFFFFF" focussize="0,0"/>
            <v:stroke color="#000000"/>
            <v:imagedata o:title=""/>
            <o:lock v:ext="edit" aspectratio="f"/>
            <v:textbox>
              <w:txbxContent>
                <w:p>
                  <w:pPr>
                    <w:jc w:val="center"/>
                    <w:rPr>
                      <w:rFonts w:hint="eastAsia" w:eastAsiaTheme="minorEastAsia"/>
                      <w:lang w:eastAsia="zh-CN"/>
                    </w:rPr>
                  </w:pPr>
                  <w:r>
                    <w:rPr>
                      <w:rFonts w:hint="eastAsia"/>
                      <w:lang w:eastAsia="zh-CN"/>
                    </w:rPr>
                    <w:t>锅炉</w:t>
                  </w:r>
                </w:p>
              </w:txbxContent>
            </v:textbox>
          </v:rect>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r>
        <w:rPr>
          <w:sz w:val="28"/>
        </w:rPr>
        <w:pict>
          <v:shape id="_x0000_s1173" o:spid="_x0000_s1173" o:spt="23" type="#_x0000_t23" style="position:absolute;left:0pt;margin-left:170.8pt;margin-top:25.35pt;height:11.4pt;width:13.2pt;z-index:-1872068608;mso-width-relative:page;mso-height-relative:page;" fillcolor="#FFFFFF" filled="t" stroked="t" coordsize="21600,21600" adj="5400">
            <v:path/>
            <v:fill on="t" color2="#FFFFFF" focussize="0,0"/>
            <v:stroke color="#000000"/>
            <v:imagedata o:title=""/>
            <o:lock v:ext="edit" aspectratio="f"/>
          </v:shape>
        </w:pict>
      </w:r>
      <w:r>
        <w:rPr>
          <w:sz w:val="28"/>
        </w:rPr>
        <w:pict>
          <v:shape id="_x0000_s1170" o:spid="_x0000_s1170" o:spt="23" type="#_x0000_t23" style="position:absolute;left:0pt;margin-left:106pt;margin-top:22.95pt;height:11.4pt;width:13.2pt;z-index:-1164160000;mso-width-relative:page;mso-height-relative:page;" fillcolor="#FFFFFF" filled="t" stroked="t" coordsize="21600,21600" adj="5400">
            <v:path/>
            <v:fill on="t" color2="#FFFFFF" focussize="0,0"/>
            <v:stroke color="#000000"/>
            <v:imagedata o:title=""/>
            <o:lock v:ext="edit" aspectratio="f"/>
          </v:shape>
        </w:pict>
      </w:r>
      <w:r>
        <w:rPr>
          <w:sz w:val="28"/>
        </w:rPr>
        <w:pict>
          <v:line id="_x0000_s1159" o:spid="_x0000_s1159" o:spt="20" style="position:absolute;left:0pt;margin-left:164.8pt;margin-top:19.55pt;height:0.05pt;width:23.4pt;z-index:-1164168192;mso-width-relative:page;mso-height-relative:page;" fillcolor="#FFFFFF" filled="t" stroked="t" coordsize="21600,21600">
            <v:path arrowok="t"/>
            <v:fill on="t" color2="#FFFFFF" focussize="0,0"/>
            <v:stroke color="#000000" endarrow="open"/>
            <v:imagedata o:title=""/>
            <o:lock v:ext="edit" aspectratio="f"/>
          </v:line>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Ansi="宋体" w:eastAsia="宋体" w:cstheme="minorBidi"/>
          <w:b/>
          <w:bCs/>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eastAsia="宋体" w:cstheme="minorBidi"/>
          <w:b/>
          <w:bCs/>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eastAsia="宋体" w:cstheme="minorBidi"/>
          <w:b w:val="0"/>
          <w:bCs w:val="0"/>
          <w:kern w:val="2"/>
          <w:sz w:val="24"/>
          <w:szCs w:val="24"/>
          <w:lang w:val="en-US" w:eastAsia="zh-CN" w:bidi="ar-SA"/>
        </w:rPr>
      </w:pPr>
      <w:r>
        <w:rPr>
          <w:b w:val="0"/>
          <w:bCs w:val="0"/>
          <w:sz w:val="28"/>
        </w:rPr>
        <w:pict>
          <v:shape id="_x0000_s1187" o:spid="_x0000_s1187" o:spt="23" type="#_x0000_t23" style="position:absolute;left:0pt;margin-left:20.65pt;margin-top:2.2pt;height:11.4pt;width:13.2pt;z-index:1337866240;mso-width-relative:page;mso-height-relative:page;" fillcolor="#FFFFFF" filled="t" stroked="t" coordsize="21600,21600" adj="5400">
            <v:path/>
            <v:fill on="t" color2="#FFFFFF" focussize="0,0"/>
            <v:stroke color="#000000"/>
            <v:imagedata o:title=""/>
            <o:lock v:ext="edit" aspectratio="f"/>
          </v:shape>
        </w:pict>
      </w:r>
      <w:r>
        <w:rPr>
          <w:rFonts w:hint="eastAsia" w:hAnsi="宋体" w:eastAsia="宋体" w:cstheme="minorBidi"/>
          <w:b w:val="0"/>
          <w:bCs w:val="0"/>
          <w:kern w:val="2"/>
          <w:sz w:val="24"/>
          <w:szCs w:val="24"/>
          <w:lang w:val="en-US" w:eastAsia="zh-CN" w:bidi="ar-SA"/>
        </w:rPr>
        <w:t>注：   为有组织废气监测点</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图7-1  锅炉监测点位图</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cstheme="minorBidi"/>
          <w:b/>
          <w:bCs/>
          <w:kern w:val="2"/>
          <w:sz w:val="28"/>
          <w:szCs w:val="28"/>
          <w:lang w:val="en-US" w:eastAsia="zh-CN" w:bidi="ar-SA"/>
        </w:rPr>
      </w:pPr>
      <w:bookmarkStart w:id="34" w:name="_Toc19648"/>
      <w:r>
        <w:rPr>
          <w:rFonts w:hint="eastAsia" w:hAnsi="宋体" w:eastAsia="宋体" w:cstheme="minorBidi"/>
          <w:b/>
          <w:bCs/>
          <w:kern w:val="2"/>
          <w:sz w:val="28"/>
          <w:szCs w:val="28"/>
          <w:lang w:val="en-US" w:eastAsia="zh-CN" w:bidi="ar-SA"/>
        </w:rPr>
        <w:t>7.2.2无组织废气</w:t>
      </w:r>
      <w:bookmarkEnd w:id="34"/>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无组织废气污染物主要为氨区周围氨排放；动力站为化工装置区配套工程，与化工装置区均在项目厂区内，不再单独监测动力站厂界无组织。验收监测内容见表7-3，无组织废气监测气相参数见表7-4、表7-5，监测点位见图7-2。</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表7-3  无组织废气监测内容</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来源</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监测内容</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监测点位</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氨区</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氨</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氨区四周</w:t>
            </w:r>
          </w:p>
        </w:tc>
        <w:tc>
          <w:tcPr>
            <w:tcW w:w="21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ascii="宋体" w:hAnsi="宋体" w:eastAsia="宋体" w:cstheme="minorBidi"/>
                <w:b w:val="0"/>
                <w:bCs w:val="0"/>
                <w:kern w:val="2"/>
                <w:sz w:val="21"/>
                <w:szCs w:val="21"/>
                <w:vertAlign w:val="baseline"/>
                <w:lang w:val="en-US" w:eastAsia="zh-CN" w:bidi="ar-SA"/>
              </w:rPr>
              <w:t>4次/天，连续2天</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r>
        <w:rPr>
          <w:sz w:val="30"/>
        </w:rPr>
        <w:pict>
          <v:shape id="_x0000_s1031" o:spid="_x0000_s1031" o:spt="3" type="#_x0000_t3" style="position:absolute;left:0pt;margin-left:275.4pt;margin-top:30.35pt;height:12.05pt;width:12.8pt;z-index:2045776896;mso-width-relative:page;mso-height-relative:page;" fillcolor="#FFFFFF" filled="t" stroked="t" coordsize="21600,21600">
            <v:path/>
            <v:fill on="t" color2="#FFFFFF" focussize="0,0"/>
            <v:stroke color="#000000" endarrow="open"/>
            <v:imagedata o:title=""/>
            <o:lock v:ext="edit" aspectratio="f"/>
          </v:shape>
        </w:pict>
      </w:r>
      <w:r>
        <w:rPr>
          <w:sz w:val="30"/>
        </w:rPr>
        <w:pict>
          <v:shape id="_x0000_s1052" o:spid="_x0000_s1052" o:spt="202" type="#_x0000_t202" style="position:absolute;left:0pt;margin-left:282.9pt;margin-top:23.6pt;height:27pt;width:42.75pt;z-index:-1218744320;mso-width-relative:page;mso-height-relative:page;" fillcolor="#FFFFFF" filled="t" stroked="t" coordsize="21600,21600">
            <v:path/>
            <v:fill on="t" color2="#FFFFFF" focussize="0,0"/>
            <v:stroke color="#FFFFFF" endarrow="open"/>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G2</w:t>
                  </w:r>
                </w:p>
              </w:txbxContent>
            </v:textbox>
          </v:shape>
        </w:pict>
      </w:r>
      <w:r>
        <w:rPr>
          <w:sz w:val="30"/>
        </w:rPr>
        <w:pict>
          <v:shape id="_x0000_s1030" o:spid="_x0000_s1030" o:spt="202" type="#_x0000_t202" style="position:absolute;left:0pt;margin-left:381.15pt;margin-top:12.35pt;height:35.2pt;width:36pt;z-index:-1599407104;mso-width-relative:page;mso-height-relative:page;" fillcolor="#FFFFFF" filled="t" stroked="t" coordsize="21600,21600">
            <v:path/>
            <v:fill on="t" color2="#FFFFFF" focussize="0,0"/>
            <v:stroke color="#FFFFFF" endarrow="open"/>
            <v:imagedata o:title=""/>
            <o:lock v:ext="edit" aspectratio="f"/>
            <v:textbox>
              <w:txbxContent>
                <w:p>
                  <w:pPr>
                    <w:rPr>
                      <w:rFonts w:hint="eastAsia" w:eastAsiaTheme="minorEastAsia"/>
                      <w:sz w:val="30"/>
                      <w:szCs w:val="30"/>
                      <w:lang w:val="en-US" w:eastAsia="zh-CN"/>
                    </w:rPr>
                  </w:pPr>
                  <w:r>
                    <w:rPr>
                      <w:rFonts w:hint="eastAsia"/>
                      <w:sz w:val="30"/>
                      <w:szCs w:val="30"/>
                      <w:lang w:val="en-US" w:eastAsia="zh-CN"/>
                    </w:rPr>
                    <w:t>N</w:t>
                  </w:r>
                </w:p>
              </w:txbxContent>
            </v:textbox>
          </v:shape>
        </w:pict>
      </w:r>
      <w:r>
        <w:rPr>
          <w:sz w:val="30"/>
        </w:rPr>
        <w:pict>
          <v:line id="_x0000_s1029" o:spid="_x0000_s1029" o:spt="20" style="position:absolute;left:0pt;flip:x y;margin-left:403.7pt;margin-top:18.35pt;height:57.8pt;width:18.7pt;z-index:2045775872;mso-width-relative:page;mso-height-relative:page;" fillcolor="#FFFFFF" filled="t" stroked="t" coordsize="21600,21600">
            <v:path arrowok="t"/>
            <v:fill on="t" color2="#FFFFFF" focussize="0,0"/>
            <v:stroke weight="1.5pt" color="#000000" endarrow="open"/>
            <v:imagedata o:title=""/>
            <o:lock v:ext="edit" aspectratio="f"/>
          </v:line>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r>
        <w:rPr>
          <w:sz w:val="30"/>
        </w:rPr>
        <w:pict>
          <v:rect id="_x0000_s1027" o:spid="_x0000_s1027" o:spt="1" style="position:absolute;left:0pt;margin-left:65.4pt;margin-top:26.2pt;height:61.5pt;width:81.75pt;z-index:2045776896;mso-width-relative:page;mso-height-relative:page;" fillcolor="#FFFFFF" filled="t" stroked="t" coordsize="21600,21600">
            <v:path/>
            <v:fill on="t" color2="#FFFFFF" focussize="0,0"/>
            <v:stroke color="#000000"/>
            <v:imagedata o:title=""/>
            <o:lock v:ext="edit" aspectratio="f"/>
            <v:textbox>
              <w:txbxContent>
                <w:p>
                  <w:pPr>
                    <w:ind w:firstLine="280" w:firstLineChars="100"/>
                    <w:jc w:val="center"/>
                    <w:rPr>
                      <w:rFonts w:hint="eastAsia" w:eastAsiaTheme="minorEastAsia"/>
                      <w:sz w:val="28"/>
                      <w:szCs w:val="28"/>
                      <w:lang w:eastAsia="zh-CN"/>
                    </w:rPr>
                  </w:pPr>
                  <w:r>
                    <w:rPr>
                      <w:rFonts w:hint="eastAsia"/>
                      <w:sz w:val="28"/>
                      <w:szCs w:val="28"/>
                      <w:lang w:eastAsia="zh-CN"/>
                    </w:rPr>
                    <w:t>油罐区</w:t>
                  </w:r>
                </w:p>
              </w:txbxContent>
            </v:textbox>
          </v:rect>
        </w:pict>
      </w:r>
      <w:r>
        <w:rPr>
          <w:sz w:val="30"/>
        </w:rPr>
        <w:pict>
          <v:rect id="_x0000_s1026" o:spid="_x0000_s1026" o:spt="1" style="position:absolute;left:0pt;margin-left:204.15pt;margin-top:19.45pt;height:161.2pt;width:138pt;z-index:2045775872;mso-width-relative:page;mso-height-relative:page;" fillcolor="#FFFFFF" filled="t" stroked="t" coordsize="21600,21600">
            <v:path/>
            <v:fill on="t" color2="#FFFFFF" focussize="0,0"/>
            <v:stroke color="#000000"/>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Theme="minorEastAsia"/>
                      <w:sz w:val="28"/>
                      <w:szCs w:val="28"/>
                      <w:lang w:eastAsia="zh-CN"/>
                    </w:rPr>
                  </w:pPr>
                  <w:r>
                    <w:rPr>
                      <w:rFonts w:hint="eastAsia"/>
                      <w:sz w:val="28"/>
                      <w:szCs w:val="28"/>
                      <w:lang w:eastAsia="zh-CN"/>
                    </w:rPr>
                    <w:t>氨</w:t>
                  </w:r>
                  <w:r>
                    <w:rPr>
                      <w:rFonts w:hint="eastAsia"/>
                      <w:sz w:val="28"/>
                      <w:szCs w:val="28"/>
                      <w:lang w:val="en-US" w:eastAsia="zh-CN"/>
                    </w:rPr>
                    <w:t xml:space="preserve"> </w:t>
                  </w:r>
                  <w:r>
                    <w:rPr>
                      <w:rFonts w:hint="eastAsia"/>
                      <w:sz w:val="28"/>
                      <w:szCs w:val="28"/>
                      <w:lang w:eastAsia="zh-CN"/>
                    </w:rPr>
                    <w:t>区</w:t>
                  </w:r>
                </w:p>
              </w:txbxContent>
            </v:textbox>
          </v:rect>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r>
        <w:rPr>
          <w:sz w:val="30"/>
        </w:rPr>
        <w:pict>
          <v:shape id="_x0000_s1053" o:spid="_x0000_s1053" o:spt="202" type="#_x0000_t202" style="position:absolute;left:0pt;margin-left:348.9pt;margin-top:14.15pt;height:27pt;width:42.75pt;z-index:-2102722560;mso-width-relative:page;mso-height-relative:page;" fillcolor="#FFFFFF" filled="t" stroked="t" coordsize="21600,21600">
            <v:path/>
            <v:fill on="t" color2="#FFFFFF" focussize="0,0"/>
            <v:stroke color="#FFFFFF" endarrow="open"/>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G3</w:t>
                  </w:r>
                </w:p>
              </w:txbxContent>
            </v:textbox>
          </v:shape>
        </w:pict>
      </w:r>
      <w:r>
        <w:rPr>
          <w:sz w:val="30"/>
        </w:rPr>
        <w:pict>
          <v:shape id="_x0000_s1048" o:spid="_x0000_s1048" o:spt="202" type="#_x0000_t202" style="position:absolute;left:0pt;margin-left:166.65pt;margin-top:4.4pt;height:27pt;width:42.75pt;z-index:-1599408128;mso-width-relative:page;mso-height-relative:page;" fillcolor="#FFFFFF" filled="t" stroked="t" coordsize="21600,21600">
            <v:path/>
            <v:fill on="t" color2="#FFFFFF" focussize="0,0"/>
            <v:stroke color="#FFFFFF" endarrow="open"/>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G1</w:t>
                  </w:r>
                </w:p>
              </w:txbxContent>
            </v:textbox>
          </v:shape>
        </w:pict>
      </w:r>
      <w:r>
        <w:rPr>
          <w:sz w:val="30"/>
        </w:rPr>
        <w:pict>
          <v:shape id="_x0000_s1039" o:spid="_x0000_s1039" o:spt="3" type="#_x0000_t3" style="position:absolute;left:0pt;margin-left:181.65pt;margin-top:28.4pt;height:12.05pt;width:12.8pt;z-index:1339048960;mso-width-relative:page;mso-height-relative:page;" fillcolor="#FFFFFF" filled="t" stroked="t" coordsize="21600,21600">
            <v:path/>
            <v:fill on="t" color2="#FFFFFF" focussize="0,0"/>
            <v:stroke color="#000000" endarrow="open"/>
            <v:imagedata o:title=""/>
            <o:lock v:ext="edit" aspectratio="f"/>
          </v:shape>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r>
        <w:rPr>
          <w:sz w:val="30"/>
        </w:rPr>
        <w:pict>
          <v:shape id="_x0000_s1046" o:spid="_x0000_s1046" o:spt="3" type="#_x0000_t3" style="position:absolute;left:0pt;margin-left:360.15pt;margin-top:4.75pt;height:12.05pt;width:12.8pt;z-index:-1161798656;mso-width-relative:page;mso-height-relative:page;" fillcolor="#FFFFFF" filled="t" stroked="t" coordsize="21600,21600">
            <v:path/>
            <v:fill on="t" color2="#FFFFFF" focussize="0,0"/>
            <v:stroke color="#000000" endarrow="open"/>
            <v:imagedata o:title=""/>
            <o:lock v:ext="edit" aspectratio="f"/>
          </v:shape>
        </w:pict>
      </w:r>
      <w:r>
        <w:rPr>
          <w:sz w:val="30"/>
        </w:rPr>
        <w:pict>
          <v:rect id="_x0000_s1028" o:spid="_x0000_s1028" o:spt="1" style="position:absolute;left:0pt;margin-left:66.15pt;margin-top:23.5pt;height:61.5pt;width:81.75pt;z-index:-455070720;mso-width-relative:page;mso-height-relative:page;" fillcolor="#FFFFFF" filled="t" stroked="t" coordsize="21600,21600">
            <v:path/>
            <v:fill on="t" color2="#FFFFFF" focussize="0,0"/>
            <v:stroke color="#000000"/>
            <v:imagedata o:title=""/>
            <o:lock v:ext="edit" aspectratio="f"/>
            <v:textbox>
              <w:txbxContent>
                <w:p>
                  <w:pPr>
                    <w:ind w:firstLine="280" w:firstLineChars="100"/>
                    <w:rPr>
                      <w:rFonts w:hint="eastAsia" w:eastAsiaTheme="minorEastAsia"/>
                      <w:sz w:val="28"/>
                      <w:szCs w:val="28"/>
                      <w:lang w:eastAsia="zh-CN"/>
                    </w:rPr>
                  </w:pPr>
                  <w:r>
                    <w:rPr>
                      <w:rFonts w:hint="eastAsia"/>
                      <w:sz w:val="28"/>
                      <w:szCs w:val="28"/>
                      <w:lang w:eastAsia="zh-CN"/>
                    </w:rPr>
                    <w:t>氢</w:t>
                  </w:r>
                  <w:r>
                    <w:rPr>
                      <w:rFonts w:hint="eastAsia"/>
                      <w:sz w:val="28"/>
                      <w:szCs w:val="28"/>
                      <w:lang w:val="en-US" w:eastAsia="zh-CN"/>
                    </w:rPr>
                    <w:t xml:space="preserve"> </w:t>
                  </w:r>
                  <w:r>
                    <w:rPr>
                      <w:rFonts w:hint="eastAsia"/>
                      <w:sz w:val="28"/>
                      <w:szCs w:val="28"/>
                      <w:lang w:eastAsia="zh-CN"/>
                    </w:rPr>
                    <w:t>站</w:t>
                  </w:r>
                </w:p>
              </w:txbxContent>
            </v:textbox>
          </v:rect>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r>
        <w:rPr>
          <w:sz w:val="30"/>
        </w:rPr>
        <w:pict>
          <v:shape id="_x0000_s1047" o:spid="_x0000_s1047" o:spt="3" type="#_x0000_t3" style="position:absolute;left:0pt;margin-left:273.15pt;margin-top:30.2pt;height:12.05pt;width:12.8pt;z-index:632321024;mso-width-relative:page;mso-height-relative:page;" fillcolor="#FFFFFF" filled="t" stroked="t" coordsize="21600,21600">
            <v:path/>
            <v:fill on="t" color2="#FFFFFF" focussize="0,0"/>
            <v:stroke color="#000000" endarrow="open"/>
            <v:imagedata o:title=""/>
            <o:lock v:ext="edit" aspectratio="f"/>
          </v:shape>
        </w:pict>
      </w:r>
      <w:r>
        <w:rPr>
          <w:sz w:val="30"/>
        </w:rPr>
        <w:pict>
          <v:shape id="_x0000_s1054" o:spid="_x0000_s1054" o:spt="202" type="#_x0000_t202" style="position:absolute;left:0pt;margin-left:282.15pt;margin-top:26.45pt;height:27pt;width:42.75pt;z-index:-457416704;mso-width-relative:page;mso-height-relative:page;" fillcolor="#FFFFFF" filled="t" stroked="t" coordsize="21600,21600">
            <v:path/>
            <v:fill on="t" color2="#FFFFFF" focussize="0,0"/>
            <v:stroke color="#FFFFFF" endarrow="open"/>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G4</w:t>
                  </w:r>
                </w:p>
              </w:txbxContent>
            </v:textbox>
          </v:shape>
        </w:pic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图7-2  氨区无组织监测点位图</w:t>
      </w:r>
    </w:p>
    <w:p>
      <w:pPr>
        <w:spacing w:line="276" w:lineRule="auto"/>
        <w:jc w:val="center"/>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表</w:t>
      </w:r>
      <w:r>
        <w:rPr>
          <w:rFonts w:hint="eastAsia" w:ascii="宋体" w:hAnsi="宋体" w:eastAsia="宋体" w:cs="宋体"/>
          <w:b/>
          <w:bCs/>
          <w:color w:val="000000" w:themeColor="text1"/>
          <w:sz w:val="24"/>
          <w:szCs w:val="24"/>
          <w:lang w:val="en-US" w:eastAsia="zh-CN"/>
        </w:rPr>
        <w:t xml:space="preserve">7-4  </w:t>
      </w:r>
      <w:r>
        <w:rPr>
          <w:rFonts w:hint="eastAsia" w:ascii="宋体" w:hAnsi="宋体" w:eastAsia="宋体" w:cs="宋体"/>
          <w:b/>
          <w:bCs/>
          <w:color w:val="000000" w:themeColor="text1"/>
          <w:sz w:val="24"/>
          <w:szCs w:val="24"/>
          <w:lang w:eastAsia="zh-CN"/>
        </w:rPr>
        <w:t>氨区无组织废气监测</w:t>
      </w:r>
      <w:r>
        <w:rPr>
          <w:rFonts w:hint="eastAsia" w:ascii="宋体" w:hAnsi="宋体" w:eastAsia="宋体" w:cs="宋体"/>
          <w:b/>
          <w:bCs/>
          <w:color w:val="000000" w:themeColor="text1"/>
          <w:sz w:val="24"/>
          <w:szCs w:val="24"/>
        </w:rPr>
        <w:t>气相参数观测结果统计表</w:t>
      </w:r>
    </w:p>
    <w:p>
      <w:pPr>
        <w:pStyle w:val="2"/>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eastAsia" w:eastAsia="宋体"/>
          <w:b w:val="0"/>
          <w:bCs w:val="0"/>
          <w:color w:val="000000" w:themeColor="text1"/>
          <w:sz w:val="21"/>
          <w:szCs w:val="21"/>
          <w:lang w:val="en-US" w:eastAsia="zh-CN"/>
        </w:rPr>
      </w:pPr>
      <w:r>
        <w:rPr>
          <w:rFonts w:hint="eastAsia" w:eastAsia="宋体"/>
          <w:b w:val="0"/>
          <w:bCs w:val="0"/>
          <w:color w:val="000000" w:themeColor="text1"/>
          <w:sz w:val="21"/>
          <w:szCs w:val="21"/>
          <w:lang w:val="en-US" w:eastAsia="zh-CN"/>
        </w:rPr>
        <w:t>采样日期：2018年10月7日</w:t>
      </w:r>
    </w:p>
    <w:tbl>
      <w:tblPr>
        <w:tblStyle w:val="12"/>
        <w:tblW w:w="852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6"/>
        <w:gridCol w:w="1230"/>
        <w:gridCol w:w="1230"/>
        <w:gridCol w:w="1230"/>
        <w:gridCol w:w="1230"/>
        <w:gridCol w:w="1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采样地点</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采样时间</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气温</w:t>
            </w:r>
            <w:r>
              <w:rPr>
                <w:rFonts w:hint="eastAsia" w:ascii="宋体" w:hAnsi="宋体" w:eastAsia="宋体" w:cs="宋体"/>
                <w:b w:val="0"/>
                <w:bCs w:val="0"/>
                <w:color w:val="000000" w:themeColor="text1"/>
                <w:sz w:val="21"/>
                <w:szCs w:val="21"/>
                <w:lang w:val="en-US" w:eastAsia="zh-CN"/>
              </w:rPr>
              <w:t xml:space="preserve"> </w:t>
            </w:r>
            <w:r>
              <w:rPr>
                <w:rFonts w:hint="eastAsia" w:ascii="宋体" w:hAnsi="宋体" w:eastAsia="宋体" w:cs="宋体"/>
                <w:b w:val="0"/>
                <w:bCs w:val="0"/>
                <w:color w:val="000000" w:themeColor="text1"/>
                <w:sz w:val="21"/>
                <w:szCs w:val="21"/>
              </w:rPr>
              <w:t>℃</w:t>
            </w:r>
          </w:p>
        </w:tc>
        <w:tc>
          <w:tcPr>
            <w:tcW w:w="1230" w:type="dxa"/>
            <w:tcBorders>
              <w:tl2br w:val="nil"/>
              <w:tr2bl w:val="nil"/>
            </w:tcBorders>
            <w:vAlign w:val="center"/>
          </w:tcPr>
          <w:p>
            <w:pPr>
              <w:widowControl w:val="0"/>
              <w:jc w:val="left"/>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气压</w:t>
            </w:r>
            <w:r>
              <w:rPr>
                <w:rFonts w:hint="eastAsia" w:ascii="宋体" w:hAnsi="宋体" w:eastAsia="宋体" w:cs="宋体"/>
                <w:b w:val="0"/>
                <w:bCs w:val="0"/>
                <w:color w:val="000000" w:themeColor="text1"/>
                <w:sz w:val="21"/>
                <w:szCs w:val="21"/>
                <w:highlight w:val="none"/>
                <w:lang w:val="en-US" w:eastAsia="zh-CN"/>
              </w:rPr>
              <w:t>（</w:t>
            </w:r>
            <w:r>
              <w:rPr>
                <w:rFonts w:hint="eastAsia" w:ascii="宋体" w:hAnsi="宋体" w:eastAsia="宋体" w:cs="宋体"/>
                <w:b w:val="0"/>
                <w:bCs w:val="0"/>
                <w:color w:val="000000" w:themeColor="text1"/>
                <w:sz w:val="21"/>
                <w:szCs w:val="21"/>
                <w:highlight w:val="none"/>
              </w:rPr>
              <w:t>KPa</w:t>
            </w:r>
            <w:r>
              <w:rPr>
                <w:rFonts w:hint="eastAsia" w:ascii="宋体" w:hAnsi="宋体" w:eastAsia="宋体" w:cs="宋体"/>
                <w:b w:val="0"/>
                <w:bCs w:val="0"/>
                <w:color w:val="000000" w:themeColor="text1"/>
                <w:sz w:val="21"/>
                <w:szCs w:val="21"/>
                <w:highlight w:val="none"/>
                <w:lang w:val="en-US" w:eastAsia="zh-CN"/>
              </w:rPr>
              <w:t>）</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湿度</w:t>
            </w:r>
            <w:r>
              <w:rPr>
                <w:rFonts w:hint="eastAsia" w:ascii="宋体" w:hAnsi="宋体" w:eastAsia="宋体" w:cs="宋体"/>
                <w:b w:val="0"/>
                <w:bCs w:val="0"/>
                <w:color w:val="000000" w:themeColor="text1"/>
                <w:sz w:val="21"/>
                <w:szCs w:val="21"/>
                <w:lang w:val="en-US" w:eastAsia="zh-CN"/>
              </w:rPr>
              <w:t xml:space="preserve"> %</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风速</w:t>
            </w:r>
            <w:r>
              <w:rPr>
                <w:rFonts w:hint="eastAsia" w:ascii="宋体" w:hAnsi="宋体" w:eastAsia="宋体" w:cs="宋体"/>
                <w:b w:val="0"/>
                <w:bCs w:val="0"/>
                <w:color w:val="000000" w:themeColor="text1"/>
                <w:sz w:val="21"/>
                <w:szCs w:val="21"/>
                <w:lang w:val="en-US" w:eastAsia="zh-CN"/>
              </w:rPr>
              <w:t xml:space="preserve"> </w:t>
            </w:r>
            <w:r>
              <w:rPr>
                <w:rFonts w:hint="eastAsia" w:ascii="宋体" w:hAnsi="宋体" w:eastAsia="宋体" w:cs="宋体"/>
                <w:b w:val="0"/>
                <w:bCs w:val="0"/>
                <w:color w:val="000000" w:themeColor="text1"/>
                <w:sz w:val="21"/>
                <w:szCs w:val="21"/>
              </w:rPr>
              <w:t>m/s</w:t>
            </w:r>
          </w:p>
        </w:tc>
        <w:tc>
          <w:tcPr>
            <w:tcW w:w="1233"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G1:氨区东侧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1.2</w:t>
            </w:r>
          </w:p>
        </w:tc>
        <w:tc>
          <w:tcPr>
            <w:tcW w:w="1233" w:type="dxa"/>
            <w:vMerge w:val="restart"/>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eastAsia="zh-CN"/>
              </w:rPr>
            </w:pPr>
            <w:r>
              <w:rPr>
                <w:rFonts w:hint="eastAsia" w:ascii="宋体" w:hAnsi="宋体" w:eastAsia="宋体" w:cs="宋体"/>
                <w:b w:val="0"/>
                <w:bCs w:val="0"/>
                <w:color w:val="000000" w:themeColor="text1"/>
                <w:sz w:val="21"/>
                <w:szCs w:val="21"/>
                <w:vertAlign w:val="baseline"/>
                <w:lang w:eastAsia="zh-CN"/>
              </w:rPr>
              <w:t>无持续</w:t>
            </w:r>
          </w:p>
          <w:p>
            <w:pPr>
              <w:widowControl w:val="0"/>
              <w:jc w:val="center"/>
              <w:rPr>
                <w:rFonts w:hint="eastAsia" w:ascii="宋体" w:hAnsi="宋体" w:eastAsia="宋体" w:cs="宋体"/>
                <w:b w:val="0"/>
                <w:bCs w:val="0"/>
                <w:color w:val="000000" w:themeColor="text1"/>
                <w:sz w:val="21"/>
                <w:szCs w:val="21"/>
                <w:vertAlign w:val="baseline"/>
                <w:lang w:eastAsia="zh-CN"/>
              </w:rPr>
            </w:pPr>
            <w:r>
              <w:rPr>
                <w:rFonts w:hint="eastAsia" w:ascii="宋体" w:hAnsi="宋体" w:eastAsia="宋体" w:cs="宋体"/>
                <w:b w:val="0"/>
                <w:bCs w:val="0"/>
                <w:color w:val="000000" w:themeColor="text1"/>
                <w:sz w:val="21"/>
                <w:szCs w:val="21"/>
                <w:vertAlign w:val="baseline"/>
                <w:lang w:eastAsia="zh-CN"/>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25</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1.5</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1.0</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23.9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G2：氨区北侧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1.4</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30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1.3</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1.1</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23.2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95.05</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1.2</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G3：氨区西侧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15.9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1.2</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95.05</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25</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1.0</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1.4</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21.2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95.07</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1.3</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G4：氨区南侧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25.2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95.07</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23.9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2.1</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bl>
    <w:p>
      <w:pPr>
        <w:spacing w:line="276" w:lineRule="auto"/>
        <w:jc w:val="center"/>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表</w:t>
      </w:r>
      <w:r>
        <w:rPr>
          <w:rFonts w:hint="eastAsia" w:ascii="宋体" w:hAnsi="宋体" w:eastAsia="宋体" w:cs="宋体"/>
          <w:b/>
          <w:bCs/>
          <w:color w:val="000000" w:themeColor="text1"/>
          <w:sz w:val="24"/>
          <w:szCs w:val="24"/>
          <w:lang w:val="en-US" w:eastAsia="zh-CN"/>
        </w:rPr>
        <w:t xml:space="preserve">7-5  </w:t>
      </w:r>
      <w:r>
        <w:rPr>
          <w:rFonts w:hint="eastAsia" w:ascii="宋体" w:hAnsi="宋体" w:eastAsia="宋体" w:cs="宋体"/>
          <w:b/>
          <w:bCs/>
          <w:color w:val="000000" w:themeColor="text1"/>
          <w:sz w:val="24"/>
          <w:szCs w:val="24"/>
          <w:lang w:eastAsia="zh-CN"/>
        </w:rPr>
        <w:t>氨区无组织废气监测</w:t>
      </w:r>
      <w:r>
        <w:rPr>
          <w:rFonts w:hint="eastAsia" w:ascii="宋体" w:hAnsi="宋体" w:eastAsia="宋体" w:cs="宋体"/>
          <w:b/>
          <w:bCs/>
          <w:color w:val="000000" w:themeColor="text1"/>
          <w:sz w:val="24"/>
          <w:szCs w:val="24"/>
        </w:rPr>
        <w:t>气相参数观测结果统计表</w:t>
      </w:r>
    </w:p>
    <w:p>
      <w:pPr>
        <w:pStyle w:val="2"/>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eastAsia" w:eastAsia="宋体"/>
          <w:b w:val="0"/>
          <w:bCs w:val="0"/>
          <w:color w:val="000000" w:themeColor="text1"/>
          <w:sz w:val="21"/>
          <w:szCs w:val="21"/>
          <w:lang w:val="en-US" w:eastAsia="zh-CN"/>
        </w:rPr>
      </w:pPr>
      <w:r>
        <w:rPr>
          <w:rFonts w:hint="eastAsia" w:eastAsia="宋体"/>
          <w:b w:val="0"/>
          <w:bCs w:val="0"/>
          <w:color w:val="000000" w:themeColor="text1"/>
          <w:sz w:val="21"/>
          <w:szCs w:val="21"/>
          <w:lang w:val="en-US" w:eastAsia="zh-CN"/>
        </w:rPr>
        <w:t>采样日期：2018年10月8日</w:t>
      </w:r>
    </w:p>
    <w:tbl>
      <w:tblPr>
        <w:tblStyle w:val="12"/>
        <w:tblW w:w="852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6"/>
        <w:gridCol w:w="1230"/>
        <w:gridCol w:w="1230"/>
        <w:gridCol w:w="1230"/>
        <w:gridCol w:w="1230"/>
        <w:gridCol w:w="1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采样地点</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采样时间</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气温</w:t>
            </w:r>
            <w:r>
              <w:rPr>
                <w:rFonts w:hint="eastAsia" w:ascii="宋体" w:hAnsi="宋体" w:eastAsia="宋体" w:cs="宋体"/>
                <w:b w:val="0"/>
                <w:bCs w:val="0"/>
                <w:color w:val="000000" w:themeColor="text1"/>
                <w:sz w:val="21"/>
                <w:szCs w:val="21"/>
                <w:lang w:val="en-US" w:eastAsia="zh-CN"/>
              </w:rPr>
              <w:t xml:space="preserve"> </w:t>
            </w:r>
            <w:r>
              <w:rPr>
                <w:rFonts w:hint="eastAsia" w:ascii="宋体" w:hAnsi="宋体" w:eastAsia="宋体" w:cs="宋体"/>
                <w:b w:val="0"/>
                <w:bCs w:val="0"/>
                <w:color w:val="000000" w:themeColor="text1"/>
                <w:sz w:val="21"/>
                <w:szCs w:val="21"/>
              </w:rPr>
              <w:t>℃</w:t>
            </w:r>
          </w:p>
        </w:tc>
        <w:tc>
          <w:tcPr>
            <w:tcW w:w="1230" w:type="dxa"/>
            <w:tcBorders>
              <w:tl2br w:val="nil"/>
              <w:tr2bl w:val="nil"/>
            </w:tcBorders>
            <w:vAlign w:val="center"/>
          </w:tcPr>
          <w:p>
            <w:pPr>
              <w:widowControl w:val="0"/>
              <w:jc w:val="left"/>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气压</w:t>
            </w:r>
            <w:r>
              <w:rPr>
                <w:rFonts w:hint="eastAsia" w:ascii="宋体" w:hAnsi="宋体" w:eastAsia="宋体" w:cs="宋体"/>
                <w:b w:val="0"/>
                <w:bCs w:val="0"/>
                <w:color w:val="000000" w:themeColor="text1"/>
                <w:sz w:val="21"/>
                <w:szCs w:val="21"/>
                <w:highlight w:val="none"/>
                <w:lang w:val="en-US" w:eastAsia="zh-CN"/>
              </w:rPr>
              <w:t>（</w:t>
            </w:r>
            <w:r>
              <w:rPr>
                <w:rFonts w:hint="eastAsia" w:ascii="宋体" w:hAnsi="宋体" w:eastAsia="宋体" w:cs="宋体"/>
                <w:b w:val="0"/>
                <w:bCs w:val="0"/>
                <w:color w:val="000000" w:themeColor="text1"/>
                <w:sz w:val="21"/>
                <w:szCs w:val="21"/>
                <w:highlight w:val="none"/>
              </w:rPr>
              <w:t>KPa</w:t>
            </w:r>
            <w:r>
              <w:rPr>
                <w:rFonts w:hint="eastAsia" w:ascii="宋体" w:hAnsi="宋体" w:eastAsia="宋体" w:cs="宋体"/>
                <w:b w:val="0"/>
                <w:bCs w:val="0"/>
                <w:color w:val="000000" w:themeColor="text1"/>
                <w:sz w:val="21"/>
                <w:szCs w:val="21"/>
                <w:highlight w:val="none"/>
                <w:lang w:val="en-US" w:eastAsia="zh-CN"/>
              </w:rPr>
              <w:t>）</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湿度</w:t>
            </w:r>
            <w:r>
              <w:rPr>
                <w:rFonts w:hint="eastAsia" w:ascii="宋体" w:hAnsi="宋体" w:eastAsia="宋体" w:cs="宋体"/>
                <w:b w:val="0"/>
                <w:bCs w:val="0"/>
                <w:color w:val="000000" w:themeColor="text1"/>
                <w:sz w:val="21"/>
                <w:szCs w:val="21"/>
                <w:lang w:val="en-US" w:eastAsia="zh-CN"/>
              </w:rPr>
              <w:t xml:space="preserve"> %</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风速</w:t>
            </w:r>
            <w:r>
              <w:rPr>
                <w:rFonts w:hint="eastAsia" w:ascii="宋体" w:hAnsi="宋体" w:eastAsia="宋体" w:cs="宋体"/>
                <w:b w:val="0"/>
                <w:bCs w:val="0"/>
                <w:color w:val="000000" w:themeColor="text1"/>
                <w:sz w:val="21"/>
                <w:szCs w:val="21"/>
                <w:lang w:val="en-US" w:eastAsia="zh-CN"/>
              </w:rPr>
              <w:t xml:space="preserve"> </w:t>
            </w:r>
            <w:r>
              <w:rPr>
                <w:rFonts w:hint="eastAsia" w:ascii="宋体" w:hAnsi="宋体" w:eastAsia="宋体" w:cs="宋体"/>
                <w:b w:val="0"/>
                <w:bCs w:val="0"/>
                <w:color w:val="000000" w:themeColor="text1"/>
                <w:sz w:val="21"/>
                <w:szCs w:val="21"/>
              </w:rPr>
              <w:t>m/s</w:t>
            </w:r>
          </w:p>
        </w:tc>
        <w:tc>
          <w:tcPr>
            <w:tcW w:w="1233"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G1:氨区东侧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16.31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1.5</w:t>
            </w:r>
          </w:p>
        </w:tc>
        <w:tc>
          <w:tcPr>
            <w:tcW w:w="1233" w:type="dxa"/>
            <w:vMerge w:val="restart"/>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eastAsia="zh-CN"/>
              </w:rPr>
            </w:pPr>
            <w:r>
              <w:rPr>
                <w:rFonts w:hint="eastAsia" w:ascii="宋体" w:hAnsi="宋体" w:eastAsia="宋体" w:cs="宋体"/>
                <w:b w:val="0"/>
                <w:bCs w:val="0"/>
                <w:color w:val="000000" w:themeColor="text1"/>
                <w:sz w:val="21"/>
                <w:szCs w:val="21"/>
                <w:vertAlign w:val="baseline"/>
                <w:lang w:eastAsia="zh-CN"/>
              </w:rPr>
              <w:t>无持续</w:t>
            </w:r>
          </w:p>
          <w:p>
            <w:pPr>
              <w:widowControl w:val="0"/>
              <w:jc w:val="center"/>
              <w:rPr>
                <w:rFonts w:hint="eastAsia" w:ascii="宋体" w:hAnsi="宋体" w:eastAsia="宋体" w:cs="宋体"/>
                <w:b w:val="0"/>
                <w:bCs w:val="0"/>
                <w:color w:val="000000" w:themeColor="text1"/>
                <w:sz w:val="21"/>
                <w:szCs w:val="21"/>
                <w:vertAlign w:val="baseline"/>
                <w:lang w:eastAsia="zh-CN"/>
              </w:rPr>
            </w:pPr>
            <w:r>
              <w:rPr>
                <w:rFonts w:hint="eastAsia" w:ascii="宋体" w:hAnsi="宋体" w:eastAsia="宋体" w:cs="宋体"/>
                <w:b w:val="0"/>
                <w:bCs w:val="0"/>
                <w:color w:val="000000" w:themeColor="text1"/>
                <w:sz w:val="21"/>
                <w:szCs w:val="21"/>
                <w:vertAlign w:val="baseline"/>
                <w:lang w:eastAsia="zh-CN"/>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19.38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95.24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30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22.61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95.19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24.39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G2：氨区北侧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95.71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1.4</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95.63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95.52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95.41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G3：氨区西侧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15.3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95.41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1.2</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1.3</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22.5</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29</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1.5</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color w:val="000000" w:themeColor="text1"/>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G4：氨区南侧</w:t>
            </w: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第一次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16.3</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28</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1.6</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第二次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95.34</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30</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1.8</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第三次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23.1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95.41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26</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1.9</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186" w:type="dxa"/>
            <w:vMerge w:val="continue"/>
            <w:tcBorders>
              <w:tl2br w:val="nil"/>
              <w:tr2bl w:val="nil"/>
            </w:tcBorders>
            <w:vAlign w:val="center"/>
          </w:tcPr>
          <w:p>
            <w:pPr>
              <w:widowControl w:val="0"/>
              <w:spacing w:line="276" w:lineRule="auto"/>
              <w:jc w:val="center"/>
              <w:rPr>
                <w:rFonts w:hint="eastAsia" w:ascii="宋体" w:hAnsi="宋体" w:eastAsia="宋体" w:cs="宋体"/>
                <w:b w:val="0"/>
                <w:bCs w:val="0"/>
                <w:color w:val="000000" w:themeColor="text1"/>
                <w:sz w:val="21"/>
                <w:szCs w:val="21"/>
                <w:vertAlign w:val="baseline"/>
              </w:rPr>
            </w:pPr>
          </w:p>
        </w:tc>
        <w:tc>
          <w:tcPr>
            <w:tcW w:w="1186"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r>
              <w:rPr>
                <w:rFonts w:hint="eastAsia" w:ascii="宋体" w:hAnsi="宋体" w:eastAsia="宋体" w:cs="宋体"/>
                <w:b w:val="0"/>
                <w:bCs w:val="0"/>
                <w:color w:val="000000" w:themeColor="text1"/>
                <w:sz w:val="21"/>
                <w:szCs w:val="21"/>
                <w:lang w:eastAsia="zh-CN"/>
              </w:rPr>
              <w:t>第四次</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24.2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95.52</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21</w:t>
            </w:r>
          </w:p>
        </w:tc>
        <w:tc>
          <w:tcPr>
            <w:tcW w:w="1230" w:type="dxa"/>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lang w:val="en-US" w:eastAsia="zh-CN"/>
              </w:rPr>
            </w:pPr>
            <w:r>
              <w:rPr>
                <w:rFonts w:hint="eastAsia" w:ascii="宋体" w:hAnsi="宋体" w:eastAsia="宋体" w:cs="宋体"/>
                <w:b w:val="0"/>
                <w:bCs w:val="0"/>
                <w:color w:val="000000" w:themeColor="text1"/>
                <w:sz w:val="21"/>
                <w:szCs w:val="21"/>
                <w:vertAlign w:val="baseline"/>
                <w:lang w:val="en-US" w:eastAsia="zh-CN"/>
              </w:rPr>
              <w:t>2.0</w:t>
            </w:r>
          </w:p>
        </w:tc>
        <w:tc>
          <w:tcPr>
            <w:tcW w:w="1233" w:type="dxa"/>
            <w:vMerge w:val="continue"/>
            <w:tcBorders>
              <w:tl2br w:val="nil"/>
              <w:tr2bl w:val="nil"/>
            </w:tcBorders>
            <w:vAlign w:val="center"/>
          </w:tcPr>
          <w:p>
            <w:pPr>
              <w:widowControl w:val="0"/>
              <w:jc w:val="center"/>
              <w:rPr>
                <w:rFonts w:hint="eastAsia" w:ascii="宋体" w:hAnsi="宋体" w:eastAsia="宋体" w:cs="宋体"/>
                <w:b w:val="0"/>
                <w:bCs w:val="0"/>
                <w:color w:val="000000" w:themeColor="text1"/>
                <w:sz w:val="21"/>
                <w:szCs w:val="21"/>
                <w:vertAlign w:val="baseline"/>
              </w:rPr>
            </w:pP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35" w:name="_Toc16260"/>
      <w:r>
        <w:rPr>
          <w:rFonts w:hint="eastAsia" w:hAnsi="宋体" w:eastAsia="宋体" w:cstheme="minorBidi"/>
          <w:b/>
          <w:bCs/>
          <w:kern w:val="2"/>
          <w:sz w:val="30"/>
          <w:szCs w:val="30"/>
          <w:lang w:val="en-US" w:eastAsia="zh-CN" w:bidi="ar-SA"/>
        </w:rPr>
        <w:t>7.3厂界噪声</w:t>
      </w:r>
      <w:bookmarkEnd w:id="35"/>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动力站为化工装置区配套工程，与化工装置区均在项目厂区内，不再单独监测动力站厂界噪声。</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36" w:name="_Toc13940"/>
      <w:r>
        <w:rPr>
          <w:rFonts w:hint="eastAsia" w:hAnsi="宋体" w:eastAsia="宋体" w:cstheme="minorBidi"/>
          <w:b/>
          <w:bCs/>
          <w:kern w:val="2"/>
          <w:sz w:val="30"/>
          <w:szCs w:val="30"/>
          <w:lang w:val="en-US" w:eastAsia="zh-CN" w:bidi="ar-SA"/>
        </w:rPr>
        <w:t>7.4固体废物</w:t>
      </w:r>
      <w:bookmarkEnd w:id="36"/>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动力站固体废物监测内容为除尘灰、炉渣和脱硫石膏，具体监测内容见表7-6。</w:t>
      </w:r>
    </w:p>
    <w:p>
      <w:pPr>
        <w:pStyle w:val="3"/>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表7-6  固体废物监测内容</w:t>
      </w:r>
    </w:p>
    <w:tbl>
      <w:tblPr>
        <w:tblStyle w:val="12"/>
        <w:tblW w:w="85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143"/>
        <w:gridCol w:w="2797"/>
        <w:gridCol w:w="2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监测类别</w:t>
            </w:r>
          </w:p>
        </w:tc>
        <w:tc>
          <w:tcPr>
            <w:tcW w:w="214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监测点位</w:t>
            </w:r>
          </w:p>
        </w:tc>
        <w:tc>
          <w:tcPr>
            <w:tcW w:w="279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监测内容</w:t>
            </w:r>
          </w:p>
        </w:tc>
        <w:tc>
          <w:tcPr>
            <w:tcW w:w="21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5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固体废物</w:t>
            </w:r>
          </w:p>
        </w:tc>
        <w:tc>
          <w:tcPr>
            <w:tcW w:w="214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电厂除尘灰</w:t>
            </w:r>
          </w:p>
        </w:tc>
        <w:tc>
          <w:tcPr>
            <w:tcW w:w="279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PH、总镉、总汞、砷、总铅、总铬、总铜、总锌、镍</w:t>
            </w:r>
          </w:p>
        </w:tc>
        <w:tc>
          <w:tcPr>
            <w:tcW w:w="21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1次/天，1天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5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4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电厂炉渣</w:t>
            </w:r>
          </w:p>
        </w:tc>
        <w:tc>
          <w:tcPr>
            <w:tcW w:w="279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5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4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电厂脱硫石膏</w:t>
            </w:r>
          </w:p>
        </w:tc>
        <w:tc>
          <w:tcPr>
            <w:tcW w:w="279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c>
          <w:tcPr>
            <w:tcW w:w="21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cstheme="minorBidi"/>
          <w:b/>
          <w:bCs/>
          <w:kern w:val="2"/>
          <w:sz w:val="32"/>
          <w:szCs w:val="32"/>
          <w:lang w:val="en-US" w:eastAsia="zh-CN" w:bidi="ar-SA"/>
        </w:rPr>
      </w:pPr>
      <w:bookmarkStart w:id="37" w:name="_Toc7888"/>
      <w:r>
        <w:rPr>
          <w:rFonts w:hint="eastAsia" w:hAnsi="宋体" w:eastAsia="宋体" w:cstheme="minorBidi"/>
          <w:b/>
          <w:bCs/>
          <w:kern w:val="2"/>
          <w:sz w:val="32"/>
          <w:szCs w:val="32"/>
          <w:lang w:val="en-US" w:eastAsia="zh-CN" w:bidi="ar-SA"/>
        </w:rPr>
        <w:t>8质量保证和质量控制</w:t>
      </w:r>
      <w:bookmarkEnd w:id="37"/>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38" w:name="_Toc24549"/>
      <w:r>
        <w:rPr>
          <w:rFonts w:hint="eastAsia" w:hAnsi="宋体" w:eastAsia="宋体" w:cstheme="minorBidi"/>
          <w:b/>
          <w:bCs/>
          <w:kern w:val="2"/>
          <w:sz w:val="30"/>
          <w:szCs w:val="30"/>
          <w:lang w:val="en-US" w:eastAsia="zh-CN" w:bidi="ar-SA"/>
        </w:rPr>
        <w:t>8.1监测分析方法</w:t>
      </w:r>
      <w:bookmarkEnd w:id="38"/>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动力站验收监测分析方法见表8-1。</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30"/>
          <w:szCs w:val="30"/>
          <w:lang w:val="en-US" w:eastAsia="zh-CN" w:bidi="ar-SA"/>
        </w:rPr>
      </w:pPr>
      <w:r>
        <w:rPr>
          <w:rFonts w:hint="eastAsia" w:hAnsi="宋体" w:eastAsia="宋体" w:cstheme="minorBidi"/>
          <w:b/>
          <w:bCs/>
          <w:kern w:val="2"/>
          <w:sz w:val="24"/>
          <w:szCs w:val="24"/>
          <w:lang w:val="en-US" w:eastAsia="zh-CN" w:bidi="ar-SA"/>
        </w:rPr>
        <w:t>表8-1  监测分析方法</w:t>
      </w:r>
    </w:p>
    <w:tbl>
      <w:tblPr>
        <w:tblStyle w:val="11"/>
        <w:tblW w:w="8669" w:type="dxa"/>
        <w:jc w:val="center"/>
        <w:tblInd w:w="65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26"/>
        <w:gridCol w:w="1723"/>
        <w:gridCol w:w="6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检测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类别</w:t>
            </w:r>
          </w:p>
        </w:tc>
        <w:tc>
          <w:tcPr>
            <w:tcW w:w="172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项目</w:t>
            </w:r>
          </w:p>
        </w:tc>
        <w:tc>
          <w:tcPr>
            <w:tcW w:w="612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检测依据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6120"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restart"/>
            <w:tcBorders>
              <w:tl2br w:val="nil"/>
              <w:tr2bl w:val="nil"/>
            </w:tcBorders>
            <w:shd w:val="clear" w:color="auto" w:fill="auto"/>
            <w:vAlign w:val="center"/>
          </w:tcPr>
          <w:p>
            <w:pPr>
              <w:jc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水和废水</w:t>
            </w: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color w:val="auto"/>
                <w:sz w:val="21"/>
                <w:szCs w:val="21"/>
                <w:highlight w:val="none"/>
                <w:lang w:val="en-US" w:eastAsia="zh-CN"/>
              </w:rPr>
              <w:t>PH</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cs="Times New Roman"/>
                <w:bCs/>
                <w:color w:val="000000"/>
                <w:sz w:val="21"/>
                <w:szCs w:val="21"/>
              </w:rPr>
              <w:t>水质 pH值的测定 玻璃电极法GB 6920-1986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color w:val="auto"/>
                <w:sz w:val="21"/>
                <w:szCs w:val="21"/>
                <w:highlight w:val="none"/>
                <w:lang w:val="en-US" w:eastAsia="zh-CN"/>
              </w:rPr>
              <w:t>氨氮</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eastAsia" w:ascii="宋体" w:hAnsi="宋体"/>
                <w:color w:val="000000"/>
                <w:sz w:val="21"/>
                <w:szCs w:val="21"/>
              </w:rPr>
              <w:t>水质</w:t>
            </w:r>
            <w:r>
              <w:rPr>
                <w:rFonts w:ascii="宋体" w:hAnsi="宋体"/>
                <w:color w:val="000000"/>
                <w:sz w:val="21"/>
                <w:szCs w:val="21"/>
              </w:rPr>
              <w:t xml:space="preserve"> </w:t>
            </w:r>
            <w:r>
              <w:rPr>
                <w:rFonts w:hint="eastAsia" w:ascii="宋体" w:hAnsi="宋体"/>
                <w:color w:val="000000"/>
                <w:sz w:val="21"/>
                <w:szCs w:val="21"/>
              </w:rPr>
              <w:t>氨氮的测定</w:t>
            </w:r>
            <w:r>
              <w:rPr>
                <w:rFonts w:ascii="宋体" w:hAnsi="宋体"/>
                <w:color w:val="000000"/>
                <w:sz w:val="21"/>
                <w:szCs w:val="21"/>
              </w:rPr>
              <w:t xml:space="preserve"> </w:t>
            </w:r>
            <w:r>
              <w:rPr>
                <w:rFonts w:hint="eastAsia" w:ascii="宋体" w:hAnsi="宋体"/>
                <w:color w:val="000000"/>
                <w:sz w:val="21"/>
                <w:szCs w:val="21"/>
              </w:rPr>
              <w:t>纳氏试剂分光光度法</w:t>
            </w:r>
            <w:r>
              <w:rPr>
                <w:rFonts w:hint="eastAsia" w:ascii="宋体" w:hAnsi="宋体"/>
                <w:color w:val="000000"/>
                <w:sz w:val="21"/>
                <w:szCs w:val="21"/>
                <w:lang w:eastAsia="zh-CN"/>
              </w:rPr>
              <w:t xml:space="preserve"> </w:t>
            </w:r>
            <w:r>
              <w:rPr>
                <w:rFonts w:hint="eastAsia" w:ascii="宋体" w:hAnsi="宋体"/>
                <w:color w:val="000000"/>
                <w:sz w:val="21"/>
                <w:szCs w:val="21"/>
              </w:rPr>
              <w:t xml:space="preserve"> </w:t>
            </w:r>
            <w:r>
              <w:rPr>
                <w:rFonts w:ascii="宋体" w:hAnsi="宋体"/>
                <w:color w:val="000000"/>
                <w:sz w:val="21"/>
                <w:szCs w:val="21"/>
              </w:rPr>
              <w:t>HJ</w:t>
            </w:r>
            <w:r>
              <w:rPr>
                <w:rFonts w:hint="eastAsia" w:ascii="宋体" w:hAnsi="宋体"/>
                <w:color w:val="000000"/>
                <w:sz w:val="21"/>
                <w:szCs w:val="21"/>
              </w:rPr>
              <w:t xml:space="preserve"> </w:t>
            </w:r>
            <w:r>
              <w:rPr>
                <w:rFonts w:ascii="宋体" w:hAnsi="宋体"/>
                <w:color w:val="000000"/>
                <w:sz w:val="21"/>
                <w:szCs w:val="21"/>
              </w:rPr>
              <w:t>535—2009</w:t>
            </w:r>
            <w:r>
              <w:rPr>
                <w:rFonts w:hint="eastAsia" w:ascii="宋体" w:hAnsi="宋体"/>
                <w:color w:val="000000"/>
                <w:sz w:val="21"/>
                <w:szCs w:val="21"/>
                <w:lang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pacing w:line="360" w:lineRule="exact"/>
              <w:jc w:val="center"/>
              <w:rPr>
                <w:rFonts w:hint="default" w:ascii="Times New Roman" w:hAnsi="Times New Roman" w:eastAsia="宋体" w:cs="Times New Roman"/>
                <w:i w:val="0"/>
                <w:color w:val="000000"/>
                <w:sz w:val="21"/>
                <w:szCs w:val="21"/>
                <w:u w:val="none"/>
              </w:rPr>
            </w:pPr>
            <w:r>
              <w:rPr>
                <w:rFonts w:hint="eastAsia" w:ascii="宋体" w:hAnsi="宋体"/>
                <w:color w:val="000000"/>
                <w:sz w:val="21"/>
                <w:szCs w:val="21"/>
              </w:rPr>
              <w:t>五日生化需氧量</w:t>
            </w:r>
          </w:p>
        </w:tc>
        <w:tc>
          <w:tcPr>
            <w:tcW w:w="6120" w:type="dxa"/>
            <w:tcBorders>
              <w:tl2br w:val="nil"/>
              <w:tr2bl w:val="nil"/>
            </w:tcBorders>
            <w:shd w:val="clear" w:color="auto" w:fill="FFFFFF"/>
            <w:vAlign w:val="center"/>
          </w:tcPr>
          <w:p>
            <w:pPr>
              <w:spacing w:line="360" w:lineRule="exact"/>
              <w:jc w:val="left"/>
              <w:rPr>
                <w:rFonts w:hint="default" w:ascii="Times New Roman" w:hAnsi="Times New Roman" w:eastAsia="宋体" w:cs="Times New Roman"/>
                <w:i w:val="0"/>
                <w:color w:val="000000"/>
                <w:sz w:val="21"/>
                <w:szCs w:val="21"/>
                <w:u w:val="none"/>
              </w:rPr>
            </w:pPr>
            <w:r>
              <w:rPr>
                <w:rFonts w:hint="eastAsia" w:ascii="宋体" w:hAnsi="宋体"/>
                <w:color w:val="000000"/>
                <w:sz w:val="21"/>
                <w:szCs w:val="21"/>
              </w:rPr>
              <w:t>水质  五日生化需氧量（</w:t>
            </w:r>
            <w:r>
              <w:rPr>
                <w:rFonts w:hint="eastAsia" w:ascii="宋体" w:hAnsi="宋体"/>
                <w:color w:val="000000"/>
                <w:sz w:val="21"/>
                <w:szCs w:val="21"/>
                <w:lang w:eastAsia="zh-CN"/>
              </w:rPr>
              <w:t>BOD5</w:t>
            </w:r>
            <w:r>
              <w:rPr>
                <w:rFonts w:hint="eastAsia" w:ascii="宋体" w:hAnsi="宋体"/>
                <w:color w:val="000000"/>
                <w:sz w:val="21"/>
                <w:szCs w:val="21"/>
                <w:vertAlign w:val="subscript"/>
              </w:rPr>
              <w:t>5</w:t>
            </w:r>
            <w:r>
              <w:rPr>
                <w:rFonts w:hint="eastAsia" w:ascii="宋体" w:hAnsi="宋体"/>
                <w:color w:val="000000"/>
                <w:sz w:val="21"/>
                <w:szCs w:val="21"/>
              </w:rPr>
              <w:t>）的测定 稀释与接种法</w:t>
            </w:r>
            <w:r>
              <w:rPr>
                <w:rFonts w:hint="eastAsia" w:ascii="宋体" w:hAnsi="宋体"/>
                <w:color w:val="000000"/>
                <w:sz w:val="21"/>
                <w:szCs w:val="21"/>
                <w:lang w:val="en-US" w:eastAsia="zh-CN"/>
              </w:rPr>
              <w:t xml:space="preserve"> </w:t>
            </w:r>
            <w:r>
              <w:rPr>
                <w:rFonts w:hint="eastAsia" w:ascii="宋体" w:hAnsi="宋体"/>
                <w:color w:val="000000"/>
                <w:sz w:val="21"/>
                <w:szCs w:val="21"/>
              </w:rPr>
              <w:t xml:space="preserve">HJ 505-2009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color w:val="auto"/>
                <w:sz w:val="21"/>
                <w:szCs w:val="21"/>
                <w:highlight w:val="none"/>
                <w:lang w:eastAsia="zh-CN"/>
              </w:rPr>
              <w:t>砷</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i w:val="0"/>
                <w:color w:val="000000"/>
                <w:sz w:val="21"/>
                <w:szCs w:val="21"/>
                <w:u w:val="none"/>
                <w:lang w:eastAsia="zh-CN"/>
              </w:rPr>
              <w:t>汞</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cs="Times New Roman"/>
                <w:bCs/>
                <w:color w:val="000000"/>
                <w:sz w:val="21"/>
                <w:szCs w:val="21"/>
              </w:rPr>
              <w:t>水质 汞、砷、硒、铋和锑的测定  原子荧光法HJ 694—2014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color w:val="000000"/>
                <w:sz w:val="21"/>
                <w:szCs w:val="21"/>
                <w:highlight w:val="none"/>
                <w:lang w:eastAsia="zh-CN"/>
              </w:rPr>
              <w:t>铅</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eastAsia="zh-CN"/>
              </w:rPr>
              <w:t>镉</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cs="Times New Roman"/>
                <w:bCs/>
                <w:color w:val="000000"/>
                <w:sz w:val="21"/>
                <w:szCs w:val="21"/>
              </w:rPr>
              <w:t>水质 铜、锌、铅、镉的测定 原子吸收分光光度法GB 7475-1987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color w:val="auto"/>
                <w:sz w:val="21"/>
                <w:szCs w:val="21"/>
                <w:highlight w:val="none"/>
                <w:lang w:val="en-US" w:eastAsia="zh-CN"/>
              </w:rPr>
              <w:t>悬浮物</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sz w:val="21"/>
                <w:szCs w:val="21"/>
                <w:u w:val="none"/>
              </w:rPr>
              <w:t>水质 悬浮物的测定 重量法GB 11901-1989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color w:val="auto"/>
                <w:sz w:val="21"/>
                <w:szCs w:val="21"/>
                <w:highlight w:val="none"/>
                <w:lang w:val="en-US" w:eastAsia="zh-CN"/>
              </w:rPr>
              <w:t>化学需氧量</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cs="Times New Roman"/>
                <w:bCs/>
                <w:color w:val="000000"/>
                <w:sz w:val="21"/>
                <w:szCs w:val="21"/>
              </w:rPr>
              <w:t xml:space="preserve">水质 化学需氧量的测定 </w:t>
            </w:r>
            <w:r>
              <w:rPr>
                <w:rFonts w:hint="eastAsia" w:ascii="Times New Roman" w:hAnsi="Times New Roman" w:cs="Times New Roman"/>
                <w:bCs/>
                <w:color w:val="000000"/>
                <w:sz w:val="21"/>
                <w:szCs w:val="21"/>
              </w:rPr>
              <w:t>快速消解分光光度法</w:t>
            </w:r>
            <w:r>
              <w:rPr>
                <w:rFonts w:hint="eastAsia" w:ascii="Times New Roman" w:hAnsi="Times New Roman" w:cs="Times New Roman"/>
                <w:bCs/>
                <w:color w:val="000000"/>
                <w:sz w:val="21"/>
                <w:szCs w:val="21"/>
                <w:lang w:eastAsia="zh-CN"/>
              </w:rPr>
              <w:t xml:space="preserve"> </w:t>
            </w:r>
            <w:r>
              <w:rPr>
                <w:rFonts w:hint="default" w:ascii="Times New Roman" w:hAnsi="Times New Roman" w:cs="Times New Roman"/>
                <w:bCs/>
                <w:color w:val="000000"/>
                <w:sz w:val="21"/>
                <w:szCs w:val="21"/>
              </w:rPr>
              <w:t>HJ/T 399-2007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snapToGrid w:val="0"/>
              <w:ind w:left="72" w:leftChars="0"/>
              <w:jc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sz w:val="21"/>
                <w:szCs w:val="21"/>
                <w:u w:val="none"/>
                <w:lang w:val="en-US" w:eastAsia="zh-CN"/>
              </w:rPr>
              <w:t>动植物油、</w:t>
            </w:r>
            <w:r>
              <w:rPr>
                <w:rFonts w:hint="eastAsia" w:ascii="Times New Roman" w:hAnsi="Times New Roman" w:eastAsia="宋体" w:cs="Times New Roman"/>
                <w:i w:val="0"/>
                <w:color w:val="000000"/>
                <w:sz w:val="21"/>
                <w:szCs w:val="21"/>
                <w:u w:val="none"/>
                <w:lang w:eastAsia="zh-CN"/>
              </w:rPr>
              <w:t>石油类</w:t>
            </w:r>
          </w:p>
        </w:tc>
        <w:tc>
          <w:tcPr>
            <w:tcW w:w="6120" w:type="dxa"/>
            <w:tcBorders>
              <w:tl2br w:val="nil"/>
              <w:tr2bl w:val="nil"/>
            </w:tcBorders>
            <w:shd w:val="clear" w:color="auto" w:fill="FFFFFF"/>
            <w:vAlign w:val="center"/>
          </w:tcPr>
          <w:p>
            <w:pPr>
              <w:jc w:val="left"/>
              <w:rPr>
                <w:rFonts w:hint="default" w:ascii="Times New Roman" w:hAnsi="Times New Roman" w:eastAsia="宋体" w:cs="Times New Roman"/>
                <w:i w:val="0"/>
                <w:color w:val="000000"/>
                <w:sz w:val="21"/>
                <w:szCs w:val="21"/>
                <w:u w:val="none"/>
              </w:rPr>
            </w:pPr>
            <w:r>
              <w:rPr>
                <w:rFonts w:hint="eastAsia" w:ascii="Times New Roman" w:hAnsi="Times New Roman" w:cs="Times New Roman"/>
                <w:bCs/>
                <w:color w:val="000000"/>
                <w:sz w:val="21"/>
                <w:szCs w:val="21"/>
              </w:rPr>
              <w:t>水质 石油类和动物油类的测定</w:t>
            </w:r>
            <w:r>
              <w:rPr>
                <w:rFonts w:hint="eastAsia" w:ascii="Times New Roman" w:hAnsi="Times New Roman" w:cs="Times New Roman"/>
                <w:bCs/>
                <w:color w:val="000000"/>
                <w:sz w:val="21"/>
                <w:szCs w:val="21"/>
                <w:lang w:val="en-US" w:eastAsia="zh-CN"/>
              </w:rPr>
              <w:t xml:space="preserve"> </w:t>
            </w:r>
            <w:r>
              <w:rPr>
                <w:rFonts w:hint="eastAsia" w:ascii="Times New Roman" w:hAnsi="Times New Roman" w:cs="Times New Roman"/>
                <w:bCs/>
                <w:color w:val="000000"/>
                <w:sz w:val="21"/>
                <w:szCs w:val="21"/>
              </w:rPr>
              <w:t>红外分光光度法</w:t>
            </w:r>
            <w:r>
              <w:rPr>
                <w:rFonts w:hint="eastAsia" w:ascii="Times New Roman" w:hAnsi="Times New Roman" w:cs="Times New Roman"/>
                <w:bCs/>
                <w:color w:val="000000"/>
                <w:sz w:val="21"/>
                <w:szCs w:val="21"/>
                <w:lang w:eastAsia="zh-CN"/>
              </w:rPr>
              <w:t xml:space="preserve">  </w:t>
            </w:r>
            <w:r>
              <w:rPr>
                <w:rFonts w:hint="eastAsia" w:ascii="Times New Roman" w:hAnsi="Times New Roman" w:cs="Times New Roman"/>
                <w:bCs/>
                <w:color w:val="000000"/>
                <w:sz w:val="21"/>
                <w:szCs w:val="21"/>
              </w:rPr>
              <w:t>HJ 637-2012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pStyle w:val="2"/>
              <w:jc w:val="center"/>
              <w:rPr>
                <w:rFonts w:hint="eastAsia" w:ascii="Times New Roman" w:hAnsi="Times New Roman" w:eastAsia="宋体" w:cs="Times New Roman"/>
                <w:i w:val="0"/>
                <w:color w:val="000000"/>
                <w:sz w:val="21"/>
                <w:szCs w:val="21"/>
                <w:u w:val="none"/>
                <w:lang w:val="en-US" w:eastAsia="zh-CN"/>
              </w:rPr>
            </w:pPr>
            <w:r>
              <w:rPr>
                <w:rFonts w:hAnsi="宋体" w:eastAsia="宋体" w:cs="宋体"/>
                <w:bCs/>
                <w:sz w:val="21"/>
                <w:szCs w:val="21"/>
              </w:rPr>
              <w:t>硫化物</w:t>
            </w:r>
          </w:p>
        </w:tc>
        <w:tc>
          <w:tcPr>
            <w:tcW w:w="6120" w:type="dxa"/>
            <w:tcBorders>
              <w:tl2br w:val="nil"/>
              <w:tr2bl w:val="nil"/>
            </w:tcBorders>
            <w:shd w:val="clear" w:color="auto" w:fill="FFFFFF"/>
            <w:vAlign w:val="center"/>
          </w:tcPr>
          <w:p>
            <w:pPr>
              <w:pStyle w:val="2"/>
              <w:jc w:val="both"/>
              <w:rPr>
                <w:rFonts w:hint="eastAsia" w:ascii="Times New Roman" w:hAnsi="Times New Roman" w:cs="Times New Roman"/>
                <w:bCs/>
                <w:color w:val="000000"/>
                <w:sz w:val="21"/>
                <w:szCs w:val="21"/>
              </w:rPr>
            </w:pPr>
            <w:r>
              <w:rPr>
                <w:rFonts w:hAnsi="宋体" w:eastAsia="宋体" w:cs="宋体"/>
                <w:bCs/>
                <w:sz w:val="21"/>
                <w:szCs w:val="21"/>
              </w:rPr>
              <w:t>水质  硫化物的测定  亚甲基蓝分光光度法GB/T 16489-1996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pStyle w:val="2"/>
              <w:jc w:val="center"/>
              <w:rPr>
                <w:rFonts w:hAnsi="宋体" w:eastAsia="宋体" w:cs="宋体"/>
                <w:bCs/>
                <w:sz w:val="21"/>
                <w:szCs w:val="21"/>
              </w:rPr>
            </w:pPr>
            <w:r>
              <w:rPr>
                <w:rFonts w:hAnsi="宋体" w:eastAsia="宋体" w:cs="宋体"/>
                <w:bCs/>
                <w:sz w:val="21"/>
                <w:szCs w:val="21"/>
              </w:rPr>
              <w:t>氰化物</w:t>
            </w:r>
          </w:p>
        </w:tc>
        <w:tc>
          <w:tcPr>
            <w:tcW w:w="6120" w:type="dxa"/>
            <w:tcBorders>
              <w:tl2br w:val="nil"/>
              <w:tr2bl w:val="nil"/>
            </w:tcBorders>
            <w:shd w:val="clear" w:color="auto" w:fill="FFFFFF"/>
            <w:vAlign w:val="center"/>
          </w:tcPr>
          <w:p>
            <w:pPr>
              <w:pStyle w:val="2"/>
              <w:jc w:val="both"/>
              <w:rPr>
                <w:rFonts w:hAnsi="宋体" w:eastAsia="宋体" w:cs="宋体"/>
                <w:bCs/>
                <w:sz w:val="21"/>
                <w:szCs w:val="21"/>
              </w:rPr>
            </w:pPr>
            <w:r>
              <w:rPr>
                <w:rFonts w:hAnsi="宋体" w:eastAsia="宋体" w:cs="宋体"/>
                <w:bCs/>
                <w:sz w:val="21"/>
                <w:szCs w:val="21"/>
              </w:rPr>
              <w:t>水质 氰化物的测定 容量法和分光光度法HJ 484-2009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pStyle w:val="2"/>
              <w:jc w:val="center"/>
              <w:rPr>
                <w:rFonts w:hAnsi="宋体" w:eastAsia="宋体" w:cs="宋体"/>
                <w:bCs/>
                <w:sz w:val="21"/>
                <w:szCs w:val="21"/>
              </w:rPr>
            </w:pPr>
            <w:r>
              <w:rPr>
                <w:rFonts w:hAnsi="宋体" w:eastAsia="宋体" w:cs="宋体"/>
                <w:bCs/>
                <w:sz w:val="21"/>
                <w:szCs w:val="21"/>
              </w:rPr>
              <w:t>挥发酚</w:t>
            </w:r>
          </w:p>
        </w:tc>
        <w:tc>
          <w:tcPr>
            <w:tcW w:w="6120" w:type="dxa"/>
            <w:tcBorders>
              <w:tl2br w:val="nil"/>
              <w:tr2bl w:val="nil"/>
            </w:tcBorders>
            <w:shd w:val="clear" w:color="auto" w:fill="FFFFFF"/>
            <w:vAlign w:val="center"/>
          </w:tcPr>
          <w:p>
            <w:pPr>
              <w:pStyle w:val="2"/>
              <w:jc w:val="both"/>
              <w:rPr>
                <w:rFonts w:hAnsi="宋体" w:eastAsia="宋体" w:cs="宋体"/>
                <w:bCs/>
                <w:sz w:val="21"/>
                <w:szCs w:val="21"/>
              </w:rPr>
            </w:pPr>
            <w:r>
              <w:rPr>
                <w:rFonts w:hAnsi="宋体" w:eastAsia="宋体" w:cs="宋体"/>
                <w:bCs/>
                <w:sz w:val="21"/>
                <w:szCs w:val="21"/>
              </w:rPr>
              <w:t>水质 挥发酚的测定 4-氨基安替比林分光光度法 HJ 503-2009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pStyle w:val="2"/>
              <w:jc w:val="center"/>
              <w:rPr>
                <w:rFonts w:hint="eastAsia" w:hAnsi="宋体" w:eastAsia="宋体" w:cs="宋体"/>
                <w:bCs/>
                <w:sz w:val="21"/>
                <w:szCs w:val="21"/>
                <w:lang w:eastAsia="zh-CN"/>
              </w:rPr>
            </w:pPr>
            <w:r>
              <w:rPr>
                <w:rFonts w:hint="eastAsia" w:hAnsi="宋体" w:eastAsia="宋体" w:cs="宋体"/>
                <w:bCs/>
                <w:sz w:val="21"/>
                <w:szCs w:val="21"/>
                <w:lang w:eastAsia="zh-CN"/>
              </w:rPr>
              <w:t>锰</w:t>
            </w:r>
          </w:p>
        </w:tc>
        <w:tc>
          <w:tcPr>
            <w:tcW w:w="6120" w:type="dxa"/>
            <w:tcBorders>
              <w:tl2br w:val="nil"/>
              <w:tr2bl w:val="nil"/>
            </w:tcBorders>
            <w:shd w:val="clear" w:color="auto" w:fill="FFFFFF"/>
            <w:vAlign w:val="center"/>
          </w:tcPr>
          <w:p>
            <w:pPr>
              <w:pStyle w:val="2"/>
              <w:jc w:val="both"/>
              <w:rPr>
                <w:rFonts w:hAnsi="宋体" w:eastAsia="宋体" w:cs="宋体"/>
                <w:bCs/>
                <w:sz w:val="21"/>
                <w:szCs w:val="21"/>
              </w:rPr>
            </w:pPr>
            <w:r>
              <w:rPr>
                <w:rFonts w:hint="eastAsia" w:ascii="Times New Roman" w:hAnsi="Times New Roman" w:eastAsia="宋体" w:cs="Times New Roman"/>
                <w:i w:val="0"/>
                <w:color w:val="000000"/>
                <w:sz w:val="21"/>
                <w:szCs w:val="21"/>
                <w:u w:val="none"/>
                <w:lang w:val="en-US" w:eastAsia="zh-CN"/>
              </w:rPr>
              <w:t>水质 铁、锰的测定 火焰原子吸收分光光度法GB 11911-1989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shd w:val="clear" w:color="auto" w:fill="FFFFFF"/>
            <w:vAlign w:val="center"/>
          </w:tcPr>
          <w:p>
            <w:pPr>
              <w:pStyle w:val="2"/>
              <w:jc w:val="center"/>
              <w:rPr>
                <w:rFonts w:hint="eastAsia" w:hAnsi="宋体" w:eastAsia="宋体" w:cs="宋体"/>
                <w:bCs/>
                <w:sz w:val="21"/>
                <w:szCs w:val="21"/>
                <w:lang w:eastAsia="zh-CN"/>
              </w:rPr>
            </w:pPr>
            <w:r>
              <w:rPr>
                <w:rFonts w:hint="eastAsia" w:hAnsi="宋体" w:eastAsia="宋体" w:cs="宋体"/>
                <w:bCs/>
                <w:sz w:val="21"/>
                <w:szCs w:val="21"/>
                <w:lang w:eastAsia="zh-CN"/>
              </w:rPr>
              <w:t>色度</w:t>
            </w:r>
          </w:p>
        </w:tc>
        <w:tc>
          <w:tcPr>
            <w:tcW w:w="6120" w:type="dxa"/>
            <w:tcBorders>
              <w:tl2br w:val="nil"/>
              <w:tr2bl w:val="nil"/>
            </w:tcBorders>
            <w:shd w:val="clear" w:color="auto" w:fill="FFFFFF"/>
            <w:vAlign w:val="center"/>
          </w:tcPr>
          <w:p>
            <w:pPr>
              <w:pStyle w:val="2"/>
              <w:jc w:val="both"/>
              <w:rPr>
                <w:rFonts w:hAnsi="宋体" w:eastAsia="宋体" w:cs="宋体"/>
                <w:bCs/>
                <w:sz w:val="21"/>
                <w:szCs w:val="21"/>
              </w:rPr>
            </w:pPr>
            <w:r>
              <w:rPr>
                <w:rFonts w:hint="eastAsia" w:ascii="Times New Roman" w:hAnsi="Times New Roman" w:cs="Times New Roman"/>
                <w:bCs/>
                <w:color w:val="000000"/>
                <w:sz w:val="21"/>
                <w:szCs w:val="21"/>
                <w:lang w:val="en-US" w:eastAsia="zh-CN"/>
              </w:rPr>
              <w:t>水质 色度的测定GB 11903—1989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环境空气和废气</w:t>
            </w:r>
          </w:p>
        </w:tc>
        <w:tc>
          <w:tcPr>
            <w:tcW w:w="172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Style w:val="25"/>
                <w:sz w:val="21"/>
                <w:szCs w:val="21"/>
                <w:lang w:val="en-US" w:eastAsia="zh-CN" w:bidi="ar"/>
              </w:rPr>
              <w:t>颗粒物</w:t>
            </w:r>
          </w:p>
        </w:tc>
        <w:tc>
          <w:tcPr>
            <w:tcW w:w="6120" w:type="dxa"/>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环境空气总悬浮颗粒物的测定 重量法GB/T 15432-1995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723" w:type="dxa"/>
            <w:vMerge w:val="continue"/>
            <w:tcBorders>
              <w:tl2br w:val="nil"/>
              <w:tr2bl w:val="nil"/>
            </w:tcBorders>
            <w:vAlign w:val="center"/>
          </w:tcPr>
          <w:p>
            <w:pPr>
              <w:keepNext w:val="0"/>
              <w:keepLines w:val="0"/>
              <w:widowControl/>
              <w:suppressLineNumbers w:val="0"/>
              <w:jc w:val="center"/>
              <w:textAlignment w:val="center"/>
              <w:rPr>
                <w:rStyle w:val="25"/>
                <w:sz w:val="21"/>
                <w:szCs w:val="21"/>
                <w:lang w:val="en-US" w:eastAsia="zh-CN" w:bidi="ar"/>
              </w:rPr>
            </w:pPr>
          </w:p>
        </w:tc>
        <w:tc>
          <w:tcPr>
            <w:tcW w:w="6120" w:type="dxa"/>
            <w:tcBorders>
              <w:tl2br w:val="nil"/>
              <w:tr2bl w:val="nil"/>
            </w:tcBorders>
            <w:vAlign w:val="center"/>
          </w:tcPr>
          <w:p>
            <w:pPr>
              <w:jc w:val="left"/>
              <w:rPr>
                <w:color w:val="000000"/>
                <w:sz w:val="21"/>
                <w:szCs w:val="21"/>
              </w:rPr>
            </w:pPr>
            <w:r>
              <w:rPr>
                <w:color w:val="000000"/>
                <w:sz w:val="21"/>
                <w:szCs w:val="21"/>
              </w:rPr>
              <w:t>固定污染源排气中颗粒物测定与气态污染物采样方法 重量法</w:t>
            </w:r>
          </w:p>
          <w:p>
            <w:pPr>
              <w:keepNext w:val="0"/>
              <w:keepLines w:val="0"/>
              <w:widowControl/>
              <w:suppressLineNumbers w:val="0"/>
              <w:jc w:val="left"/>
              <w:textAlignment w:val="center"/>
              <w:rPr>
                <w:rFonts w:hint="default" w:ascii="Times New Roman" w:hAnsi="Times New Roman" w:eastAsia="宋体" w:cs="Times New Roman"/>
                <w:i w:val="0"/>
                <w:color w:val="000000"/>
                <w:kern w:val="0"/>
                <w:sz w:val="21"/>
                <w:szCs w:val="21"/>
                <w:u w:val="none"/>
                <w:lang w:val="en-US" w:eastAsia="zh-CN" w:bidi="ar"/>
              </w:rPr>
            </w:pPr>
            <w:r>
              <w:rPr>
                <w:color w:val="000000"/>
                <w:sz w:val="21"/>
                <w:szCs w:val="21"/>
              </w:rPr>
              <w:t>GB/T 16157—1996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723" w:type="dxa"/>
            <w:vMerge w:val="continue"/>
            <w:tcBorders>
              <w:tl2br w:val="nil"/>
              <w:tr2bl w:val="nil"/>
            </w:tcBorders>
            <w:vAlign w:val="center"/>
          </w:tcPr>
          <w:p>
            <w:pPr>
              <w:keepNext w:val="0"/>
              <w:keepLines w:val="0"/>
              <w:widowControl/>
              <w:suppressLineNumbers w:val="0"/>
              <w:jc w:val="center"/>
              <w:textAlignment w:val="center"/>
              <w:rPr>
                <w:rStyle w:val="25"/>
                <w:sz w:val="21"/>
                <w:szCs w:val="21"/>
                <w:lang w:val="en-US" w:eastAsia="zh-CN" w:bidi="ar"/>
              </w:rPr>
            </w:pPr>
          </w:p>
        </w:tc>
        <w:tc>
          <w:tcPr>
            <w:tcW w:w="6120" w:type="dxa"/>
            <w:tcBorders>
              <w:tl2br w:val="nil"/>
              <w:tr2bl w:val="nil"/>
            </w:tcBorders>
            <w:vAlign w:val="center"/>
          </w:tcPr>
          <w:p>
            <w:pPr>
              <w:keepNext w:val="0"/>
              <w:keepLines w:val="0"/>
              <w:widowControl/>
              <w:suppressLineNumbers w:val="0"/>
              <w:jc w:val="left"/>
              <w:textAlignment w:val="center"/>
              <w:rPr>
                <w:color w:val="000000"/>
                <w:sz w:val="21"/>
                <w:szCs w:val="21"/>
              </w:rPr>
            </w:pPr>
            <w:r>
              <w:rPr>
                <w:rFonts w:hint="eastAsia"/>
                <w:color w:val="000000"/>
                <w:sz w:val="21"/>
                <w:szCs w:val="21"/>
              </w:rPr>
              <w:t>固定汚染源废气 低浓度颗粒物的测定 重量法HJ 836-2017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723" w:type="dxa"/>
            <w:vMerge w:val="continue"/>
            <w:tcBorders>
              <w:tl2br w:val="nil"/>
              <w:tr2bl w:val="nil"/>
            </w:tcBorders>
            <w:vAlign w:val="center"/>
          </w:tcPr>
          <w:p>
            <w:pPr>
              <w:keepNext w:val="0"/>
              <w:keepLines w:val="0"/>
              <w:widowControl/>
              <w:suppressLineNumbers w:val="0"/>
              <w:jc w:val="center"/>
              <w:textAlignment w:val="center"/>
              <w:rPr>
                <w:rStyle w:val="25"/>
                <w:sz w:val="21"/>
                <w:szCs w:val="21"/>
                <w:lang w:val="en-US" w:eastAsia="zh-CN" w:bidi="ar"/>
              </w:rPr>
            </w:pPr>
          </w:p>
        </w:tc>
        <w:tc>
          <w:tcPr>
            <w:tcW w:w="6120" w:type="dxa"/>
            <w:tcBorders>
              <w:tl2br w:val="nil"/>
              <w:tr2bl w:val="nil"/>
            </w:tcBorders>
            <w:vAlign w:val="center"/>
          </w:tcPr>
          <w:p>
            <w:pPr>
              <w:keepNext w:val="0"/>
              <w:keepLines w:val="0"/>
              <w:widowControl/>
              <w:suppressLineNumbers w:val="0"/>
              <w:jc w:val="left"/>
              <w:textAlignment w:val="center"/>
              <w:rPr>
                <w:rFonts w:hint="eastAsia"/>
                <w:color w:val="000000"/>
                <w:sz w:val="21"/>
                <w:szCs w:val="21"/>
              </w:rPr>
            </w:pPr>
            <w:r>
              <w:rPr>
                <w:color w:val="000000"/>
                <w:sz w:val="21"/>
                <w:szCs w:val="21"/>
              </w:rPr>
              <w:t>固定源废气监测技术规范 HJ/T 397-2007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二氧化硫</w:t>
            </w:r>
          </w:p>
        </w:tc>
        <w:tc>
          <w:tcPr>
            <w:tcW w:w="6120" w:type="dxa"/>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1"/>
                <w:szCs w:val="21"/>
                <w:u w:val="none"/>
              </w:rPr>
            </w:pPr>
            <w:r>
              <w:rPr>
                <w:rFonts w:hint="eastAsia"/>
                <w:color w:val="000000"/>
                <w:sz w:val="21"/>
                <w:szCs w:val="21"/>
              </w:rPr>
              <w:t>固定汚染源废气 二氧化硫的测定 定电位电解HJ 57-2017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6120" w:type="dxa"/>
            <w:tcBorders>
              <w:tl2br w:val="nil"/>
              <w:tr2bl w:val="nil"/>
            </w:tcBorders>
            <w:vAlign w:val="center"/>
          </w:tcPr>
          <w:p>
            <w:pPr>
              <w:keepNext w:val="0"/>
              <w:keepLines w:val="0"/>
              <w:widowControl/>
              <w:suppressLineNumbers w:val="0"/>
              <w:jc w:val="left"/>
              <w:textAlignment w:val="center"/>
              <w:rPr>
                <w:rFonts w:hint="eastAsia" w:ascii="Times New Roman" w:hAnsi="Times New Roman" w:cs="Times New Roman" w:eastAsiaTheme="minorEastAsia"/>
                <w:i w:val="0"/>
                <w:color w:val="000000"/>
                <w:kern w:val="0"/>
                <w:sz w:val="21"/>
                <w:szCs w:val="21"/>
                <w:u w:val="none"/>
                <w:lang w:val="en-US" w:eastAsia="zh-CN" w:bidi="ar"/>
              </w:rPr>
            </w:pPr>
            <w:r>
              <w:rPr>
                <w:rFonts w:hint="eastAsia"/>
                <w:color w:val="000000"/>
                <w:sz w:val="21"/>
                <w:szCs w:val="21"/>
              </w:rPr>
              <w:t xml:space="preserve">固定汚染源废气 二氧化硫的测定 </w:t>
            </w:r>
            <w:r>
              <w:rPr>
                <w:rFonts w:hint="eastAsia"/>
                <w:color w:val="000000"/>
                <w:sz w:val="21"/>
                <w:szCs w:val="21"/>
                <w:lang w:eastAsia="zh-CN"/>
              </w:rPr>
              <w:t>非分散红外吸收法</w:t>
            </w:r>
            <w:r>
              <w:rPr>
                <w:rFonts w:hint="eastAsia"/>
                <w:color w:val="000000"/>
                <w:sz w:val="21"/>
                <w:szCs w:val="21"/>
              </w:rPr>
              <w:t xml:space="preserve">HJ </w:t>
            </w:r>
            <w:r>
              <w:rPr>
                <w:rFonts w:hint="eastAsia"/>
                <w:color w:val="000000"/>
                <w:sz w:val="21"/>
                <w:szCs w:val="21"/>
                <w:lang w:val="en-US" w:eastAsia="zh-CN"/>
              </w:rPr>
              <w:t>629</w:t>
            </w:r>
            <w:r>
              <w:rPr>
                <w:rFonts w:hint="eastAsia"/>
                <w:color w:val="000000"/>
                <w:sz w:val="21"/>
                <w:szCs w:val="21"/>
              </w:rPr>
              <w:t>-201</w:t>
            </w:r>
            <w:r>
              <w:rPr>
                <w:rFonts w:hint="eastAsia"/>
                <w:color w:val="00000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sz w:val="21"/>
                <w:szCs w:val="21"/>
              </w:rPr>
              <w:t>氮氧化物</w:t>
            </w:r>
          </w:p>
        </w:tc>
        <w:tc>
          <w:tcPr>
            <w:tcW w:w="6120" w:type="dxa"/>
            <w:tcBorders>
              <w:tl2br w:val="nil"/>
              <w:tr2bl w:val="nil"/>
            </w:tcBorders>
            <w:vAlign w:val="center"/>
          </w:tcPr>
          <w:p>
            <w:pPr>
              <w:jc w:val="left"/>
              <w:rPr>
                <w:rFonts w:hint="eastAsia"/>
                <w:color w:val="000000"/>
                <w:sz w:val="21"/>
                <w:szCs w:val="21"/>
              </w:rPr>
            </w:pPr>
            <w:r>
              <w:rPr>
                <w:color w:val="000000"/>
                <w:sz w:val="21"/>
                <w:szCs w:val="21"/>
              </w:rPr>
              <w:t>固定污染源废气 氮氧化物的测定 定电位电解法HJ 693-2014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6120" w:type="dxa"/>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1"/>
                <w:szCs w:val="21"/>
                <w:u w:val="none"/>
                <w:lang w:val="en-US" w:eastAsia="zh-CN" w:bidi="ar"/>
              </w:rPr>
            </w:pPr>
            <w:r>
              <w:rPr>
                <w:color w:val="000000"/>
                <w:sz w:val="21"/>
                <w:szCs w:val="21"/>
              </w:rPr>
              <w:t xml:space="preserve">固定污染源废气 氮氧化物的测定 </w:t>
            </w:r>
            <w:r>
              <w:rPr>
                <w:rFonts w:hint="eastAsia"/>
                <w:color w:val="000000"/>
                <w:sz w:val="21"/>
                <w:szCs w:val="21"/>
                <w:lang w:eastAsia="zh-CN"/>
              </w:rPr>
              <w:t>非分散红外吸收</w:t>
            </w:r>
            <w:r>
              <w:rPr>
                <w:color w:val="000000"/>
                <w:sz w:val="21"/>
                <w:szCs w:val="21"/>
              </w:rPr>
              <w:t>法HJ 69</w:t>
            </w:r>
            <w:r>
              <w:rPr>
                <w:rFonts w:hint="eastAsia"/>
                <w:color w:val="000000"/>
                <w:sz w:val="21"/>
                <w:szCs w:val="21"/>
                <w:lang w:val="en-US" w:eastAsia="zh-CN"/>
              </w:rPr>
              <w:t>2</w:t>
            </w:r>
            <w:r>
              <w:rPr>
                <w:color w:val="000000"/>
                <w:sz w:val="21"/>
                <w:szCs w:val="21"/>
              </w:rPr>
              <w:t>-2014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烟气黑度</w:t>
            </w:r>
          </w:p>
        </w:tc>
        <w:tc>
          <w:tcPr>
            <w:tcW w:w="6120" w:type="dxa"/>
            <w:tcBorders>
              <w:tl2br w:val="nil"/>
              <w:tr2bl w:val="nil"/>
            </w:tcBorders>
            <w:vAlign w:val="center"/>
          </w:tcPr>
          <w:p>
            <w:pPr>
              <w:keepNext w:val="0"/>
              <w:keepLines w:val="0"/>
              <w:widowControl/>
              <w:suppressLineNumbers w:val="0"/>
              <w:ind w:left="210" w:hanging="210" w:hangingChars="100"/>
              <w:jc w:val="left"/>
              <w:textAlignment w:val="center"/>
              <w:rPr>
                <w:rFonts w:hint="eastAsia" w:eastAsiaTheme="minorEastAsia"/>
                <w:color w:val="000000"/>
                <w:sz w:val="21"/>
                <w:szCs w:val="21"/>
                <w:lang w:val="en-US" w:eastAsia="zh-CN"/>
              </w:rPr>
            </w:pPr>
            <w:r>
              <w:rPr>
                <w:rFonts w:hint="eastAsia"/>
                <w:color w:val="000000"/>
                <w:sz w:val="21"/>
                <w:szCs w:val="21"/>
                <w:lang w:val="en-US" w:eastAsia="zh-CN"/>
              </w:rPr>
              <w:t>固定污染物源排放烟气黑度的测定 林格曼烟气黑度图法HJ/T398-2007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汞及其化合物</w:t>
            </w:r>
          </w:p>
        </w:tc>
        <w:tc>
          <w:tcPr>
            <w:tcW w:w="6120" w:type="dxa"/>
            <w:tcBorders>
              <w:tl2br w:val="nil"/>
              <w:tr2bl w:val="nil"/>
            </w:tcBorders>
            <w:vAlign w:val="center"/>
          </w:tcPr>
          <w:p>
            <w:pPr>
              <w:keepNext w:val="0"/>
              <w:keepLines w:val="0"/>
              <w:widowControl/>
              <w:suppressLineNumbers w:val="0"/>
              <w:jc w:val="left"/>
              <w:textAlignment w:val="center"/>
              <w:rPr>
                <w:rFonts w:hint="eastAsia" w:eastAsiaTheme="minorEastAsia"/>
                <w:color w:val="000000"/>
                <w:sz w:val="21"/>
                <w:szCs w:val="21"/>
                <w:lang w:val="en-US" w:eastAsia="zh-CN"/>
              </w:rPr>
            </w:pPr>
            <w:r>
              <w:rPr>
                <w:rFonts w:hint="eastAsia"/>
                <w:color w:val="000000"/>
                <w:sz w:val="21"/>
                <w:szCs w:val="21"/>
                <w:lang w:eastAsia="zh-CN"/>
              </w:rPr>
              <w:t>固定污染源废气</w:t>
            </w:r>
            <w:r>
              <w:rPr>
                <w:rFonts w:hint="eastAsia"/>
                <w:color w:val="000000"/>
                <w:sz w:val="21"/>
                <w:szCs w:val="21"/>
                <w:lang w:val="en-US" w:eastAsia="zh-CN"/>
              </w:rPr>
              <w:t xml:space="preserve"> 汞的测定 冷原子吸收分光光度法（暂行）HJ543-2009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17" w:hRule="atLeast"/>
          <w:jc w:val="center"/>
        </w:trPr>
        <w:tc>
          <w:tcPr>
            <w:tcW w:w="826" w:type="dxa"/>
            <w:vMerge w:val="continue"/>
            <w:tcBorders>
              <w:tl2br w:val="nil"/>
              <w:tr2bl w:val="nil"/>
            </w:tcBorders>
            <w:vAlign w:val="center"/>
          </w:tcPr>
          <w:p>
            <w:pPr>
              <w:jc w:val="center"/>
              <w:rPr>
                <w:rFonts w:hint="default" w:ascii="Times New Roman" w:hAnsi="Times New Roman" w:eastAsia="宋体" w:cs="Times New Roman"/>
                <w:i w:val="0"/>
                <w:color w:val="000000"/>
                <w:sz w:val="21"/>
                <w:szCs w:val="21"/>
                <w:u w:val="none"/>
              </w:rPr>
            </w:pPr>
          </w:p>
        </w:tc>
        <w:tc>
          <w:tcPr>
            <w:tcW w:w="172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氨</w:t>
            </w:r>
          </w:p>
        </w:tc>
        <w:tc>
          <w:tcPr>
            <w:tcW w:w="6120" w:type="dxa"/>
            <w:tcBorders>
              <w:tl2br w:val="nil"/>
              <w:tr2bl w:val="nil"/>
            </w:tcBorders>
            <w:vAlign w:val="center"/>
          </w:tcPr>
          <w:p>
            <w:pPr>
              <w:keepNext w:val="0"/>
              <w:keepLines w:val="0"/>
              <w:widowControl/>
              <w:suppressLineNumbers w:val="0"/>
              <w:jc w:val="left"/>
              <w:textAlignment w:val="center"/>
              <w:rPr>
                <w:color w:val="00000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环境空气和废气</w:t>
            </w:r>
            <w:r>
              <w:rPr>
                <w:rFonts w:hint="eastAsia" w:ascii="Times New Roman" w:hAnsi="Times New Roman" w:eastAsia="宋体" w:cs="Times New Roman"/>
                <w:i w:val="0"/>
                <w:color w:val="000000"/>
                <w:kern w:val="0"/>
                <w:sz w:val="21"/>
                <w:szCs w:val="21"/>
                <w:u w:val="none"/>
                <w:lang w:val="en-US" w:eastAsia="zh-CN" w:bidi="ar"/>
              </w:rPr>
              <w:t xml:space="preserve"> 氨的测定 纳氏试剂分光光度法 HJ533-2009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eastAsia="宋体" w:cs="Times New Roman"/>
                <w:i w:val="0"/>
                <w:color w:val="000000"/>
                <w:sz w:val="21"/>
                <w:szCs w:val="21"/>
                <w:u w:val="none"/>
                <w:lang w:eastAsia="zh-CN"/>
              </w:rPr>
              <w:t>固体</w:t>
            </w:r>
          </w:p>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eastAsia="宋体" w:cs="Times New Roman"/>
                <w:i w:val="0"/>
                <w:color w:val="000000"/>
                <w:sz w:val="21"/>
                <w:szCs w:val="21"/>
                <w:u w:val="none"/>
                <w:lang w:eastAsia="zh-CN"/>
              </w:rPr>
              <w:t>废物</w:t>
            </w:r>
          </w:p>
        </w:tc>
        <w:tc>
          <w:tcPr>
            <w:tcW w:w="1723" w:type="dxa"/>
            <w:tcBorders>
              <w:tl2br w:val="nil"/>
              <w:tr2bl w:val="nil"/>
            </w:tcBorders>
            <w:vAlign w:val="center"/>
          </w:tcPr>
          <w:p>
            <w:pPr>
              <w:spacing w:line="360" w:lineRule="exact"/>
              <w:jc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PH</w:t>
            </w:r>
          </w:p>
        </w:tc>
        <w:tc>
          <w:tcPr>
            <w:tcW w:w="6120" w:type="dxa"/>
            <w:tcBorders>
              <w:tl2br w:val="nil"/>
              <w:tr2bl w:val="nil"/>
            </w:tcBorders>
            <w:vAlign w:val="center"/>
          </w:tcPr>
          <w:p>
            <w:pPr>
              <w:jc w:val="left"/>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auto"/>
                <w:sz w:val="21"/>
                <w:szCs w:val="21"/>
                <w:highlight w:val="none"/>
                <w:lang w:val="en-US" w:eastAsia="zh-CN"/>
              </w:rPr>
              <w:t>固体废物 腐蚀性测定 玻璃电极法GB/T 15555.12-1995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tc>
        <w:tc>
          <w:tcPr>
            <w:tcW w:w="1723" w:type="dxa"/>
            <w:tcBorders>
              <w:tl2br w:val="nil"/>
              <w:tr2bl w:val="nil"/>
            </w:tcBorders>
            <w:vAlign w:val="center"/>
          </w:tcPr>
          <w:p>
            <w:pPr>
              <w:spacing w:line="360" w:lineRule="exact"/>
              <w:jc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eastAsia="宋体" w:cs="Times New Roman"/>
                <w:i w:val="0"/>
                <w:color w:val="000000"/>
                <w:sz w:val="21"/>
                <w:szCs w:val="21"/>
                <w:u w:val="none"/>
                <w:lang w:eastAsia="zh-CN"/>
              </w:rPr>
              <w:t>总汞</w:t>
            </w:r>
          </w:p>
        </w:tc>
        <w:tc>
          <w:tcPr>
            <w:tcW w:w="6120" w:type="dxa"/>
            <w:tcBorders>
              <w:tl2br w:val="nil"/>
              <w:tr2bl w:val="nil"/>
            </w:tcBorders>
            <w:vAlign w:val="center"/>
          </w:tcPr>
          <w:p>
            <w:pPr>
              <w:jc w:val="left"/>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auto"/>
                <w:kern w:val="0"/>
                <w:sz w:val="21"/>
                <w:szCs w:val="21"/>
                <w:u w:val="none"/>
                <w:lang w:val="en-US" w:eastAsia="zh-CN" w:bidi="ar"/>
              </w:rPr>
              <w:t>固体废物 汞、砷、硒、铋、锑的测定 微波消解/原子荧光法</w:t>
            </w:r>
            <w:r>
              <w:rPr>
                <w:rFonts w:hint="default" w:ascii="Times New Roman" w:hAnsi="Times New Roman" w:eastAsia="宋体" w:cs="Times New Roman"/>
                <w:i w:val="0"/>
                <w:color w:val="auto"/>
                <w:kern w:val="0"/>
                <w:sz w:val="21"/>
                <w:szCs w:val="21"/>
                <w:u w:val="none"/>
                <w:lang w:val="en-US" w:eastAsia="zh-CN" w:bidi="ar"/>
              </w:rPr>
              <w:t>HJ 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tc>
        <w:tc>
          <w:tcPr>
            <w:tcW w:w="1723" w:type="dxa"/>
            <w:tcBorders>
              <w:tl2br w:val="nil"/>
              <w:tr2bl w:val="nil"/>
            </w:tcBorders>
            <w:vAlign w:val="center"/>
          </w:tcPr>
          <w:p>
            <w:pPr>
              <w:spacing w:line="360" w:lineRule="exact"/>
              <w:jc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铜</w:t>
            </w:r>
            <w:r>
              <w:rPr>
                <w:rFonts w:hint="eastAsia" w:ascii="Times New Roman" w:hAnsi="Times New Roman" w:cs="Times New Roman"/>
                <w:color w:val="auto"/>
                <w:sz w:val="21"/>
                <w:szCs w:val="21"/>
                <w:highlight w:val="none"/>
                <w:lang w:val="en-US" w:eastAsia="zh-CN"/>
              </w:rPr>
              <w:t>、总锌</w:t>
            </w:r>
          </w:p>
        </w:tc>
        <w:tc>
          <w:tcPr>
            <w:tcW w:w="6120" w:type="dxa"/>
            <w:tcBorders>
              <w:tl2br w:val="nil"/>
              <w:tr2bl w:val="nil"/>
            </w:tcBorders>
            <w:vAlign w:val="center"/>
          </w:tcPr>
          <w:p>
            <w:pPr>
              <w:jc w:val="left"/>
              <w:rPr>
                <w:rFonts w:hint="eastAsia" w:ascii="宋体" w:hAnsi="宋体" w:eastAsia="宋体" w:cs="宋体"/>
                <w:i w:val="0"/>
                <w:color w:val="auto"/>
                <w:kern w:val="0"/>
                <w:sz w:val="21"/>
                <w:szCs w:val="21"/>
                <w:u w:val="none"/>
                <w:lang w:val="en-US" w:eastAsia="zh-CN" w:bidi="ar"/>
              </w:rPr>
            </w:pPr>
            <w:r>
              <w:rPr>
                <w:rFonts w:hint="default" w:ascii="Times New Roman" w:hAnsi="Times New Roman" w:cs="Times New Roman"/>
                <w:color w:val="auto"/>
                <w:sz w:val="21"/>
                <w:szCs w:val="21"/>
                <w:highlight w:val="none"/>
                <w:lang w:val="en-US" w:eastAsia="zh-CN"/>
              </w:rPr>
              <w:t>固体废物</w:t>
            </w:r>
            <w:r>
              <w:rPr>
                <w:rFonts w:hint="eastAsia" w:ascii="Times New Roman" w:hAnsi="Times New Roman" w:cs="Times New Roman"/>
                <w:color w:val="auto"/>
                <w:sz w:val="21"/>
                <w:szCs w:val="21"/>
                <w:highlight w:val="none"/>
                <w:lang w:val="en-US" w:eastAsia="zh-CN"/>
              </w:rPr>
              <w:t xml:space="preserve"> </w:t>
            </w:r>
            <w:r>
              <w:rPr>
                <w:rFonts w:hint="eastAsia"/>
                <w:color w:val="auto"/>
              </w:rPr>
              <w:t>危险废物鉴别标准  浸出毒性鉴别GB 5085.3-2007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tc>
        <w:tc>
          <w:tcPr>
            <w:tcW w:w="1723" w:type="dxa"/>
            <w:tcBorders>
              <w:tl2br w:val="nil"/>
              <w:tr2bl w:val="nil"/>
            </w:tcBorders>
            <w:vAlign w:val="center"/>
          </w:tcPr>
          <w:p>
            <w:pPr>
              <w:spacing w:line="360" w:lineRule="exact"/>
              <w:jc w:val="center"/>
              <w:rPr>
                <w:rFonts w:hint="eastAsia" w:ascii="Times New Roman" w:hAnsi="Times New Roman" w:eastAsia="宋体" w:cs="Times New Roman"/>
                <w:i w:val="0"/>
                <w:color w:val="000000"/>
                <w:sz w:val="21"/>
                <w:szCs w:val="21"/>
                <w:u w:val="none"/>
                <w:lang w:eastAsia="zh-CN"/>
              </w:rPr>
            </w:pPr>
            <w:r>
              <w:rPr>
                <w:rFonts w:hint="eastAsia" w:ascii="Times New Roman" w:hAnsi="Times New Roman"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铬</w:t>
            </w:r>
            <w:r>
              <w:rPr>
                <w:rFonts w:hint="eastAsia" w:ascii="Times New Roman" w:hAnsi="Times New Roman" w:cs="Times New Roman"/>
                <w:color w:val="auto"/>
                <w:sz w:val="21"/>
                <w:szCs w:val="21"/>
                <w:highlight w:val="none"/>
                <w:lang w:val="en-US" w:eastAsia="zh-CN"/>
              </w:rPr>
              <w:t>、镍</w:t>
            </w:r>
          </w:p>
        </w:tc>
        <w:tc>
          <w:tcPr>
            <w:tcW w:w="6120" w:type="dxa"/>
            <w:tcBorders>
              <w:tl2br w:val="nil"/>
              <w:tr2bl w:val="nil"/>
            </w:tcBorders>
            <w:vAlign w:val="center"/>
          </w:tcPr>
          <w:p>
            <w:pPr>
              <w:jc w:val="left"/>
              <w:rPr>
                <w:rFonts w:hint="eastAsia" w:ascii="宋体" w:hAnsi="宋体" w:eastAsia="宋体" w:cs="宋体"/>
                <w:i w:val="0"/>
                <w:color w:val="auto"/>
                <w:kern w:val="0"/>
                <w:sz w:val="21"/>
                <w:szCs w:val="21"/>
                <w:u w:val="none"/>
                <w:lang w:val="en-US" w:eastAsia="zh-CN" w:bidi="ar"/>
              </w:rPr>
            </w:pPr>
            <w:r>
              <w:rPr>
                <w:rFonts w:hint="default" w:ascii="Times New Roman" w:hAnsi="Times New Roman" w:cs="Times New Roman"/>
                <w:color w:val="auto"/>
                <w:sz w:val="21"/>
                <w:szCs w:val="21"/>
                <w:highlight w:val="none"/>
                <w:lang w:val="en-US" w:eastAsia="zh-CN"/>
              </w:rPr>
              <w:t>固体废物</w:t>
            </w:r>
            <w:r>
              <w:rPr>
                <w:rFonts w:hint="eastAsia" w:ascii="Times New Roman" w:hAnsi="Times New Roman" w:cs="Times New Roman"/>
                <w:color w:val="auto"/>
                <w:sz w:val="21"/>
                <w:szCs w:val="21"/>
                <w:highlight w:val="none"/>
                <w:lang w:val="en-US" w:eastAsia="zh-CN"/>
              </w:rPr>
              <w:t xml:space="preserve"> </w:t>
            </w:r>
            <w:r>
              <w:rPr>
                <w:rFonts w:hint="eastAsia"/>
                <w:color w:val="auto"/>
              </w:rPr>
              <w:t>危险废物鉴别标准  浸出毒性鉴别GB 5085.3-2007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tc>
        <w:tc>
          <w:tcPr>
            <w:tcW w:w="1723"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砷</w:t>
            </w:r>
          </w:p>
        </w:tc>
        <w:tc>
          <w:tcPr>
            <w:tcW w:w="6120" w:type="dxa"/>
            <w:tcBorders>
              <w:tl2br w:val="nil"/>
              <w:tr2bl w:val="nil"/>
            </w:tcBorders>
            <w:vAlign w:val="center"/>
          </w:tcPr>
          <w:p>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固体废物 汞、砷、硒、铋、锑的测定 微波消解/原子荧光法HJ 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7" w:hRule="atLeast"/>
          <w:jc w:val="center"/>
        </w:trPr>
        <w:tc>
          <w:tcPr>
            <w:tcW w:w="826"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21"/>
                <w:szCs w:val="21"/>
                <w:u w:val="none"/>
                <w:lang w:eastAsia="zh-CN"/>
              </w:rPr>
            </w:pPr>
          </w:p>
        </w:tc>
        <w:tc>
          <w:tcPr>
            <w:tcW w:w="1723"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镉</w:t>
            </w:r>
            <w:r>
              <w:rPr>
                <w:rFonts w:hint="eastAsia" w:ascii="Times New Roman" w:hAnsi="Times New Roman" w:cs="Times New Roman"/>
                <w:color w:val="auto"/>
                <w:sz w:val="21"/>
                <w:szCs w:val="21"/>
                <w:highlight w:val="none"/>
                <w:lang w:val="en-US" w:eastAsia="zh-CN"/>
              </w:rPr>
              <w:t>、铅</w:t>
            </w:r>
          </w:p>
        </w:tc>
        <w:tc>
          <w:tcPr>
            <w:tcW w:w="6120" w:type="dxa"/>
            <w:tcBorders>
              <w:tl2br w:val="nil"/>
              <w:tr2bl w:val="nil"/>
            </w:tcBorders>
            <w:vAlign w:val="center"/>
          </w:tcPr>
          <w:p>
            <w:pPr>
              <w:jc w:val="left"/>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highlight w:val="none"/>
                <w:lang w:val="en-US" w:eastAsia="zh-CN"/>
              </w:rPr>
              <w:t>固体废物</w:t>
            </w:r>
            <w:r>
              <w:rPr>
                <w:rFonts w:hint="eastAsia" w:ascii="Times New Roman" w:hAnsi="Times New Roman" w:cs="Times New Roman"/>
                <w:color w:val="auto"/>
                <w:sz w:val="21"/>
                <w:szCs w:val="21"/>
                <w:highlight w:val="none"/>
                <w:lang w:val="en-US" w:eastAsia="zh-CN"/>
              </w:rPr>
              <w:t xml:space="preserve"> </w:t>
            </w:r>
            <w:r>
              <w:rPr>
                <w:rFonts w:hint="eastAsia"/>
                <w:color w:val="auto"/>
              </w:rPr>
              <w:t>危险废物鉴别标准  浸出毒性鉴别GB 5085.3-2007</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39" w:name="_Toc18711"/>
      <w:r>
        <w:rPr>
          <w:rFonts w:hint="eastAsia" w:hAnsi="宋体" w:eastAsia="宋体" w:cstheme="minorBidi"/>
          <w:b/>
          <w:bCs/>
          <w:kern w:val="2"/>
          <w:sz w:val="30"/>
          <w:szCs w:val="30"/>
          <w:lang w:val="en-US" w:eastAsia="zh-CN" w:bidi="ar-SA"/>
        </w:rPr>
        <w:t>8.2监测仪器</w:t>
      </w:r>
      <w:bookmarkEnd w:id="39"/>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动力站验收监测仪器见表8-2。</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表8-2  验收监测仪器</w:t>
      </w:r>
    </w:p>
    <w:tbl>
      <w:tblPr>
        <w:tblStyle w:val="11"/>
        <w:tblW w:w="8589" w:type="dxa"/>
        <w:jc w:val="right"/>
        <w:tblInd w:w="85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4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right"/>
        </w:trPr>
        <w:tc>
          <w:tcPr>
            <w:tcW w:w="4294"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仪器名称</w:t>
            </w:r>
          </w:p>
        </w:tc>
        <w:tc>
          <w:tcPr>
            <w:tcW w:w="429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right"/>
        </w:trPr>
        <w:tc>
          <w:tcPr>
            <w:tcW w:w="4294" w:type="dxa"/>
            <w:tcBorders>
              <w:tl2br w:val="nil"/>
              <w:tr2bl w:val="nil"/>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PH计</w:t>
            </w:r>
          </w:p>
        </w:tc>
        <w:tc>
          <w:tcPr>
            <w:tcW w:w="4295" w:type="dxa"/>
            <w:tcBorders>
              <w:tl2br w:val="nil"/>
              <w:tr2bl w:val="nil"/>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PHB-4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十万分之一天平</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ME155DU/02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恒温恒湿培养箱</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HWS-150型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原子荧光光度计</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AFS-930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红外分光测油仪</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OIL480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可见分光光度计</w:t>
            </w:r>
          </w:p>
        </w:tc>
        <w:tc>
          <w:tcPr>
            <w:tcW w:w="4295"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722N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pH计</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PHB-4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原子吸收分光光度计</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PE-900T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自动烟尘烟气综合测试仪</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ZR-3260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便携式智能烟气分析仪</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PAS-X6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4294" w:type="dxa"/>
            <w:tcBorders>
              <w:tl2br w:val="nil"/>
              <w:tr2bl w:val="nil"/>
            </w:tcBorders>
            <w:vAlign w:val="center"/>
          </w:tcPr>
          <w:p>
            <w:pPr>
              <w:widowControl/>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环境空气颗粒物综合采样器</w:t>
            </w:r>
          </w:p>
        </w:tc>
        <w:tc>
          <w:tcPr>
            <w:tcW w:w="4295" w:type="dxa"/>
            <w:tcBorders>
              <w:tl2br w:val="nil"/>
              <w:tr2bl w:val="nil"/>
            </w:tcBorders>
            <w:vAlign w:val="center"/>
          </w:tcPr>
          <w:p>
            <w:pPr>
              <w:widowControl/>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ZR-3920</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40" w:name="_Toc30556"/>
      <w:r>
        <w:rPr>
          <w:rFonts w:hint="eastAsia" w:hAnsi="宋体" w:eastAsia="宋体" w:cstheme="minorBidi"/>
          <w:b/>
          <w:bCs/>
          <w:kern w:val="2"/>
          <w:sz w:val="30"/>
          <w:szCs w:val="30"/>
          <w:lang w:val="en-US" w:eastAsia="zh-CN" w:bidi="ar-SA"/>
        </w:rPr>
        <w:t>8.3人员能力</w:t>
      </w:r>
      <w:bookmarkEnd w:id="40"/>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本次动力站验收监测人员均通过上岗证考核并持有验收监测相关内容的监测人员上岗证，掌握并能够熟练按照相关验收监测技术规范和要求进行现场监测，保证监测过程真实、客观和规范。</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41" w:name="_Toc8559"/>
      <w:r>
        <w:rPr>
          <w:rFonts w:hint="eastAsia" w:hAnsi="宋体" w:eastAsia="宋体" w:cstheme="minorBidi"/>
          <w:b/>
          <w:bCs/>
          <w:kern w:val="2"/>
          <w:sz w:val="30"/>
          <w:szCs w:val="30"/>
          <w:lang w:val="en-US" w:eastAsia="zh-CN" w:bidi="ar-SA"/>
        </w:rPr>
        <w:t>8.4水质监测分析过程中的质量保证和质量控制</w:t>
      </w:r>
      <w:bookmarkEnd w:id="41"/>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bCs/>
          <w:kern w:val="2"/>
          <w:sz w:val="28"/>
          <w:szCs w:val="28"/>
          <w:lang w:val="en-US" w:eastAsia="zh-CN" w:bidi="ar-SA"/>
        </w:rPr>
      </w:pPr>
      <w:r>
        <w:rPr>
          <w:rFonts w:hint="eastAsia" w:hAnsi="宋体" w:eastAsia="宋体"/>
          <w:color w:val="000000"/>
          <w:sz w:val="28"/>
          <w:szCs w:val="28"/>
          <w:lang w:eastAsia="zh-CN"/>
        </w:rPr>
        <w:t>本次验收的</w:t>
      </w:r>
      <w:r>
        <w:rPr>
          <w:rFonts w:hint="eastAsia" w:ascii="宋体" w:hAnsi="宋体" w:eastAsia="宋体"/>
          <w:color w:val="000000"/>
          <w:sz w:val="28"/>
          <w:szCs w:val="28"/>
        </w:rPr>
        <w:t>水样采集、运输、保存、实验室分析和数据计算的全过程均按《环境水质监测质量保证手册》（第四版）等要求进行。选择的方法检出限</w:t>
      </w:r>
      <w:r>
        <w:rPr>
          <w:rFonts w:hint="eastAsia" w:hAnsi="宋体" w:eastAsia="宋体"/>
          <w:color w:val="000000"/>
          <w:sz w:val="28"/>
          <w:szCs w:val="28"/>
          <w:lang w:eastAsia="zh-CN"/>
        </w:rPr>
        <w:t>也</w:t>
      </w:r>
      <w:r>
        <w:rPr>
          <w:rFonts w:hint="eastAsia" w:ascii="宋体" w:hAnsi="宋体" w:eastAsia="宋体"/>
          <w:color w:val="000000"/>
          <w:sz w:val="28"/>
          <w:szCs w:val="28"/>
        </w:rPr>
        <w:t>满足</w:t>
      </w:r>
      <w:r>
        <w:rPr>
          <w:rFonts w:hint="eastAsia" w:hAnsi="宋体" w:eastAsia="宋体"/>
          <w:color w:val="000000"/>
          <w:sz w:val="28"/>
          <w:szCs w:val="28"/>
          <w:lang w:eastAsia="zh-CN"/>
        </w:rPr>
        <w:t>其</w:t>
      </w:r>
      <w:r>
        <w:rPr>
          <w:rFonts w:hint="eastAsia" w:ascii="宋体" w:hAnsi="宋体" w:eastAsia="宋体"/>
          <w:color w:val="000000"/>
          <w:sz w:val="28"/>
          <w:szCs w:val="28"/>
        </w:rPr>
        <w:t>要求。采样过程中采集平行样；实验室分析过程</w:t>
      </w:r>
      <w:r>
        <w:rPr>
          <w:rFonts w:hint="eastAsia" w:hAnsi="宋体" w:eastAsia="宋体"/>
          <w:color w:val="000000"/>
          <w:sz w:val="28"/>
          <w:szCs w:val="28"/>
          <w:lang w:eastAsia="zh-CN"/>
        </w:rPr>
        <w:t>中</w:t>
      </w:r>
      <w:r>
        <w:rPr>
          <w:rFonts w:hint="eastAsia" w:ascii="宋体" w:hAnsi="宋体" w:eastAsia="宋体"/>
          <w:color w:val="000000"/>
          <w:sz w:val="28"/>
          <w:szCs w:val="28"/>
        </w:rPr>
        <w:t>使用标准物质、空白试验、平行双样测定、加标回收率测定等</w:t>
      </w:r>
      <w:r>
        <w:rPr>
          <w:rFonts w:hint="eastAsia" w:hAnsi="宋体" w:eastAsia="宋体"/>
          <w:color w:val="000000"/>
          <w:sz w:val="28"/>
          <w:szCs w:val="28"/>
          <w:lang w:eastAsia="zh-CN"/>
        </w:rPr>
        <w:t>作为</w:t>
      </w:r>
      <w:r>
        <w:rPr>
          <w:rFonts w:hint="eastAsia" w:ascii="宋体" w:hAnsi="宋体" w:eastAsia="宋体"/>
          <w:color w:val="000000"/>
          <w:sz w:val="28"/>
          <w:szCs w:val="28"/>
        </w:rPr>
        <w:t>质控措施并对质控数据</w:t>
      </w:r>
      <w:r>
        <w:rPr>
          <w:rFonts w:hint="eastAsia" w:hAnsi="宋体" w:eastAsia="宋体"/>
          <w:color w:val="000000"/>
          <w:sz w:val="28"/>
          <w:szCs w:val="28"/>
          <w:lang w:eastAsia="zh-CN"/>
        </w:rPr>
        <w:t>进行了</w:t>
      </w:r>
      <w:r>
        <w:rPr>
          <w:rFonts w:hint="eastAsia" w:ascii="宋体" w:hAnsi="宋体" w:eastAsia="宋体"/>
          <w:color w:val="000000"/>
          <w:sz w:val="28"/>
          <w:szCs w:val="28"/>
        </w:rPr>
        <w:t>分析</w:t>
      </w:r>
      <w:r>
        <w:rPr>
          <w:rFonts w:hint="eastAsia" w:hAnsi="宋体" w:eastAsia="宋体"/>
          <w:color w:val="00000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cstheme="minorBidi"/>
          <w:b/>
          <w:bCs/>
          <w:kern w:val="2"/>
          <w:sz w:val="30"/>
          <w:szCs w:val="30"/>
          <w:lang w:val="en-US" w:eastAsia="zh-CN" w:bidi="ar-SA"/>
        </w:rPr>
      </w:pPr>
      <w:bookmarkStart w:id="42" w:name="_Toc27967"/>
      <w:r>
        <w:rPr>
          <w:rFonts w:hint="eastAsia" w:hAnsi="宋体" w:eastAsia="宋体" w:cstheme="minorBidi"/>
          <w:b/>
          <w:bCs/>
          <w:kern w:val="2"/>
          <w:sz w:val="30"/>
          <w:szCs w:val="30"/>
          <w:lang w:val="en-US" w:eastAsia="zh-CN" w:bidi="ar-SA"/>
        </w:rPr>
        <w:t>8.5废气监测分析过程中的质量保证和质量控制</w:t>
      </w:r>
      <w:bookmarkEnd w:id="42"/>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1</w:t>
      </w:r>
      <w:r>
        <w:rPr>
          <w:rFonts w:hint="eastAsia" w:ascii="宋体" w:hAnsi="宋体" w:eastAsia="宋体" w:cstheme="minorBidi"/>
          <w:b w:val="0"/>
          <w:bCs w:val="0"/>
          <w:kern w:val="2"/>
          <w:sz w:val="28"/>
          <w:szCs w:val="28"/>
          <w:lang w:val="en-US" w:eastAsia="zh-CN" w:bidi="ar-SA"/>
        </w:rPr>
        <w:t>、</w:t>
      </w:r>
      <w:r>
        <w:rPr>
          <w:rFonts w:hint="eastAsia" w:ascii="宋体" w:hAnsi="宋体" w:eastAsia="宋体" w:cstheme="minorBidi"/>
          <w:b w:val="0"/>
          <w:bCs w:val="0"/>
          <w:kern w:val="2"/>
          <w:sz w:val="28"/>
          <w:szCs w:val="28"/>
          <w:lang w:val="zh-CN" w:eastAsia="zh-CN" w:bidi="ar-SA"/>
        </w:rPr>
        <w:t>监测前质控措施</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废气监测的质量保证按照国家环保局发布的《环境监测技术规范》要求进行全过程质量控制。颗粒物采样器在采样前对流量计进行校准，烟气采集方法和采气量严格按照《固定污染源排气中颗粒物测定与气态污染物采样方法》（GB/T16157-1996）执行。监测仪器经计量部门检验并在有效期内使用，监测人员持证上岗，监测数据经三级审核。烟气成份测试仪器测量前均经标准气体校准。</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1）现场监测前，制定现场监测质控方案，并由质控室派专人进行现场质控。</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2）颗粒物采样器</w:t>
      </w:r>
      <w:r>
        <w:rPr>
          <w:rFonts w:hint="eastAsia" w:ascii="宋体" w:hAnsi="宋体" w:eastAsia="宋体" w:cstheme="minorBidi"/>
          <w:b w:val="0"/>
          <w:bCs w:val="0"/>
          <w:kern w:val="2"/>
          <w:sz w:val="28"/>
          <w:szCs w:val="28"/>
          <w:lang w:val="en-US" w:eastAsia="zh-CN" w:bidi="ar-SA"/>
        </w:rPr>
        <w:t>和</w:t>
      </w:r>
      <w:r>
        <w:rPr>
          <w:rFonts w:hint="eastAsia" w:ascii="宋体" w:hAnsi="宋体" w:eastAsia="宋体" w:cstheme="minorBidi"/>
          <w:b w:val="0"/>
          <w:bCs w:val="0"/>
          <w:kern w:val="2"/>
          <w:sz w:val="28"/>
          <w:szCs w:val="28"/>
          <w:lang w:val="zh-CN" w:eastAsia="zh-CN" w:bidi="ar-SA"/>
        </w:rPr>
        <w:t>烟气分析仪，具有现场测试数据打印功能。</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3）颗粒物采样仪在进入现场前应对采样仪流量计进行校核。烟气监测（分析）仪器在测试前按监测因子用标准气体对其进行校核（标定）。</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4）大气采样仪在进入现场前应对采样仪流量计进行校核。</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5）进入现场的气象因素测量仪器需满足测量要求，且在计量检定周期内。</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2、监测过程质控措施</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1）有组织废气在测试时，保证其采样断面的测点数、采样量符合标准、规范要求，现场打印颗粒物、烟气等测试数据。</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2）有组织废气在采样前对仪器连接做气密性检查，对在测试环境恶劣的条件下使用后的仪器，及时检查仪器传感器性能。</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en-US" w:eastAsia="zh-CN" w:bidi="ar-SA"/>
        </w:rPr>
        <w:t>3</w:t>
      </w:r>
      <w:r>
        <w:rPr>
          <w:rFonts w:hint="eastAsia" w:ascii="宋体" w:hAnsi="宋体" w:eastAsia="宋体" w:cstheme="minorBidi"/>
          <w:b w:val="0"/>
          <w:bCs w:val="0"/>
          <w:kern w:val="2"/>
          <w:sz w:val="28"/>
          <w:szCs w:val="28"/>
          <w:lang w:val="zh-CN" w:eastAsia="zh-CN" w:bidi="ar-SA"/>
        </w:rPr>
        <w:t>）监测人员进行煤样现场采取，并进行保密编号。</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3、监测后质控措施</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1）监测后数据采取三级审核制，监测数据统一由质控室审核、报出。</w:t>
      </w:r>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2）监测人员将具有保密编号的煤样委托第三方有资质的单位进行煤质化验。</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val="0"/>
          <w:bCs w:val="0"/>
          <w:kern w:val="2"/>
          <w:sz w:val="30"/>
          <w:szCs w:val="30"/>
          <w:lang w:val="zh-CN" w:eastAsia="zh-CN" w:bidi="ar-SA"/>
        </w:rPr>
      </w:pPr>
      <w:bookmarkStart w:id="43" w:name="_Toc12710"/>
      <w:r>
        <w:rPr>
          <w:rFonts w:hint="eastAsia" w:ascii="宋体" w:hAnsi="宋体" w:eastAsia="宋体" w:cs="宋体"/>
          <w:b/>
          <w:bCs/>
          <w:kern w:val="2"/>
          <w:sz w:val="30"/>
          <w:szCs w:val="30"/>
          <w:lang w:val="en-US" w:eastAsia="zh-CN" w:bidi="ar-SA"/>
        </w:rPr>
        <w:t>8.6固体废物监测分析过程中的质量保证和质量控制</w:t>
      </w:r>
      <w:bookmarkEnd w:id="43"/>
    </w:p>
    <w:p>
      <w:pPr>
        <w:ind w:firstLine="560" w:firstLineChars="200"/>
        <w:rPr>
          <w:rFonts w:hint="eastAsia" w:ascii="宋体" w:hAnsi="宋体" w:eastAsia="宋体" w:cstheme="minorBidi"/>
          <w:b w:val="0"/>
          <w:bCs w:val="0"/>
          <w:kern w:val="2"/>
          <w:sz w:val="28"/>
          <w:szCs w:val="28"/>
          <w:lang w:val="zh-CN" w:eastAsia="zh-CN" w:bidi="ar-SA"/>
        </w:rPr>
      </w:pPr>
      <w:r>
        <w:rPr>
          <w:rFonts w:hint="eastAsia" w:ascii="宋体" w:hAnsi="宋体" w:eastAsia="宋体" w:cstheme="minorBidi"/>
          <w:b w:val="0"/>
          <w:bCs w:val="0"/>
          <w:kern w:val="2"/>
          <w:sz w:val="28"/>
          <w:szCs w:val="28"/>
          <w:lang w:val="zh-CN" w:eastAsia="zh-CN" w:bidi="ar-SA"/>
        </w:rPr>
        <w:t>固体废物监测中布点、采样、样品制备、样品测试等均按照《工业固体废物采样制样技术规范》（HJ/T20-1998）要求进行。</w:t>
      </w:r>
    </w:p>
    <w:p>
      <w:pPr>
        <w:pStyle w:val="2"/>
        <w:rPr>
          <w:rFonts w:hint="eastAsia" w:ascii="宋体" w:hAnsi="宋体" w:eastAsia="宋体" w:cstheme="minorBidi"/>
          <w:b w:val="0"/>
          <w:bCs w:val="0"/>
          <w:kern w:val="2"/>
          <w:sz w:val="28"/>
          <w:szCs w:val="28"/>
          <w:lang w:val="zh-CN" w:eastAsia="zh-CN" w:bidi="ar-SA"/>
        </w:rPr>
      </w:pPr>
    </w:p>
    <w:p>
      <w:pPr>
        <w:pStyle w:val="3"/>
        <w:rPr>
          <w:rFonts w:hint="eastAsia" w:ascii="宋体" w:hAnsi="宋体" w:eastAsia="宋体" w:cstheme="minorBidi"/>
          <w:b w:val="0"/>
          <w:bCs w:val="0"/>
          <w:kern w:val="2"/>
          <w:sz w:val="28"/>
          <w:szCs w:val="28"/>
          <w:lang w:val="zh-CN" w:eastAsia="zh-CN" w:bidi="ar-SA"/>
        </w:rPr>
      </w:pPr>
    </w:p>
    <w:p>
      <w:pPr>
        <w:rPr>
          <w:rFonts w:hint="eastAsia" w:ascii="宋体" w:hAnsi="宋体" w:eastAsia="宋体" w:cstheme="minorBidi"/>
          <w:b w:val="0"/>
          <w:bCs w:val="0"/>
          <w:kern w:val="2"/>
          <w:sz w:val="28"/>
          <w:szCs w:val="28"/>
          <w:lang w:val="zh-CN" w:eastAsia="zh-CN" w:bidi="ar-SA"/>
        </w:rPr>
      </w:pPr>
    </w:p>
    <w:p>
      <w:pPr>
        <w:pStyle w:val="2"/>
        <w:rPr>
          <w:rFonts w:hint="eastAsia" w:ascii="宋体" w:hAnsi="宋体" w:eastAsia="宋体" w:cstheme="minorBidi"/>
          <w:b w:val="0"/>
          <w:bCs w:val="0"/>
          <w:kern w:val="2"/>
          <w:sz w:val="28"/>
          <w:szCs w:val="28"/>
          <w:lang w:val="zh-CN" w:eastAsia="zh-CN" w:bidi="ar-SA"/>
        </w:rPr>
      </w:pPr>
    </w:p>
    <w:p>
      <w:pPr>
        <w:pStyle w:val="3"/>
        <w:rPr>
          <w:rFonts w:hint="eastAsia" w:ascii="宋体" w:hAnsi="宋体" w:eastAsia="宋体" w:cstheme="minorBidi"/>
          <w:b w:val="0"/>
          <w:bCs w:val="0"/>
          <w:kern w:val="2"/>
          <w:sz w:val="28"/>
          <w:szCs w:val="28"/>
          <w:lang w:val="zh-CN" w:eastAsia="zh-CN" w:bidi="ar-SA"/>
        </w:rPr>
      </w:pPr>
    </w:p>
    <w:p>
      <w:pPr>
        <w:rPr>
          <w:rFonts w:hint="eastAsia" w:ascii="宋体" w:hAnsi="宋体" w:eastAsia="宋体" w:cstheme="minorBidi"/>
          <w:b w:val="0"/>
          <w:bCs w:val="0"/>
          <w:kern w:val="2"/>
          <w:sz w:val="28"/>
          <w:szCs w:val="28"/>
          <w:lang w:val="zh-CN" w:eastAsia="zh-CN" w:bidi="ar-SA"/>
        </w:rPr>
      </w:pPr>
    </w:p>
    <w:p>
      <w:pPr>
        <w:pStyle w:val="2"/>
        <w:rPr>
          <w:rFonts w:hint="eastAsia" w:ascii="宋体" w:hAnsi="宋体" w:eastAsia="宋体" w:cstheme="minorBidi"/>
          <w:b w:val="0"/>
          <w:bCs w:val="0"/>
          <w:kern w:val="2"/>
          <w:sz w:val="28"/>
          <w:szCs w:val="28"/>
          <w:lang w:val="zh-CN" w:eastAsia="zh-CN" w:bidi="ar-SA"/>
        </w:rPr>
      </w:pPr>
    </w:p>
    <w:p>
      <w:pPr>
        <w:pStyle w:val="3"/>
        <w:rPr>
          <w:rFonts w:hint="eastAsia" w:ascii="宋体" w:hAnsi="宋体" w:eastAsia="宋体" w:cstheme="minorBidi"/>
          <w:b w:val="0"/>
          <w:bCs w:val="0"/>
          <w:kern w:val="2"/>
          <w:sz w:val="28"/>
          <w:szCs w:val="28"/>
          <w:lang w:val="zh-CN" w:eastAsia="zh-CN" w:bidi="ar-SA"/>
        </w:rPr>
      </w:pPr>
    </w:p>
    <w:p>
      <w:pPr>
        <w:rPr>
          <w:rFonts w:hint="eastAsia" w:ascii="宋体" w:hAnsi="宋体" w:eastAsia="宋体" w:cstheme="minorBidi"/>
          <w:b w:val="0"/>
          <w:bCs w:val="0"/>
          <w:kern w:val="2"/>
          <w:sz w:val="28"/>
          <w:szCs w:val="28"/>
          <w:lang w:val="zh-CN" w:eastAsia="zh-CN" w:bidi="ar-SA"/>
        </w:rPr>
      </w:pPr>
    </w:p>
    <w:p>
      <w:pPr>
        <w:pStyle w:val="2"/>
        <w:rPr>
          <w:rFonts w:hint="eastAsia" w:ascii="宋体" w:hAnsi="宋体" w:eastAsia="宋体" w:cstheme="minorBidi"/>
          <w:b w:val="0"/>
          <w:bCs w:val="0"/>
          <w:kern w:val="2"/>
          <w:sz w:val="28"/>
          <w:szCs w:val="28"/>
          <w:lang w:val="zh-CN" w:eastAsia="zh-CN" w:bidi="ar-SA"/>
        </w:rPr>
      </w:pPr>
    </w:p>
    <w:p>
      <w:pPr>
        <w:pStyle w:val="3"/>
        <w:rPr>
          <w:rFonts w:hint="eastAsia"/>
          <w:lang w:val="zh-CN" w:eastAsia="zh-CN"/>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eastAsia="宋体" w:cs="Times New Roman"/>
          <w:b/>
          <w:bCs/>
          <w:sz w:val="32"/>
          <w:szCs w:val="32"/>
          <w:lang w:val="en-US" w:eastAsia="zh-CN"/>
        </w:rPr>
      </w:pPr>
      <w:bookmarkStart w:id="44" w:name="_Toc6943"/>
      <w:r>
        <w:rPr>
          <w:rFonts w:hint="eastAsia" w:ascii="Times New Roman" w:hAnsi="Times New Roman" w:eastAsia="宋体" w:cs="Times New Roman"/>
          <w:b/>
          <w:bCs/>
          <w:sz w:val="32"/>
          <w:szCs w:val="32"/>
          <w:lang w:val="en-US" w:eastAsia="zh-CN"/>
        </w:rPr>
        <w:t>9验收监测结果</w:t>
      </w:r>
      <w:bookmarkEnd w:id="44"/>
    </w:p>
    <w:p>
      <w:pPr>
        <w:pStyle w:val="2"/>
        <w:keepNext w:val="0"/>
        <w:keepLines w:val="0"/>
        <w:pageBreakBefore w:val="0"/>
        <w:widowControl w:val="0"/>
        <w:kinsoku/>
        <w:wordWrap/>
        <w:overflowPunct/>
        <w:topLinePunct w:val="0"/>
        <w:autoSpaceDE/>
        <w:autoSpaceDN/>
        <w:bidi w:val="0"/>
        <w:adjustRightInd/>
        <w:snapToGrid/>
        <w:textAlignment w:val="auto"/>
        <w:outlineLvl w:val="1"/>
        <w:rPr>
          <w:rFonts w:hint="eastAsia" w:hAnsi="宋体" w:eastAsia="宋体" w:cstheme="minorBidi"/>
          <w:b/>
          <w:bCs/>
          <w:kern w:val="2"/>
          <w:sz w:val="30"/>
          <w:szCs w:val="30"/>
          <w:lang w:val="en-US" w:eastAsia="zh-CN" w:bidi="ar-SA"/>
        </w:rPr>
      </w:pPr>
      <w:bookmarkStart w:id="45" w:name="_Toc28697"/>
      <w:r>
        <w:rPr>
          <w:rFonts w:hint="eastAsia" w:ascii="Times New Roman" w:hAnsi="Times New Roman" w:eastAsia="宋体" w:cs="Times New Roman"/>
          <w:b/>
          <w:bCs/>
          <w:sz w:val="30"/>
          <w:szCs w:val="30"/>
          <w:lang w:val="en-US" w:eastAsia="zh-CN"/>
        </w:rPr>
        <w:t>9.1</w:t>
      </w:r>
      <w:r>
        <w:rPr>
          <w:rFonts w:hint="eastAsia" w:hAnsi="宋体" w:eastAsia="宋体" w:cstheme="minorBidi"/>
          <w:b/>
          <w:bCs/>
          <w:kern w:val="2"/>
          <w:sz w:val="30"/>
          <w:szCs w:val="30"/>
          <w:lang w:val="en-US" w:eastAsia="zh-CN" w:bidi="ar-SA"/>
        </w:rPr>
        <w:t>验收工况</w:t>
      </w:r>
      <w:bookmarkEnd w:id="45"/>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本次验收监测期间，2#机组运行稳定，</w:t>
      </w:r>
      <w:r>
        <w:rPr>
          <w:rFonts w:hint="eastAsia" w:hAnsi="宋体" w:eastAsia="宋体" w:cstheme="minorBidi"/>
          <w:b w:val="0"/>
          <w:bCs w:val="0"/>
          <w:color w:val="000000" w:themeColor="text1"/>
          <w:kern w:val="2"/>
          <w:sz w:val="28"/>
          <w:szCs w:val="28"/>
          <w:lang w:val="en-US" w:eastAsia="zh-CN" w:bidi="ar-SA"/>
        </w:rPr>
        <w:t>生产负荷为77.7%，</w:t>
      </w:r>
      <w:r>
        <w:rPr>
          <w:rFonts w:hint="eastAsia" w:hAnsi="宋体" w:eastAsia="宋体" w:cstheme="minorBidi"/>
          <w:b w:val="0"/>
          <w:bCs w:val="0"/>
          <w:kern w:val="2"/>
          <w:sz w:val="28"/>
          <w:szCs w:val="28"/>
          <w:lang w:val="en-US" w:eastAsia="zh-CN" w:bidi="ar-SA"/>
        </w:rPr>
        <w:t>环境保护设施运行稳定正常，验收监测条件要求满足《建设项目竣工环境保护验收技术规范 火力发电厂》（HJ/T255-2006）中：“验收监测数据在工况稳定、生产负荷达到设计的75%以上（含75%）、环境保护设施运行正常的情况下有效”的规定。验收监测期间生产负荷见表9-1,验收监测期间辅料消耗见表9-2，验收期间煤质分析见表9-3。</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表9-1  验收监测期间生产负荷表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3"/>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监测日期</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机组</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额定负荷（MW)</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实际负荷（MW)</w:t>
            </w:r>
          </w:p>
        </w:tc>
        <w:tc>
          <w:tcPr>
            <w:tcW w:w="170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负荷率(%)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10.11</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350</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272</w:t>
            </w:r>
          </w:p>
        </w:tc>
        <w:tc>
          <w:tcPr>
            <w:tcW w:w="170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77.7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10.12</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350</w:t>
            </w:r>
          </w:p>
        </w:tc>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272</w:t>
            </w:r>
          </w:p>
        </w:tc>
        <w:tc>
          <w:tcPr>
            <w:tcW w:w="170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77.7</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bCs/>
          <w:kern w:val="2"/>
          <w:sz w:val="24"/>
          <w:szCs w:val="24"/>
          <w:lang w:val="en-US" w:eastAsia="zh-CN" w:bidi="ar-SA"/>
        </w:rPr>
      </w:pPr>
      <w:r>
        <w:rPr>
          <w:rFonts w:hint="eastAsia" w:hAnsi="宋体" w:eastAsia="宋体" w:cstheme="minorBidi"/>
          <w:b/>
          <w:bCs/>
          <w:kern w:val="2"/>
          <w:sz w:val="24"/>
          <w:szCs w:val="24"/>
          <w:lang w:val="en-US" w:eastAsia="zh-CN" w:bidi="ar-SA"/>
        </w:rPr>
        <w:t>表9-2  验收监测期间原辅料消耗表</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909"/>
        <w:gridCol w:w="1935"/>
        <w:gridCol w:w="2025"/>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监测日期</w:t>
            </w:r>
          </w:p>
        </w:tc>
        <w:tc>
          <w:tcPr>
            <w:tcW w:w="90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机组</w:t>
            </w:r>
          </w:p>
        </w:tc>
        <w:tc>
          <w:tcPr>
            <w:tcW w:w="19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原煤消耗量（t）</w:t>
            </w:r>
          </w:p>
        </w:tc>
        <w:tc>
          <w:tcPr>
            <w:tcW w:w="20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液氨消耗量（kg）</w:t>
            </w:r>
          </w:p>
        </w:tc>
        <w:tc>
          <w:tcPr>
            <w:tcW w:w="19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电石渣消耗量（t）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10.11</w:t>
            </w:r>
          </w:p>
        </w:tc>
        <w:tc>
          <w:tcPr>
            <w:tcW w:w="90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w:t>
            </w:r>
          </w:p>
        </w:tc>
        <w:tc>
          <w:tcPr>
            <w:tcW w:w="19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2560</w:t>
            </w:r>
          </w:p>
        </w:tc>
        <w:tc>
          <w:tcPr>
            <w:tcW w:w="20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1251.2</w:t>
            </w:r>
          </w:p>
        </w:tc>
        <w:tc>
          <w:tcPr>
            <w:tcW w:w="19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10.12</w:t>
            </w:r>
          </w:p>
        </w:tc>
        <w:tc>
          <w:tcPr>
            <w:tcW w:w="90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w:t>
            </w:r>
          </w:p>
        </w:tc>
        <w:tc>
          <w:tcPr>
            <w:tcW w:w="19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2623</w:t>
            </w:r>
          </w:p>
        </w:tc>
        <w:tc>
          <w:tcPr>
            <w:tcW w:w="20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1275.4</w:t>
            </w:r>
          </w:p>
        </w:tc>
        <w:tc>
          <w:tcPr>
            <w:tcW w:w="19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24.3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516" w:type="dxa"/>
            <w:gridSpan w:val="5"/>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hAnsi="宋体" w:eastAsia="宋体" w:cstheme="minorBidi"/>
                <w:b w:val="0"/>
                <w:bCs w:val="0"/>
                <w:kern w:val="2"/>
                <w:sz w:val="21"/>
                <w:szCs w:val="21"/>
                <w:vertAlign w:val="baseline"/>
                <w:lang w:val="en-US" w:eastAsia="zh-CN" w:bidi="ar-SA"/>
              </w:rPr>
            </w:pPr>
            <w:r>
              <w:rPr>
                <w:rFonts w:hint="eastAsia" w:hAnsi="宋体" w:eastAsia="宋体" w:cstheme="minorBidi"/>
                <w:b w:val="0"/>
                <w:bCs w:val="0"/>
                <w:kern w:val="2"/>
                <w:sz w:val="21"/>
                <w:szCs w:val="21"/>
                <w:vertAlign w:val="baseline"/>
                <w:lang w:val="en-US" w:eastAsia="zh-CN" w:bidi="ar-SA"/>
              </w:rPr>
              <w:t>备注：以上原辅料消耗数据由企业提供</w:t>
            </w:r>
          </w:p>
        </w:tc>
      </w:tr>
    </w:tbl>
    <w:p>
      <w:pPr>
        <w:pStyle w:val="2"/>
        <w:jc w:val="center"/>
        <w:rPr>
          <w:rFonts w:hint="eastAsia" w:ascii="Times New Roman" w:hAnsi="Times New Roman" w:eastAsia="宋体" w:cs="Times New Roman"/>
          <w:b/>
          <w:bCs/>
          <w:sz w:val="24"/>
          <w:szCs w:val="24"/>
          <w:lang w:val="en-US" w:eastAsia="zh-CN"/>
        </w:rPr>
      </w:pPr>
    </w:p>
    <w:p>
      <w:pPr>
        <w:pStyle w:val="2"/>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表9-3  验收监测期间煤质分析结果</w:t>
      </w:r>
    </w:p>
    <w:tbl>
      <w:tblPr>
        <w:tblStyle w:val="11"/>
        <w:tblW w:w="852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2"/>
        <w:gridCol w:w="3118"/>
        <w:gridCol w:w="4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tblHeader/>
          <w:jc w:val="center"/>
        </w:trPr>
        <w:tc>
          <w:tcPr>
            <w:tcW w:w="1342" w:type="dxa"/>
            <w:tcBorders>
              <w:right w:val="single" w:color="000000" w:sz="4" w:space="0"/>
            </w:tcBorders>
            <w:vAlign w:val="center"/>
          </w:tcPr>
          <w:p>
            <w:pPr>
              <w:spacing w:beforeLines="20" w:afterLines="20"/>
              <w:jc w:val="center"/>
              <w:rPr>
                <w:rFonts w:hint="eastAsia" w:ascii="宋体" w:hAnsi="宋体" w:eastAsia="宋体" w:cs="宋体"/>
                <w:b w:val="0"/>
                <w:bCs/>
              </w:rPr>
            </w:pPr>
            <w:r>
              <w:rPr>
                <w:rFonts w:hint="eastAsia" w:ascii="宋体" w:hAnsi="宋体" w:eastAsia="宋体" w:cs="宋体"/>
                <w:b w:val="0"/>
                <w:bCs/>
              </w:rPr>
              <w:t>日期</w:t>
            </w:r>
          </w:p>
        </w:tc>
        <w:tc>
          <w:tcPr>
            <w:tcW w:w="3118" w:type="dxa"/>
            <w:tcBorders>
              <w:left w:val="single" w:color="000000" w:sz="4" w:space="0"/>
            </w:tcBorders>
            <w:vAlign w:val="center"/>
          </w:tcPr>
          <w:p>
            <w:pPr>
              <w:spacing w:beforeLines="20" w:afterLines="20"/>
              <w:jc w:val="center"/>
              <w:rPr>
                <w:rFonts w:hint="eastAsia" w:ascii="宋体" w:hAnsi="宋体" w:eastAsia="宋体" w:cs="宋体"/>
                <w:b w:val="0"/>
                <w:bCs/>
              </w:rPr>
            </w:pPr>
            <w:r>
              <w:rPr>
                <w:rFonts w:hint="eastAsia" w:ascii="宋体" w:hAnsi="宋体" w:eastAsia="宋体" w:cs="宋体"/>
                <w:b w:val="0"/>
                <w:bCs/>
              </w:rPr>
              <w:t>分析项目</w:t>
            </w:r>
          </w:p>
        </w:tc>
        <w:tc>
          <w:tcPr>
            <w:tcW w:w="4065" w:type="dxa"/>
            <w:vAlign w:val="center"/>
          </w:tcPr>
          <w:p>
            <w:pPr>
              <w:snapToGrid w:val="0"/>
              <w:spacing w:beforeLines="20" w:afterLines="20"/>
              <w:jc w:val="center"/>
              <w:rPr>
                <w:rFonts w:hint="eastAsia" w:ascii="宋体" w:hAnsi="宋体" w:eastAsia="宋体" w:cs="宋体"/>
                <w:b w:val="0"/>
                <w:bCs/>
              </w:rPr>
            </w:pPr>
            <w:r>
              <w:rPr>
                <w:rFonts w:hint="eastAsia" w:ascii="宋体" w:hAnsi="宋体" w:eastAsia="宋体" w:cs="宋体"/>
                <w:b w:val="0"/>
                <w:bCs/>
              </w:rPr>
              <w:t>2</w:t>
            </w:r>
            <w:r>
              <w:rPr>
                <w:rFonts w:hint="eastAsia" w:ascii="宋体" w:hAnsi="宋体" w:eastAsia="宋体" w:cs="宋体"/>
                <w:b w:val="0"/>
                <w:bCs/>
                <w:lang w:val="en-US" w:eastAsia="zh-CN"/>
              </w:rPr>
              <w:t>#</w:t>
            </w:r>
            <w:r>
              <w:rPr>
                <w:rFonts w:hint="eastAsia" w:ascii="宋体" w:hAnsi="宋体" w:eastAsia="宋体" w:cs="宋体"/>
                <w:b w:val="0"/>
                <w:bCs/>
              </w:rPr>
              <w:t>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restart"/>
            <w:tcBorders>
              <w:right w:val="single" w:color="000000" w:sz="4" w:space="0"/>
            </w:tcBorders>
            <w:vAlign w:val="center"/>
          </w:tcPr>
          <w:p>
            <w:pPr>
              <w:widowControl/>
              <w:autoSpaceDE w:val="0"/>
              <w:autoSpaceDN w:val="0"/>
              <w:jc w:val="center"/>
              <w:rPr>
                <w:rFonts w:hint="eastAsia" w:ascii="宋体" w:hAnsi="宋体" w:eastAsia="宋体" w:cs="宋体"/>
                <w:lang w:val="en-US" w:eastAsia="zh-CN"/>
              </w:rPr>
            </w:pPr>
            <w:r>
              <w:rPr>
                <w:rFonts w:hint="eastAsia" w:ascii="宋体" w:hAnsi="宋体" w:eastAsia="宋体" w:cs="宋体"/>
              </w:rPr>
              <w:t>2018.</w:t>
            </w:r>
            <w:r>
              <w:rPr>
                <w:rFonts w:hint="eastAsia" w:ascii="宋体" w:hAnsi="宋体" w:eastAsia="宋体" w:cs="宋体"/>
                <w:lang w:val="en-US" w:eastAsia="zh-CN"/>
              </w:rPr>
              <w:t>10.11</w:t>
            </w: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全水分M</w:t>
            </w:r>
            <w:r>
              <w:rPr>
                <w:rFonts w:hint="eastAsia" w:ascii="宋体" w:hAnsi="宋体" w:eastAsia="宋体" w:cs="宋体"/>
                <w:vertAlign w:val="subscript"/>
              </w:rPr>
              <w:t>t</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空气干燥基水分M</w:t>
            </w:r>
            <w:r>
              <w:rPr>
                <w:rFonts w:hint="eastAsia" w:ascii="宋体" w:hAnsi="宋体" w:eastAsia="宋体" w:cs="宋体"/>
                <w:vertAlign w:val="subscript"/>
              </w:rPr>
              <w:t>ad</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7.68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收到基灰分A</w:t>
            </w:r>
            <w:r>
              <w:rPr>
                <w:rFonts w:hint="eastAsia" w:ascii="宋体" w:hAnsi="宋体" w:eastAsia="宋体" w:cs="宋体"/>
                <w:vertAlign w:val="subscript"/>
              </w:rPr>
              <w: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6.20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干燥无灰基挥发分V</w:t>
            </w:r>
            <w:r>
              <w:rPr>
                <w:rFonts w:hint="eastAsia" w:ascii="宋体" w:hAnsi="宋体" w:eastAsia="宋体" w:cs="宋体"/>
                <w:vertAlign w:val="subscript"/>
              </w:rPr>
              <w:t>daf</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31.00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收到基固定碳FC</w:t>
            </w:r>
            <w:r>
              <w:rPr>
                <w:rFonts w:hint="eastAsia" w:ascii="宋体" w:hAnsi="宋体" w:eastAsia="宋体" w:cs="宋体"/>
                <w:vertAlign w:val="subscript"/>
              </w:rPr>
              <w: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57.06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pStyle w:val="24"/>
              <w:rPr>
                <w:rFonts w:hint="eastAsia" w:ascii="宋体" w:hAnsi="宋体" w:eastAsia="宋体" w:cs="宋体"/>
              </w:rPr>
            </w:pPr>
          </w:p>
        </w:tc>
        <w:tc>
          <w:tcPr>
            <w:tcW w:w="3118" w:type="dxa"/>
            <w:tcBorders>
              <w:left w:val="single" w:color="000000" w:sz="4" w:space="0"/>
            </w:tcBorders>
            <w:vAlign w:val="center"/>
          </w:tcPr>
          <w:p>
            <w:pPr>
              <w:pStyle w:val="24"/>
              <w:rPr>
                <w:rFonts w:hint="eastAsia" w:ascii="宋体" w:hAnsi="宋体" w:eastAsia="宋体" w:cs="宋体"/>
              </w:rPr>
            </w:pPr>
            <w:r>
              <w:rPr>
                <w:rFonts w:hint="eastAsia" w:ascii="宋体" w:hAnsi="宋体" w:eastAsia="宋体" w:cs="宋体"/>
              </w:rPr>
              <w:t>收到基全硫S</w:t>
            </w:r>
            <w:r>
              <w:rPr>
                <w:rFonts w:hint="eastAsia" w:ascii="宋体" w:hAnsi="宋体" w:eastAsia="宋体" w:cs="宋体"/>
                <w:vertAlign w:val="subscript"/>
              </w:rPr>
              <w:t>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bottom w:val="single" w:color="auto" w:sz="4" w:space="0"/>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低位发热量Q</w:t>
            </w:r>
            <w:r>
              <w:rPr>
                <w:rFonts w:hint="eastAsia" w:ascii="宋体" w:hAnsi="宋体" w:eastAsia="宋体" w:cs="宋体"/>
                <w:vertAlign w:val="subscript"/>
              </w:rPr>
              <w:t>netar</w:t>
            </w:r>
            <w:r>
              <w:rPr>
                <w:rFonts w:hint="eastAsia" w:ascii="宋体" w:hAnsi="宋体" w:eastAsia="宋体" w:cs="宋体"/>
              </w:rPr>
              <w:t>MJ/Kg</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24.11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restart"/>
            <w:tcBorders>
              <w:top w:val="single" w:color="auto" w:sz="4" w:space="0"/>
              <w:right w:val="single" w:color="000000" w:sz="4" w:space="0"/>
            </w:tcBorders>
            <w:vAlign w:val="center"/>
          </w:tcPr>
          <w:p>
            <w:pPr>
              <w:autoSpaceDE w:val="0"/>
              <w:autoSpaceDN w:val="0"/>
              <w:jc w:val="center"/>
              <w:rPr>
                <w:rFonts w:hint="eastAsia" w:ascii="宋体" w:hAnsi="宋体" w:eastAsia="宋体" w:cs="宋体"/>
                <w:lang w:val="en-US" w:eastAsia="zh-CN"/>
              </w:rPr>
            </w:pPr>
            <w:r>
              <w:rPr>
                <w:rFonts w:hint="eastAsia" w:ascii="宋体" w:hAnsi="宋体" w:eastAsia="宋体" w:cs="宋体"/>
              </w:rPr>
              <w:t>2018.</w:t>
            </w:r>
            <w:r>
              <w:rPr>
                <w:rFonts w:hint="eastAsia" w:ascii="宋体" w:hAnsi="宋体" w:eastAsia="宋体" w:cs="宋体"/>
                <w:lang w:val="en-US" w:eastAsia="zh-CN"/>
              </w:rPr>
              <w:t>10.12</w:t>
            </w:r>
          </w:p>
        </w:tc>
        <w:tc>
          <w:tcPr>
            <w:tcW w:w="3118" w:type="dxa"/>
            <w:tcBorders>
              <w:left w:val="single" w:color="000000" w:sz="4" w:space="0"/>
            </w:tcBorders>
            <w:vAlign w:val="center"/>
          </w:tcPr>
          <w:p>
            <w:pPr>
              <w:widowControl/>
              <w:autoSpaceDE w:val="0"/>
              <w:autoSpaceDN w:val="0"/>
              <w:jc w:val="center"/>
              <w:rPr>
                <w:rFonts w:hint="eastAsia" w:ascii="宋体" w:hAnsi="宋体" w:eastAsia="宋体" w:cs="宋体"/>
              </w:rPr>
            </w:pPr>
            <w:r>
              <w:rPr>
                <w:rFonts w:hint="eastAsia" w:ascii="宋体" w:hAnsi="宋体" w:eastAsia="宋体" w:cs="宋体"/>
              </w:rPr>
              <w:t>全水分M</w:t>
            </w:r>
            <w:r>
              <w:rPr>
                <w:rFonts w:hint="eastAsia" w:ascii="宋体" w:hAnsi="宋体" w:eastAsia="宋体" w:cs="宋体"/>
                <w:vertAlign w:val="subscript"/>
              </w:rPr>
              <w:t>t</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vAlign w:val="center"/>
          </w:tcPr>
          <w:p>
            <w:pPr>
              <w:widowControl/>
              <w:autoSpaceDE w:val="0"/>
              <w:autoSpaceDN w:val="0"/>
              <w:jc w:val="center"/>
              <w:rPr>
                <w:rFonts w:hint="eastAsia" w:ascii="宋体" w:hAnsi="宋体" w:eastAsia="宋体" w:cs="宋体"/>
              </w:rPr>
            </w:pPr>
            <w:r>
              <w:rPr>
                <w:rFonts w:hint="eastAsia" w:ascii="宋体" w:hAnsi="宋体" w:eastAsia="宋体" w:cs="宋体"/>
              </w:rPr>
              <w:t>空气干燥基水分M</w:t>
            </w:r>
            <w:r>
              <w:rPr>
                <w:rFonts w:hint="eastAsia" w:ascii="宋体" w:hAnsi="宋体" w:eastAsia="宋体" w:cs="宋体"/>
                <w:vertAlign w:val="subscript"/>
              </w:rPr>
              <w:t>ad</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vAlign w:val="center"/>
          </w:tcPr>
          <w:p>
            <w:pPr>
              <w:widowControl/>
              <w:autoSpaceDE w:val="0"/>
              <w:autoSpaceDN w:val="0"/>
              <w:jc w:val="center"/>
              <w:rPr>
                <w:rFonts w:hint="eastAsia" w:ascii="宋体" w:hAnsi="宋体" w:eastAsia="宋体" w:cs="宋体"/>
              </w:rPr>
            </w:pPr>
            <w:r>
              <w:rPr>
                <w:rFonts w:hint="eastAsia" w:ascii="宋体" w:hAnsi="宋体" w:eastAsia="宋体" w:cs="宋体"/>
              </w:rPr>
              <w:t>收到基灰分A</w:t>
            </w:r>
            <w:r>
              <w:rPr>
                <w:rFonts w:hint="eastAsia" w:ascii="宋体" w:hAnsi="宋体" w:eastAsia="宋体" w:cs="宋体"/>
                <w:vertAlign w:val="subscript"/>
              </w:rPr>
              <w: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3.35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vAlign w:val="center"/>
          </w:tcPr>
          <w:p>
            <w:pPr>
              <w:widowControl/>
              <w:autoSpaceDE w:val="0"/>
              <w:autoSpaceDN w:val="0"/>
              <w:jc w:val="center"/>
              <w:rPr>
                <w:rFonts w:hint="eastAsia" w:ascii="宋体" w:hAnsi="宋体" w:eastAsia="宋体" w:cs="宋体"/>
              </w:rPr>
            </w:pPr>
            <w:r>
              <w:rPr>
                <w:rFonts w:hint="eastAsia" w:ascii="宋体" w:hAnsi="宋体" w:eastAsia="宋体" w:cs="宋体"/>
              </w:rPr>
              <w:t>干燥无灰基挥发分V</w:t>
            </w:r>
            <w:r>
              <w:rPr>
                <w:rFonts w:hint="eastAsia" w:ascii="宋体" w:hAnsi="宋体" w:eastAsia="宋体" w:cs="宋体"/>
                <w:vertAlign w:val="subscript"/>
              </w:rPr>
              <w:t>daf</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30.51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vAlign w:val="center"/>
          </w:tcPr>
          <w:p>
            <w:pPr>
              <w:widowControl/>
              <w:autoSpaceDE w:val="0"/>
              <w:autoSpaceDN w:val="0"/>
              <w:jc w:val="center"/>
              <w:rPr>
                <w:rFonts w:hint="eastAsia" w:ascii="宋体" w:hAnsi="宋体" w:eastAsia="宋体" w:cs="宋体"/>
              </w:rPr>
            </w:pPr>
            <w:r>
              <w:rPr>
                <w:rFonts w:hint="eastAsia" w:ascii="宋体" w:hAnsi="宋体" w:eastAsia="宋体" w:cs="宋体"/>
              </w:rPr>
              <w:t>收到基固定碳FC</w:t>
            </w:r>
            <w:r>
              <w:rPr>
                <w:rFonts w:hint="eastAsia" w:ascii="宋体" w:hAnsi="宋体" w:eastAsia="宋体" w:cs="宋体"/>
                <w:vertAlign w:val="subscript"/>
              </w:rPr>
              <w: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49.10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pStyle w:val="24"/>
              <w:rPr>
                <w:rFonts w:hint="eastAsia" w:ascii="宋体" w:hAnsi="宋体" w:eastAsia="宋体" w:cs="宋体"/>
              </w:rPr>
            </w:pPr>
          </w:p>
        </w:tc>
        <w:tc>
          <w:tcPr>
            <w:tcW w:w="3118" w:type="dxa"/>
            <w:vAlign w:val="center"/>
          </w:tcPr>
          <w:p>
            <w:pPr>
              <w:pStyle w:val="24"/>
              <w:rPr>
                <w:rFonts w:hint="eastAsia" w:ascii="宋体" w:hAnsi="宋体" w:eastAsia="宋体" w:cs="宋体"/>
              </w:rPr>
            </w:pPr>
            <w:r>
              <w:rPr>
                <w:rFonts w:hint="eastAsia" w:ascii="宋体" w:hAnsi="宋体" w:eastAsia="宋体" w:cs="宋体"/>
              </w:rPr>
              <w:t>收到基全硫S</w:t>
            </w:r>
            <w:r>
              <w:rPr>
                <w:rFonts w:hint="eastAsia" w:ascii="宋体" w:hAnsi="宋体" w:eastAsia="宋体" w:cs="宋体"/>
                <w:vertAlign w:val="subscript"/>
              </w:rPr>
              <w:t>t,ar</w:t>
            </w:r>
            <w:r>
              <w:rPr>
                <w:rFonts w:hint="eastAsia" w:ascii="宋体" w:hAnsi="宋体" w:eastAsia="宋体" w:cs="宋体"/>
              </w:rPr>
              <w:t>（%）</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6" w:hRule="atLeast"/>
          <w:jc w:val="center"/>
        </w:trPr>
        <w:tc>
          <w:tcPr>
            <w:tcW w:w="1342" w:type="dxa"/>
            <w:vMerge w:val="continue"/>
            <w:tcBorders>
              <w:right w:val="single" w:color="000000" w:sz="4" w:space="0"/>
            </w:tcBorders>
            <w:vAlign w:val="center"/>
          </w:tcPr>
          <w:p>
            <w:pPr>
              <w:widowControl/>
              <w:autoSpaceDE w:val="0"/>
              <w:autoSpaceDN w:val="0"/>
              <w:jc w:val="center"/>
              <w:rPr>
                <w:rFonts w:hint="eastAsia" w:ascii="宋体" w:hAnsi="宋体" w:eastAsia="宋体" w:cs="宋体"/>
              </w:rPr>
            </w:pPr>
          </w:p>
        </w:tc>
        <w:tc>
          <w:tcPr>
            <w:tcW w:w="3118" w:type="dxa"/>
            <w:vAlign w:val="center"/>
          </w:tcPr>
          <w:p>
            <w:pPr>
              <w:widowControl/>
              <w:autoSpaceDE w:val="0"/>
              <w:autoSpaceDN w:val="0"/>
              <w:jc w:val="center"/>
              <w:rPr>
                <w:rFonts w:hint="eastAsia" w:ascii="宋体" w:hAnsi="宋体" w:eastAsia="宋体" w:cs="宋体"/>
              </w:rPr>
            </w:pPr>
            <w:r>
              <w:rPr>
                <w:rFonts w:hint="eastAsia" w:ascii="宋体" w:hAnsi="宋体" w:eastAsia="宋体" w:cs="宋体"/>
              </w:rPr>
              <w:t>低位发热量Q</w:t>
            </w:r>
            <w:r>
              <w:rPr>
                <w:rFonts w:hint="eastAsia" w:ascii="宋体" w:hAnsi="宋体" w:eastAsia="宋体" w:cs="宋体"/>
                <w:vertAlign w:val="subscript"/>
              </w:rPr>
              <w:t>netar</w:t>
            </w:r>
            <w:r>
              <w:rPr>
                <w:rFonts w:hint="eastAsia" w:ascii="宋体" w:hAnsi="宋体" w:eastAsia="宋体" w:cs="宋体"/>
              </w:rPr>
              <w:t>MJ/Kg</w:t>
            </w:r>
          </w:p>
        </w:tc>
        <w:tc>
          <w:tcPr>
            <w:tcW w:w="4065" w:type="dxa"/>
            <w:vAlign w:val="center"/>
          </w:tcPr>
          <w:p>
            <w:pPr>
              <w:spacing w:beforeLines="20" w:afterLines="20"/>
              <w:jc w:val="center"/>
              <w:rPr>
                <w:rFonts w:hint="eastAsia" w:ascii="宋体" w:hAnsi="宋体" w:eastAsia="宋体" w:cs="宋体"/>
                <w:lang w:val="en-US" w:eastAsia="zh-CN"/>
              </w:rPr>
            </w:pPr>
            <w:r>
              <w:rPr>
                <w:rFonts w:hint="eastAsia" w:ascii="宋体" w:hAnsi="宋体" w:eastAsia="宋体" w:cs="宋体"/>
                <w:lang w:val="en-US" w:eastAsia="zh-CN"/>
              </w:rPr>
              <w:t>19.96</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imes New Roman" w:hAnsi="Times New Roman" w:eastAsia="宋体" w:cs="Times New Roman"/>
          <w:b/>
          <w:bCs/>
          <w:sz w:val="30"/>
          <w:szCs w:val="30"/>
          <w:lang w:val="en-US" w:eastAsia="zh-CN"/>
        </w:rPr>
      </w:pPr>
      <w:bookmarkStart w:id="46" w:name="_Toc23727"/>
      <w:r>
        <w:rPr>
          <w:rFonts w:hint="eastAsia" w:ascii="Times New Roman" w:hAnsi="Times New Roman" w:eastAsia="宋体" w:cs="Times New Roman"/>
          <w:b/>
          <w:bCs/>
          <w:sz w:val="30"/>
          <w:szCs w:val="30"/>
          <w:lang w:val="en-US" w:eastAsia="zh-CN"/>
        </w:rPr>
        <w:t>9.2污染物排放监测结果</w:t>
      </w:r>
      <w:bookmarkEnd w:id="46"/>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Times New Roman" w:hAnsi="Times New Roman" w:eastAsia="宋体" w:cs="Times New Roman"/>
          <w:b/>
          <w:bCs/>
          <w:sz w:val="28"/>
          <w:szCs w:val="28"/>
          <w:lang w:val="en-US" w:eastAsia="zh-CN"/>
        </w:rPr>
      </w:pPr>
      <w:bookmarkStart w:id="47" w:name="_Toc13649"/>
      <w:r>
        <w:rPr>
          <w:rFonts w:hint="eastAsia" w:ascii="Times New Roman" w:hAnsi="Times New Roman" w:eastAsia="宋体" w:cs="Times New Roman"/>
          <w:b/>
          <w:bCs/>
          <w:sz w:val="28"/>
          <w:szCs w:val="28"/>
          <w:lang w:val="en-US" w:eastAsia="zh-CN"/>
        </w:rPr>
        <w:t>9.2.1废水</w:t>
      </w:r>
      <w:bookmarkEnd w:id="47"/>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动力站废水验收监测内容为工业废水、生活污水、脱硫废水和含煤废水，具体监测结果见表9-4至表9-7。</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  工业废水监测结果</w:t>
      </w:r>
    </w:p>
    <w:p>
      <w:pPr>
        <w:pStyle w:val="2"/>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单位：mg/L</w:t>
      </w:r>
    </w:p>
    <w:tbl>
      <w:tblPr>
        <w:tblStyle w:val="12"/>
        <w:tblW w:w="14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00"/>
        <w:gridCol w:w="892"/>
        <w:gridCol w:w="980"/>
        <w:gridCol w:w="980"/>
        <w:gridCol w:w="980"/>
        <w:gridCol w:w="980"/>
        <w:gridCol w:w="825"/>
        <w:gridCol w:w="961"/>
        <w:gridCol w:w="961"/>
        <w:gridCol w:w="961"/>
        <w:gridCol w:w="961"/>
        <w:gridCol w:w="961"/>
        <w:gridCol w:w="682"/>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682"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监测</w:t>
            </w:r>
          </w:p>
          <w:p>
            <w:pPr>
              <w:pStyle w:val="10"/>
              <w:spacing w:line="320" w:lineRule="exact"/>
              <w:jc w:val="center"/>
              <w:rPr>
                <w:rFonts w:hint="eastAsia" w:ascii="Times New Roman" w:hAnsi="Times New Roman" w:eastAsia="宋体" w:cs="Courier New"/>
                <w:sz w:val="21"/>
                <w:szCs w:val="21"/>
                <w:lang w:eastAsia="zh-CN"/>
              </w:rPr>
            </w:pPr>
            <w:r>
              <w:rPr>
                <w:rFonts w:hint="eastAsia" w:ascii="Times New Roman" w:hAnsi="Times New Roman" w:eastAsia="宋体" w:cs="Times New Roman"/>
                <w:sz w:val="21"/>
                <w:szCs w:val="21"/>
                <w:lang w:eastAsia="zh-CN" w:bidi="ar"/>
              </w:rPr>
              <w:t>类别</w:t>
            </w:r>
          </w:p>
        </w:tc>
        <w:tc>
          <w:tcPr>
            <w:tcW w:w="1500"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监测因子</w:t>
            </w:r>
          </w:p>
        </w:tc>
        <w:tc>
          <w:tcPr>
            <w:tcW w:w="4812"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2018.11.7</w:t>
            </w:r>
          </w:p>
        </w:tc>
        <w:tc>
          <w:tcPr>
            <w:tcW w:w="825"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4805"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2018.11.8</w:t>
            </w:r>
          </w:p>
        </w:tc>
        <w:tc>
          <w:tcPr>
            <w:tcW w:w="682"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评价</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89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825"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868"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工业</w:t>
            </w:r>
          </w:p>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废水</w:t>
            </w:r>
          </w:p>
          <w:p>
            <w:pPr>
              <w:pStyle w:val="10"/>
              <w:spacing w:line="320" w:lineRule="exact"/>
              <w:jc w:val="center"/>
              <w:rPr>
                <w:rFonts w:ascii="Times New Roman" w:hAnsi="Times New Roman" w:eastAsia="宋体" w:cs="Courier New"/>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PH</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8.01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8.06</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8.09</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8.05</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8.05</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lang w:val="en-US"/>
              </w:rPr>
            </w:pPr>
            <w:r>
              <w:rPr>
                <w:rFonts w:hint="eastAsia" w:hAnsi="宋体" w:eastAsia="宋体" w:cs="宋体"/>
                <w:b w:val="0"/>
                <w:bCs w:val="0"/>
                <w:sz w:val="21"/>
                <w:szCs w:val="21"/>
                <w:vertAlign w:val="baseline"/>
                <w:lang w:val="en-US" w:eastAsia="zh-CN"/>
              </w:rPr>
              <w:t>8.02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7.99</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8.03</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8.04</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lang w:val="en-US"/>
              </w:rPr>
            </w:pPr>
            <w:r>
              <w:rPr>
                <w:rFonts w:hint="eastAsia" w:ascii="宋体" w:hAnsi="宋体" w:eastAsia="宋体" w:cs="宋体"/>
                <w:b w:val="0"/>
                <w:bCs w:val="0"/>
                <w:sz w:val="21"/>
                <w:szCs w:val="21"/>
                <w:vertAlign w:val="baseline"/>
                <w:lang w:val="en-US" w:eastAsia="zh-CN"/>
              </w:rPr>
              <w:t>8.</w:t>
            </w:r>
            <w:r>
              <w:rPr>
                <w:rFonts w:hint="eastAsia" w:hAnsi="宋体" w:eastAsia="宋体" w:cs="宋体"/>
                <w:b w:val="0"/>
                <w:bCs w:val="0"/>
                <w:sz w:val="21"/>
                <w:szCs w:val="21"/>
                <w:vertAlign w:val="baseline"/>
                <w:lang w:val="en-US" w:eastAsia="zh-CN"/>
              </w:rPr>
              <w:t>02</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SS</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4</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4</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6</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4</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5</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CODcr</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15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12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19</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17</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16</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宋体" w:hAnsi="宋体" w:eastAsia="宋体" w:cs="宋体"/>
                <w:sz w:val="21"/>
                <w:szCs w:val="21"/>
              </w:rPr>
              <w:t>&lt;</w:t>
            </w:r>
            <w:r>
              <w:rPr>
                <w:rFonts w:hint="eastAsia" w:ascii="Times New Roman" w:hAnsi="Times New Roman" w:eastAsia="宋体" w:cs="Times New Roman"/>
                <w:sz w:val="21"/>
                <w:szCs w:val="21"/>
                <w:lang w:val="en-US" w:eastAsia="zh-CN"/>
              </w:rPr>
              <w:t>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rPr>
              <w:t>&lt;</w:t>
            </w:r>
            <w:r>
              <w:rPr>
                <w:rFonts w:hint="eastAsia" w:ascii="Times New Roman" w:hAnsi="Times New Roman" w:eastAsia="宋体" w:cs="Times New Roman"/>
                <w:sz w:val="21"/>
                <w:szCs w:val="21"/>
                <w:lang w:val="en-US" w:eastAsia="zh-CN"/>
              </w:rPr>
              <w:t>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rPr>
              <w:t>&lt;</w:t>
            </w:r>
            <w:r>
              <w:rPr>
                <w:rFonts w:hint="eastAsia" w:ascii="Times New Roman" w:hAnsi="Times New Roman" w:eastAsia="宋体" w:cs="Times New Roman"/>
                <w:sz w:val="21"/>
                <w:szCs w:val="21"/>
                <w:lang w:val="en-US" w:eastAsia="zh-CN"/>
              </w:rPr>
              <w:t>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rPr>
              <w:t>&lt;</w:t>
            </w:r>
            <w:r>
              <w:rPr>
                <w:rFonts w:hint="eastAsia" w:ascii="Times New Roman" w:hAnsi="Times New Roman" w:eastAsia="宋体" w:cs="Times New Roman"/>
                <w:sz w:val="21"/>
                <w:szCs w:val="21"/>
                <w:lang w:val="en-US" w:eastAsia="zh-CN"/>
              </w:rPr>
              <w:t>4</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sz w:val="21"/>
                <w:szCs w:val="21"/>
              </w:rPr>
              <w:t>&lt;</w:t>
            </w:r>
            <w:r>
              <w:rPr>
                <w:rFonts w:hint="eastAsia" w:ascii="Times New Roman" w:hAnsi="Times New Roman" w:eastAsia="宋体" w:cs="Times New Roman"/>
                <w:sz w:val="21"/>
                <w:szCs w:val="21"/>
                <w:lang w:val="en-US" w:eastAsia="zh-CN"/>
              </w:rPr>
              <w:t>4</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color w:val="auto"/>
                <w:sz w:val="21"/>
                <w:szCs w:val="21"/>
                <w:highlight w:val="none"/>
                <w:lang w:val="en-US" w:eastAsia="zh-CN"/>
              </w:rPr>
              <w:t>NH</w:t>
            </w:r>
            <w:r>
              <w:rPr>
                <w:rFonts w:hint="eastAsia" w:ascii="宋体" w:hAnsi="宋体" w:eastAsia="宋体" w:cs="宋体"/>
                <w:color w:val="auto"/>
                <w:sz w:val="21"/>
                <w:szCs w:val="21"/>
                <w:highlight w:val="none"/>
                <w:vertAlign w:val="subscript"/>
                <w:lang w:val="en-US" w:eastAsia="zh-CN"/>
              </w:rPr>
              <w:t>3</w:t>
            </w:r>
            <w:r>
              <w:rPr>
                <w:rFonts w:hint="eastAsia" w:ascii="宋体" w:hAnsi="宋体" w:eastAsia="宋体" w:cs="宋体"/>
                <w:color w:val="auto"/>
                <w:sz w:val="21"/>
                <w:szCs w:val="21"/>
                <w:highlight w:val="none"/>
                <w:lang w:val="en-US" w:eastAsia="zh-CN"/>
              </w:rPr>
              <w:t>-N</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7.492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7.605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7.719</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7.719</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7.634</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6.472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6.614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6.925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7.039</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lang w:val="en-US"/>
              </w:rPr>
            </w:pPr>
            <w:r>
              <w:rPr>
                <w:rFonts w:hint="eastAsia" w:hAnsi="宋体" w:eastAsia="宋体" w:cs="宋体"/>
                <w:b w:val="0"/>
                <w:bCs w:val="0"/>
                <w:sz w:val="21"/>
                <w:szCs w:val="21"/>
                <w:vertAlign w:val="baseline"/>
                <w:lang w:val="en-US" w:eastAsia="zh-CN"/>
              </w:rPr>
              <w:t>6.763</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石油类</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0.28</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0.26</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0.26</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0.27</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0.25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lang w:val="en-US"/>
              </w:rPr>
            </w:pPr>
            <w:r>
              <w:rPr>
                <w:rFonts w:hint="eastAsia" w:ascii="宋体" w:hAnsi="宋体" w:eastAsia="宋体" w:cs="宋体"/>
                <w:sz w:val="21"/>
                <w:szCs w:val="21"/>
                <w:vertAlign w:val="baseline"/>
                <w:lang w:val="en-US" w:eastAsia="zh-CN"/>
              </w:rPr>
              <w:t>0.28</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lang w:val="en-US"/>
              </w:rPr>
            </w:pPr>
            <w:r>
              <w:rPr>
                <w:rFonts w:hint="eastAsia" w:ascii="宋体" w:hAnsi="宋体" w:eastAsia="宋体" w:cs="宋体"/>
                <w:b w:val="0"/>
                <w:bCs w:val="0"/>
                <w:sz w:val="21"/>
                <w:szCs w:val="21"/>
                <w:vertAlign w:val="baseline"/>
                <w:lang w:val="en-US" w:eastAsia="zh-CN"/>
              </w:rPr>
              <w:t>0.</w:t>
            </w:r>
            <w:r>
              <w:rPr>
                <w:rFonts w:hint="eastAsia" w:hAnsi="宋体" w:eastAsia="宋体" w:cs="宋体"/>
                <w:b w:val="0"/>
                <w:bCs w:val="0"/>
                <w:sz w:val="21"/>
                <w:szCs w:val="21"/>
                <w:vertAlign w:val="baseline"/>
                <w:lang w:val="en-US" w:eastAsia="zh-CN"/>
              </w:rPr>
              <w:t>26</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BOD</w:t>
            </w:r>
            <w:r>
              <w:rPr>
                <w:rFonts w:hint="eastAsia" w:hAnsi="宋体" w:eastAsia="宋体" w:cs="宋体"/>
                <w:b w:val="0"/>
                <w:bCs w:val="0"/>
                <w:sz w:val="21"/>
                <w:szCs w:val="21"/>
                <w:vertAlign w:val="subscript"/>
                <w:lang w:val="en-US" w:eastAsia="zh-CN"/>
              </w:rPr>
              <w:t>5</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5.8</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6.3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6.3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6.8</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6.3</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&lt;0.5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&lt;0.5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&lt;0.5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&lt;0.5</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default" w:ascii="宋体" w:hAnsi="宋体" w:cs="宋体"/>
                <w:color w:val="000000" w:themeColor="text1"/>
                <w:sz w:val="21"/>
                <w:szCs w:val="21"/>
                <w:vertAlign w:val="baseline"/>
                <w:lang w:val="en-US" w:eastAsia="zh-CN"/>
              </w:rPr>
              <w:t>&lt;0.5</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682" w:type="dxa"/>
            <w:vMerge w:val="continue"/>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p>
        </w:tc>
        <w:tc>
          <w:tcPr>
            <w:tcW w:w="1500" w:type="dxa"/>
            <w:tcBorders>
              <w:tl2br w:val="nil"/>
              <w:tr2bl w:val="nil"/>
            </w:tcBorders>
            <w:shd w:val="clear" w:color="auto" w:fill="auto"/>
            <w:vAlign w:val="center"/>
          </w:tcPr>
          <w:p>
            <w:pPr>
              <w:jc w:val="center"/>
              <w:rPr>
                <w:rFonts w:ascii="Times New Roman" w:hAnsi="Times New Roman" w:eastAsia="宋体" w:cs="Courier New"/>
                <w:sz w:val="21"/>
                <w:szCs w:val="21"/>
              </w:rPr>
            </w:pPr>
            <w:r>
              <w:rPr>
                <w:rFonts w:hint="eastAsia" w:ascii="宋体" w:hAnsi="宋体" w:cs="宋体"/>
                <w:color w:val="auto"/>
                <w:sz w:val="21"/>
                <w:szCs w:val="21"/>
                <w:highlight w:val="none"/>
                <w:lang w:val="en-US" w:eastAsia="zh-CN"/>
              </w:rPr>
              <w:t>氰化物</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&lt;0.004</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&lt;0.004</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色度（倍）</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2</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2</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挥发酚</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硫化物</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&lt;0.005</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&lt;0.005</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500"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锰</w:t>
            </w:r>
          </w:p>
        </w:tc>
        <w:tc>
          <w:tcPr>
            <w:tcW w:w="892"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2.0</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表9-5  生活污水监测结果</w:t>
      </w:r>
    </w:p>
    <w:p>
      <w:pPr>
        <w:pStyle w:val="2"/>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单位：mg/L</w:t>
      </w:r>
    </w:p>
    <w:tbl>
      <w:tblPr>
        <w:tblStyle w:val="12"/>
        <w:tblW w:w="14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82"/>
        <w:gridCol w:w="916"/>
        <w:gridCol w:w="980"/>
        <w:gridCol w:w="980"/>
        <w:gridCol w:w="980"/>
        <w:gridCol w:w="980"/>
        <w:gridCol w:w="825"/>
        <w:gridCol w:w="961"/>
        <w:gridCol w:w="961"/>
        <w:gridCol w:w="961"/>
        <w:gridCol w:w="961"/>
        <w:gridCol w:w="961"/>
        <w:gridCol w:w="682"/>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676"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监测</w:t>
            </w:r>
          </w:p>
          <w:p>
            <w:pPr>
              <w:pStyle w:val="10"/>
              <w:spacing w:line="320" w:lineRule="exact"/>
              <w:jc w:val="center"/>
              <w:rPr>
                <w:rFonts w:hint="eastAsia" w:ascii="Times New Roman" w:hAnsi="Times New Roman" w:eastAsia="宋体" w:cs="Courier New"/>
                <w:sz w:val="21"/>
                <w:szCs w:val="21"/>
                <w:lang w:eastAsia="zh-CN"/>
              </w:rPr>
            </w:pPr>
            <w:r>
              <w:rPr>
                <w:rFonts w:hint="eastAsia" w:ascii="Times New Roman" w:hAnsi="Times New Roman" w:eastAsia="宋体" w:cs="Times New Roman"/>
                <w:sz w:val="21"/>
                <w:szCs w:val="21"/>
                <w:lang w:eastAsia="zh-CN" w:bidi="ar"/>
              </w:rPr>
              <w:t>类别</w:t>
            </w:r>
          </w:p>
        </w:tc>
        <w:tc>
          <w:tcPr>
            <w:tcW w:w="1482"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监测因子</w:t>
            </w:r>
          </w:p>
        </w:tc>
        <w:tc>
          <w:tcPr>
            <w:tcW w:w="4836"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2018.11.7</w:t>
            </w:r>
          </w:p>
        </w:tc>
        <w:tc>
          <w:tcPr>
            <w:tcW w:w="825"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4805"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2018.11.8</w:t>
            </w:r>
          </w:p>
        </w:tc>
        <w:tc>
          <w:tcPr>
            <w:tcW w:w="682"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评价</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916"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9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825"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961"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82"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868"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生活</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eastAsia="zh-CN" w:bidi="ar"/>
              </w:rPr>
              <w:t>污水</w:t>
            </w: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PH</w:t>
            </w:r>
          </w:p>
        </w:tc>
        <w:tc>
          <w:tcPr>
            <w:tcW w:w="916"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8.02</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8.04</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8.02</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8.03</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8.03</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8.13</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8.07</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8.08</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8.08</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SS</w:t>
            </w:r>
          </w:p>
        </w:tc>
        <w:tc>
          <w:tcPr>
            <w:tcW w:w="916"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5</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6</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4</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sz w:val="21"/>
                <w:szCs w:val="21"/>
              </w:rPr>
            </w:pPr>
            <w:r>
              <w:rPr>
                <w:rFonts w:hint="eastAsia" w:hAnsi="宋体" w:eastAsia="宋体" w:cs="宋体"/>
                <w:b w:val="0"/>
                <w:bCs w:val="0"/>
                <w:sz w:val="21"/>
                <w:szCs w:val="21"/>
                <w:vertAlign w:val="baseline"/>
                <w:lang w:val="en-US" w:eastAsia="zh-CN"/>
              </w:rPr>
              <w:t>5</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5</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6</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5</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CODcr</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84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66</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76</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67</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69</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71</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72</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color w:val="auto"/>
                <w:sz w:val="21"/>
                <w:szCs w:val="21"/>
                <w:highlight w:val="none"/>
                <w:lang w:val="en-US" w:eastAsia="zh-CN"/>
              </w:rPr>
              <w:t>NH</w:t>
            </w:r>
            <w:r>
              <w:rPr>
                <w:rFonts w:hint="eastAsia" w:ascii="宋体" w:hAnsi="宋体" w:eastAsia="宋体" w:cs="宋体"/>
                <w:color w:val="auto"/>
                <w:sz w:val="21"/>
                <w:szCs w:val="21"/>
                <w:highlight w:val="none"/>
                <w:vertAlign w:val="subscript"/>
                <w:lang w:val="en-US" w:eastAsia="zh-CN"/>
              </w:rPr>
              <w:t>3</w:t>
            </w:r>
            <w:r>
              <w:rPr>
                <w:rFonts w:hint="eastAsia" w:ascii="宋体" w:hAnsi="宋体" w:eastAsia="宋体" w:cs="宋体"/>
                <w:color w:val="auto"/>
                <w:sz w:val="21"/>
                <w:szCs w:val="21"/>
                <w:highlight w:val="none"/>
                <w:lang w:val="en-US" w:eastAsia="zh-CN"/>
              </w:rPr>
              <w:t>-N</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8.030</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7.974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8.087</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7.917</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8.002</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8.002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7.889</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7.775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7.860</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7.882</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BOD</w:t>
            </w:r>
            <w:r>
              <w:rPr>
                <w:rFonts w:hint="eastAsia" w:hAnsi="宋体" w:eastAsia="宋体" w:cs="宋体"/>
                <w:b w:val="0"/>
                <w:bCs w:val="0"/>
                <w:color w:val="000000" w:themeColor="text1"/>
                <w:sz w:val="21"/>
                <w:szCs w:val="21"/>
                <w:vertAlign w:val="subscript"/>
                <w:lang w:val="en-US" w:eastAsia="zh-CN"/>
              </w:rPr>
              <w:t>5</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16.3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19.3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19.3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17.3</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18.1</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16.3</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17.3</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18.3</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16.3</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17.1</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18"/>
                <w:szCs w:val="18"/>
                <w:vertAlign w:val="baseline"/>
                <w:lang w:val="en-US" w:eastAsia="zh-CN"/>
              </w:rPr>
              <w:t>动植物油</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0.45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0.53</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0.38</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b w:val="0"/>
                <w:bCs w:val="0"/>
                <w:sz w:val="21"/>
                <w:szCs w:val="21"/>
                <w:vertAlign w:val="baseline"/>
                <w:lang w:val="en-US" w:eastAsia="zh-CN"/>
              </w:rPr>
              <w:t>0.46</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0.46</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0.50</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0.40</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0.46</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default" w:ascii="宋体" w:hAnsi="宋体" w:cs="宋体"/>
                <w:color w:val="000000" w:themeColor="text1"/>
                <w:sz w:val="21"/>
                <w:szCs w:val="21"/>
                <w:vertAlign w:val="baseline"/>
                <w:lang w:val="en-US" w:eastAsia="zh-CN"/>
              </w:rPr>
              <w:t>0.50</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0.47</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676" w:type="dxa"/>
            <w:vMerge w:val="continue"/>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p>
        </w:tc>
        <w:tc>
          <w:tcPr>
            <w:tcW w:w="1482"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氰化物</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&lt;0.004</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&lt;0.004</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&lt;0.004</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色度(倍）</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2</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2</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2</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挥发</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&lt;0.01</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&lt;0.01</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硫化物</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&lt;0.005</w:t>
            </w:r>
          </w:p>
        </w:tc>
        <w:tc>
          <w:tcPr>
            <w:tcW w:w="825"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&lt;0.005</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color w:val="000000" w:themeColor="text1"/>
                <w:sz w:val="21"/>
                <w:szCs w:val="21"/>
                <w:vertAlign w:val="baseline"/>
                <w:lang w:val="en-US" w:eastAsia="zh-CN"/>
              </w:rPr>
              <w:t>&lt;0.005</w:t>
            </w:r>
          </w:p>
        </w:tc>
        <w:tc>
          <w:tcPr>
            <w:tcW w:w="682"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482" w:type="dxa"/>
            <w:tcBorders>
              <w:tl2br w:val="nil"/>
              <w:tr2bl w:val="nil"/>
            </w:tcBorders>
            <w:shd w:val="clear" w:color="auto" w:fill="auto"/>
            <w:vAlign w:val="center"/>
          </w:tcPr>
          <w:p>
            <w:pPr>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锰</w:t>
            </w:r>
          </w:p>
        </w:tc>
        <w:tc>
          <w:tcPr>
            <w:tcW w:w="916"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0.29</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0.28</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0.28</w:t>
            </w:r>
          </w:p>
        </w:tc>
        <w:tc>
          <w:tcPr>
            <w:tcW w:w="98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0.27</w:t>
            </w:r>
          </w:p>
        </w:tc>
        <w:tc>
          <w:tcPr>
            <w:tcW w:w="980"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color w:val="000000" w:themeColor="text1"/>
                <w:sz w:val="21"/>
                <w:szCs w:val="21"/>
                <w:vertAlign w:val="baseline"/>
                <w:lang w:val="en-US" w:eastAsia="zh-CN"/>
              </w:rPr>
              <w:t>0.28</w:t>
            </w:r>
          </w:p>
        </w:tc>
        <w:tc>
          <w:tcPr>
            <w:tcW w:w="82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0.27</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0.27</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0.28</w:t>
            </w:r>
          </w:p>
        </w:tc>
        <w:tc>
          <w:tcPr>
            <w:tcW w:w="961"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color w:val="000000" w:themeColor="text1"/>
                <w:sz w:val="21"/>
                <w:szCs w:val="21"/>
                <w:vertAlign w:val="baseline"/>
                <w:lang w:val="en-US" w:eastAsia="zh-CN"/>
              </w:rPr>
              <w:t>0.28</w:t>
            </w:r>
          </w:p>
        </w:tc>
        <w:tc>
          <w:tcPr>
            <w:tcW w:w="96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0.28</w:t>
            </w:r>
          </w:p>
        </w:tc>
        <w:tc>
          <w:tcPr>
            <w:tcW w:w="682"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868"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2.0</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3"/>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pPr>
    </w:p>
    <w:p>
      <w:pPr>
        <w:pStyle w:val="2"/>
        <w:rPr>
          <w:rFonts w:hint="eastAsia" w:ascii="Times New Roman" w:hAnsi="Times New Roman" w:eastAsia="宋体" w:cs="Times New Roman"/>
          <w:b/>
          <w:bCs/>
          <w:sz w:val="24"/>
          <w:szCs w:val="24"/>
          <w:lang w:val="en-US" w:eastAsia="zh-CN"/>
        </w:rPr>
      </w:pPr>
    </w:p>
    <w:p>
      <w:pPr>
        <w:pStyle w:val="3"/>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表9-6  脱硫废水监测结果</w:t>
      </w:r>
    </w:p>
    <w:p>
      <w:pPr>
        <w:pStyle w:val="2"/>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单位：mg/L</w:t>
      </w:r>
    </w:p>
    <w:tbl>
      <w:tblPr>
        <w:tblStyle w:val="12"/>
        <w:tblW w:w="14174"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96"/>
        <w:gridCol w:w="1010"/>
        <w:gridCol w:w="1010"/>
        <w:gridCol w:w="1010"/>
        <w:gridCol w:w="1010"/>
        <w:gridCol w:w="1014"/>
        <w:gridCol w:w="688"/>
        <w:gridCol w:w="1038"/>
        <w:gridCol w:w="1038"/>
        <w:gridCol w:w="1038"/>
        <w:gridCol w:w="1038"/>
        <w:gridCol w:w="1040"/>
        <w:gridCol w:w="670"/>
        <w:gridCol w:w="7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744" w:type="dxa"/>
            <w:vMerge w:val="restart"/>
            <w:tcBorders>
              <w:top w:val="single" w:color="auto" w:sz="12" w:space="0"/>
              <w:left w:val="nil"/>
              <w:bottom w:val="single" w:color="auto" w:sz="4" w:space="0"/>
              <w:right w:val="single" w:color="auto" w:sz="4" w:space="0"/>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监测</w:t>
            </w:r>
          </w:p>
          <w:p>
            <w:pPr>
              <w:pStyle w:val="10"/>
              <w:spacing w:line="320" w:lineRule="exact"/>
              <w:jc w:val="center"/>
              <w:rPr>
                <w:rFonts w:hint="eastAsia" w:ascii="Times New Roman" w:hAnsi="Times New Roman" w:eastAsia="宋体" w:cs="Courier New"/>
                <w:sz w:val="21"/>
                <w:szCs w:val="21"/>
                <w:lang w:eastAsia="zh-CN"/>
              </w:rPr>
            </w:pPr>
            <w:r>
              <w:rPr>
                <w:rFonts w:hint="eastAsia" w:ascii="Times New Roman" w:hAnsi="Times New Roman" w:eastAsia="宋体" w:cs="Times New Roman"/>
                <w:sz w:val="21"/>
                <w:szCs w:val="21"/>
                <w:lang w:eastAsia="zh-CN" w:bidi="ar"/>
              </w:rPr>
              <w:t>类别</w:t>
            </w:r>
          </w:p>
        </w:tc>
        <w:tc>
          <w:tcPr>
            <w:tcW w:w="109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监测因子</w:t>
            </w:r>
          </w:p>
        </w:tc>
        <w:tc>
          <w:tcPr>
            <w:tcW w:w="5054" w:type="dxa"/>
            <w:gridSpan w:val="5"/>
            <w:tcBorders>
              <w:top w:val="single" w:color="auto" w:sz="12"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2018.11.7</w:t>
            </w:r>
          </w:p>
        </w:tc>
        <w:tc>
          <w:tcPr>
            <w:tcW w:w="68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5192" w:type="dxa"/>
            <w:gridSpan w:val="5"/>
            <w:tcBorders>
              <w:top w:val="single" w:color="auto" w:sz="12"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2018.11.8</w:t>
            </w:r>
          </w:p>
        </w:tc>
        <w:tc>
          <w:tcPr>
            <w:tcW w:w="67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730" w:type="dxa"/>
            <w:vMerge w:val="restart"/>
            <w:tcBorders>
              <w:top w:val="single" w:color="auto" w:sz="12" w:space="0"/>
              <w:left w:val="single" w:color="auto" w:sz="4" w:space="0"/>
              <w:bottom w:val="single" w:color="auto" w:sz="4" w:space="0"/>
              <w:right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评价</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744" w:type="dxa"/>
            <w:vMerge w:val="continue"/>
            <w:tcBorders>
              <w:top w:val="single" w:color="auto" w:sz="12" w:space="0"/>
              <w:left w:val="nil"/>
              <w:bottom w:val="single" w:color="auto" w:sz="4" w:space="0"/>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8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70"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730" w:type="dxa"/>
            <w:vMerge w:val="continue"/>
            <w:tcBorders>
              <w:top w:val="single" w:color="auto" w:sz="12" w:space="0"/>
              <w:left w:val="single" w:color="auto" w:sz="4" w:space="0"/>
              <w:bottom w:val="single" w:color="auto" w:sz="4" w:space="0"/>
              <w:right w:val="nil"/>
            </w:tcBorders>
            <w:shd w:val="clear" w:color="auto" w:fill="auto"/>
            <w:vAlign w:val="center"/>
          </w:tcPr>
          <w:p>
            <w:pPr>
              <w:spacing w:line="320" w:lineRule="exact"/>
              <w:jc w:val="center"/>
              <w:rPr>
                <w:rFonts w:ascii="Times New Roman" w:hAnsi="Times New Roman" w:cs="Times New Roman"/>
                <w:sz w:val="21"/>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restart"/>
            <w:tcBorders>
              <w:top w:val="single" w:color="auto" w:sz="4" w:space="0"/>
              <w:left w:val="nil"/>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eastAsia="zh-CN" w:bidi="ar"/>
              </w:rPr>
              <w:t>脱硫废水</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PH</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7.76</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7.75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7.73</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7.77</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sz w:val="21"/>
                <w:szCs w:val="21"/>
                <w:vertAlign w:val="baseline"/>
                <w:lang w:val="en-US" w:eastAsia="zh-CN"/>
              </w:rPr>
              <w:t>7.7</w:t>
            </w:r>
            <w:r>
              <w:rPr>
                <w:rFonts w:hint="eastAsia" w:hAnsi="宋体" w:eastAsia="宋体" w:cs="宋体"/>
                <w:sz w:val="21"/>
                <w:szCs w:val="21"/>
                <w:vertAlign w:val="baseline"/>
                <w:lang w:val="en-US" w:eastAsia="zh-CN"/>
              </w:rPr>
              <w:t>5</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7.73</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7.68</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7.70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7.72</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sz w:val="21"/>
                <w:szCs w:val="21"/>
                <w:vertAlign w:val="baseline"/>
                <w:lang w:val="en-US" w:eastAsia="zh-CN"/>
              </w:rPr>
              <w:t>7.7</w:t>
            </w:r>
            <w:r>
              <w:rPr>
                <w:rFonts w:hint="eastAsia" w:hAnsi="宋体" w:cs="宋体"/>
                <w:sz w:val="21"/>
                <w:szCs w:val="21"/>
                <w:vertAlign w:val="baseline"/>
                <w:lang w:val="en-US" w:eastAsia="zh-CN"/>
              </w:rPr>
              <w:t>1</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continue"/>
            <w:tcBorders>
              <w:left w:val="nil"/>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lang w:val="en-US"/>
              </w:rPr>
            </w:pPr>
            <w:r>
              <w:rPr>
                <w:rFonts w:hint="eastAsia" w:ascii="宋体" w:hAnsi="宋体" w:eastAsia="宋体" w:cs="宋体"/>
                <w:b w:val="0"/>
                <w:bCs w:val="0"/>
                <w:sz w:val="21"/>
                <w:szCs w:val="21"/>
                <w:vertAlign w:val="baseli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21</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19</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18</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19</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sz w:val="21"/>
                <w:szCs w:val="21"/>
                <w:vertAlign w:val="baseline"/>
                <w:lang w:val="en-US" w:eastAsia="zh-CN"/>
              </w:rPr>
              <w:t>19</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15</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18</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17</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16</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cs="宋体"/>
                <w:sz w:val="21"/>
                <w:szCs w:val="21"/>
                <w:vertAlign w:val="baseline"/>
                <w:lang w:val="en-US" w:eastAsia="zh-CN"/>
              </w:rPr>
              <w:t>17</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continue"/>
            <w:tcBorders>
              <w:left w:val="nil"/>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汞</w:t>
            </w:r>
            <w:r>
              <w:rPr>
                <w:rFonts w:hint="eastAsia" w:hAnsi="宋体" w:eastAsia="宋体" w:cs="宋体"/>
                <w:b w:val="0"/>
                <w:bCs w:val="0"/>
                <w:sz w:val="21"/>
                <w:szCs w:val="21"/>
                <w:vertAlign w:val="baseline"/>
                <w:lang w:val="en-US" w:eastAsia="zh-CN"/>
              </w:rPr>
              <w:t>（</w:t>
            </w:r>
            <w:r>
              <w:rPr>
                <w:rFonts w:hint="default" w:ascii="Times New Roman" w:hAnsi="Times New Roman" w:eastAsia="宋体" w:cs="Times New Roman"/>
                <w:i w:val="0"/>
                <w:color w:val="000000"/>
                <w:kern w:val="0"/>
                <w:sz w:val="21"/>
                <w:szCs w:val="21"/>
                <w:u w:val="none"/>
                <w:lang w:val="en-US" w:eastAsia="zh-CN" w:bidi="ar"/>
              </w:rPr>
              <w:t>μg/L</w:t>
            </w:r>
            <w:r>
              <w:rPr>
                <w:rFonts w:hint="eastAsia" w:ascii="Times New Roman" w:hAnsi="Times New Roman" w:eastAsia="宋体" w:cs="Times New Roman"/>
                <w:i w:val="0"/>
                <w:color w:val="000000"/>
                <w:kern w:val="0"/>
                <w:sz w:val="21"/>
                <w:szCs w:val="21"/>
                <w:u w:val="none"/>
                <w:lang w:val="en-US" w:eastAsia="zh-CN" w:bidi="ar"/>
              </w:rPr>
              <w:t>）</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0.44</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0.58</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0.56</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0.71</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0.58</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0.63</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continue"/>
            <w:tcBorders>
              <w:left w:val="nil"/>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砷</w:t>
            </w:r>
            <w:r>
              <w:rPr>
                <w:rFonts w:hint="eastAsia" w:hAnsi="宋体" w:eastAsia="宋体" w:cs="宋体"/>
                <w:b w:val="0"/>
                <w:bCs w:val="0"/>
                <w:sz w:val="21"/>
                <w:szCs w:val="21"/>
                <w:vertAlign w:val="baseline"/>
                <w:lang w:val="en-US" w:eastAsia="zh-CN"/>
              </w:rPr>
              <w:t>（</w:t>
            </w:r>
            <w:r>
              <w:rPr>
                <w:rFonts w:hint="default" w:ascii="Times New Roman" w:hAnsi="Times New Roman" w:eastAsia="宋体" w:cs="Times New Roman"/>
                <w:i w:val="0"/>
                <w:color w:val="000000"/>
                <w:kern w:val="0"/>
                <w:sz w:val="21"/>
                <w:szCs w:val="21"/>
                <w:u w:val="none"/>
                <w:lang w:val="en-US" w:eastAsia="zh-CN" w:bidi="ar"/>
              </w:rPr>
              <w:t>μg/L</w:t>
            </w:r>
            <w:r>
              <w:rPr>
                <w:rFonts w:hint="eastAsia" w:ascii="Times New Roman" w:hAnsi="Times New Roman" w:eastAsia="宋体" w:cs="Times New Roman"/>
                <w:i w:val="0"/>
                <w:color w:val="000000"/>
                <w:kern w:val="0"/>
                <w:sz w:val="21"/>
                <w:szCs w:val="21"/>
                <w:u w:val="none"/>
                <w:lang w:val="en-US" w:eastAsia="zh-CN" w:bidi="ar"/>
              </w:rPr>
              <w:t>）</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3.9</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4.4</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continue"/>
            <w:tcBorders>
              <w:left w:val="nil"/>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铅</w:t>
            </w:r>
            <w:r>
              <w:rPr>
                <w:rFonts w:hint="eastAsia" w:hAnsi="宋体" w:eastAsia="宋体" w:cs="宋体"/>
                <w:b w:val="0"/>
                <w:bCs w:val="0"/>
                <w:sz w:val="21"/>
                <w:szCs w:val="21"/>
                <w:vertAlign w:val="baseline"/>
                <w:lang w:val="en-US" w:eastAsia="zh-CN"/>
              </w:rPr>
              <w:t>（</w:t>
            </w:r>
            <w:r>
              <w:rPr>
                <w:rFonts w:hint="default" w:ascii="Times New Roman" w:hAnsi="Times New Roman" w:eastAsia="宋体" w:cs="Times New Roman"/>
                <w:i w:val="0"/>
                <w:color w:val="000000"/>
                <w:kern w:val="0"/>
                <w:sz w:val="21"/>
                <w:szCs w:val="21"/>
                <w:u w:val="none"/>
                <w:lang w:val="en-US" w:eastAsia="zh-CN" w:bidi="ar"/>
              </w:rPr>
              <w:t>μg/L</w:t>
            </w:r>
            <w:r>
              <w:rPr>
                <w:rFonts w:hint="eastAsia" w:ascii="Times New Roman" w:hAnsi="Times New Roman" w:eastAsia="宋体" w:cs="Times New Roman"/>
                <w:i w:val="0"/>
                <w:color w:val="000000"/>
                <w:kern w:val="0"/>
                <w:sz w:val="21"/>
                <w:szCs w:val="21"/>
                <w:u w:val="none"/>
                <w:lang w:val="en-US" w:eastAsia="zh-CN" w:bidi="ar"/>
              </w:rPr>
              <w:t>）</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i w:val="0"/>
                <w:color w:val="000000"/>
                <w:kern w:val="0"/>
                <w:sz w:val="21"/>
                <w:szCs w:val="21"/>
                <w:u w:val="none"/>
                <w:lang w:val="en-US" w:eastAsia="zh-CN" w:bidi="ar"/>
              </w:rPr>
              <w:t>＜10</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4" w:type="dxa"/>
            <w:vMerge w:val="continue"/>
            <w:tcBorders>
              <w:left w:val="nil"/>
              <w:right w:val="single" w:color="auto" w:sz="4" w:space="0"/>
            </w:tcBorders>
            <w:shd w:val="clear" w:color="auto" w:fill="auto"/>
            <w:vAlign w:val="center"/>
          </w:tcPr>
          <w:p>
            <w:pPr>
              <w:spacing w:line="320" w:lineRule="exact"/>
              <w:jc w:val="center"/>
              <w:rPr>
                <w:rFonts w:ascii="Times New Roman" w:hAnsi="Times New Roman" w:cs="Times New Roman"/>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镉</w:t>
            </w:r>
            <w:r>
              <w:rPr>
                <w:rFonts w:hint="eastAsia" w:hAnsi="宋体" w:eastAsia="宋体" w:cs="宋体"/>
                <w:b w:val="0"/>
                <w:bCs w:val="0"/>
                <w:sz w:val="21"/>
                <w:szCs w:val="21"/>
                <w:vertAlign w:val="baseline"/>
                <w:lang w:val="en-US" w:eastAsia="zh-CN"/>
              </w:rPr>
              <w:t>（</w:t>
            </w:r>
            <w:r>
              <w:rPr>
                <w:rFonts w:hint="default" w:ascii="Times New Roman" w:hAnsi="Times New Roman" w:eastAsia="宋体" w:cs="Times New Roman"/>
                <w:i w:val="0"/>
                <w:color w:val="000000"/>
                <w:kern w:val="0"/>
                <w:sz w:val="21"/>
                <w:szCs w:val="21"/>
                <w:u w:val="none"/>
                <w:lang w:val="en-US" w:eastAsia="zh-CN" w:bidi="ar"/>
              </w:rPr>
              <w:t>μg/L</w:t>
            </w:r>
            <w:r>
              <w:rPr>
                <w:rFonts w:hint="eastAsia" w:ascii="Times New Roman" w:hAnsi="Times New Roman" w:eastAsia="宋体" w:cs="Times New Roman"/>
                <w:i w:val="0"/>
                <w:color w:val="000000"/>
                <w:kern w:val="0"/>
                <w:sz w:val="21"/>
                <w:szCs w:val="21"/>
                <w:u w:val="none"/>
                <w:lang w:val="en-US" w:eastAsia="zh-CN" w:bidi="ar"/>
              </w:rPr>
              <w:t>）</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3.9</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Courier New"/>
                <w:sz w:val="21"/>
                <w:szCs w:val="21"/>
                <w:lang w:val="en-US" w:eastAsia="zh-CN"/>
              </w:rPr>
            </w:pPr>
            <w:r>
              <w:rPr>
                <w:rFonts w:hint="eastAsia" w:ascii="Times New Roman" w:hAnsi="Times New Roman" w:eastAsia="宋体" w:cs="Courier New"/>
                <w:sz w:val="21"/>
                <w:szCs w:val="21"/>
                <w:lang w:val="en-US" w:eastAsia="zh-CN"/>
              </w:rPr>
              <w:t>4.4</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30" w:type="dxa"/>
            <w:tcBorders>
              <w:top w:val="single" w:color="auto" w:sz="4" w:space="0"/>
              <w:left w:val="single" w:color="auto" w:sz="4" w:space="0"/>
              <w:bottom w:val="single" w:color="auto" w:sz="4" w:space="0"/>
              <w:right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0.1</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表9-7  含煤废水监测结果</w:t>
      </w:r>
    </w:p>
    <w:p>
      <w:pPr>
        <w:pStyle w:val="2"/>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单位：mg/L</w:t>
      </w:r>
    </w:p>
    <w:tbl>
      <w:tblPr>
        <w:tblStyle w:val="12"/>
        <w:tblW w:w="14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073"/>
        <w:gridCol w:w="1038"/>
        <w:gridCol w:w="1004"/>
        <w:gridCol w:w="1015"/>
        <w:gridCol w:w="993"/>
        <w:gridCol w:w="1023"/>
        <w:gridCol w:w="680"/>
        <w:gridCol w:w="1050"/>
        <w:gridCol w:w="1039"/>
        <w:gridCol w:w="1033"/>
        <w:gridCol w:w="1044"/>
        <w:gridCol w:w="1027"/>
        <w:gridCol w:w="680"/>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754"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监测</w:t>
            </w:r>
          </w:p>
          <w:p>
            <w:pPr>
              <w:pStyle w:val="10"/>
              <w:spacing w:line="320" w:lineRule="exact"/>
              <w:jc w:val="center"/>
              <w:rPr>
                <w:rFonts w:hint="eastAsia" w:ascii="Times New Roman" w:hAnsi="Times New Roman" w:eastAsia="宋体" w:cs="Courier New"/>
                <w:sz w:val="21"/>
                <w:szCs w:val="21"/>
                <w:lang w:eastAsia="zh-CN"/>
              </w:rPr>
            </w:pPr>
            <w:r>
              <w:rPr>
                <w:rFonts w:hint="eastAsia" w:ascii="Times New Roman" w:hAnsi="Times New Roman" w:eastAsia="宋体" w:cs="Times New Roman"/>
                <w:sz w:val="21"/>
                <w:szCs w:val="21"/>
                <w:lang w:eastAsia="zh-CN" w:bidi="ar"/>
              </w:rPr>
              <w:t>类别</w:t>
            </w:r>
          </w:p>
        </w:tc>
        <w:tc>
          <w:tcPr>
            <w:tcW w:w="1073"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监测因子</w:t>
            </w:r>
          </w:p>
        </w:tc>
        <w:tc>
          <w:tcPr>
            <w:tcW w:w="5073"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2018.11.7</w:t>
            </w:r>
          </w:p>
        </w:tc>
        <w:tc>
          <w:tcPr>
            <w:tcW w:w="680"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5193" w:type="dxa"/>
            <w:gridSpan w:val="5"/>
            <w:tcBorders>
              <w:tl2br w:val="nil"/>
              <w:tr2bl w:val="nil"/>
            </w:tcBorders>
            <w:shd w:val="clear" w:color="auto" w:fill="auto"/>
            <w:vAlign w:val="center"/>
          </w:tcPr>
          <w:p>
            <w:pPr>
              <w:pStyle w:val="10"/>
              <w:spacing w:line="320" w:lineRule="exact"/>
              <w:jc w:val="center"/>
              <w:rPr>
                <w:rFonts w:hint="eastAsia" w:ascii="Times New Roman" w:hAnsi="Times New Roman" w:eastAsia="宋体" w:cs="Courier New"/>
                <w:sz w:val="21"/>
                <w:szCs w:val="21"/>
                <w:lang w:val="en-US" w:eastAsia="zh-CN"/>
              </w:rPr>
            </w:pPr>
            <w:r>
              <w:rPr>
                <w:rFonts w:hint="eastAsia" w:ascii="Times New Roman" w:hAnsi="Times New Roman" w:eastAsia="宋体" w:cs="Times New Roman"/>
                <w:sz w:val="21"/>
                <w:szCs w:val="21"/>
                <w:lang w:val="en-US" w:eastAsia="zh-CN" w:bidi="ar"/>
              </w:rPr>
              <w:t>2018.11.8</w:t>
            </w:r>
          </w:p>
        </w:tc>
        <w:tc>
          <w:tcPr>
            <w:tcW w:w="680"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是否</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721" w:type="dxa"/>
            <w:vMerge w:val="restart"/>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评价</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54"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073"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038"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1004"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1015"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993"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1023"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80"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05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1</w:t>
            </w:r>
          </w:p>
        </w:tc>
        <w:tc>
          <w:tcPr>
            <w:tcW w:w="1039"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2</w:t>
            </w:r>
          </w:p>
        </w:tc>
        <w:tc>
          <w:tcPr>
            <w:tcW w:w="1033"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3</w:t>
            </w:r>
          </w:p>
        </w:tc>
        <w:tc>
          <w:tcPr>
            <w:tcW w:w="1044"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ascii="Times New Roman" w:hAnsi="Times New Roman" w:eastAsia="宋体" w:cs="Times New Roman"/>
                <w:sz w:val="21"/>
                <w:szCs w:val="21"/>
                <w:lang w:bidi="ar"/>
              </w:rPr>
              <w:t>4</w:t>
            </w:r>
          </w:p>
        </w:tc>
        <w:tc>
          <w:tcPr>
            <w:tcW w:w="1027"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日均值</w:t>
            </w:r>
          </w:p>
        </w:tc>
        <w:tc>
          <w:tcPr>
            <w:tcW w:w="680"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721"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4" w:type="dxa"/>
            <w:vMerge w:val="restart"/>
            <w:tcBorders>
              <w:tl2br w:val="nil"/>
              <w:tr2bl w:val="nil"/>
            </w:tcBorders>
            <w:shd w:val="clear" w:color="auto" w:fill="auto"/>
            <w:vAlign w:val="center"/>
          </w:tcPr>
          <w:p>
            <w:pPr>
              <w:pStyle w:val="10"/>
              <w:spacing w:line="320" w:lineRule="exact"/>
              <w:jc w:val="center"/>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含煤</w:t>
            </w:r>
          </w:p>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eastAsia="zh-CN" w:bidi="ar"/>
              </w:rPr>
              <w:t>废水</w:t>
            </w:r>
          </w:p>
        </w:tc>
        <w:tc>
          <w:tcPr>
            <w:tcW w:w="1073"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PH</w:t>
            </w:r>
          </w:p>
        </w:tc>
        <w:tc>
          <w:tcPr>
            <w:tcW w:w="1038"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7.96</w:t>
            </w:r>
          </w:p>
        </w:tc>
        <w:tc>
          <w:tcPr>
            <w:tcW w:w="1004"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7.93</w:t>
            </w:r>
          </w:p>
        </w:tc>
        <w:tc>
          <w:tcPr>
            <w:tcW w:w="1015"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7.93</w:t>
            </w:r>
          </w:p>
        </w:tc>
        <w:tc>
          <w:tcPr>
            <w:tcW w:w="993"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7.95</w:t>
            </w:r>
          </w:p>
        </w:tc>
        <w:tc>
          <w:tcPr>
            <w:tcW w:w="1023"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cs="宋体"/>
                <w:sz w:val="21"/>
                <w:szCs w:val="21"/>
                <w:vertAlign w:val="baseline"/>
                <w:lang w:val="en-US" w:eastAsia="zh-CN"/>
              </w:rPr>
              <w:t>7.9</w:t>
            </w:r>
            <w:r>
              <w:rPr>
                <w:rFonts w:hint="eastAsia" w:hAnsi="宋体" w:cs="宋体"/>
                <w:sz w:val="21"/>
                <w:szCs w:val="21"/>
                <w:vertAlign w:val="baseline"/>
                <w:lang w:val="en-US" w:eastAsia="zh-CN"/>
              </w:rPr>
              <w:t>4</w:t>
            </w:r>
          </w:p>
        </w:tc>
        <w:tc>
          <w:tcPr>
            <w:tcW w:w="6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105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7.87</w:t>
            </w:r>
          </w:p>
        </w:tc>
        <w:tc>
          <w:tcPr>
            <w:tcW w:w="1039"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7.89</w:t>
            </w:r>
          </w:p>
        </w:tc>
        <w:tc>
          <w:tcPr>
            <w:tcW w:w="1033"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7.90</w:t>
            </w:r>
          </w:p>
        </w:tc>
        <w:tc>
          <w:tcPr>
            <w:tcW w:w="1044"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7.87</w:t>
            </w:r>
          </w:p>
        </w:tc>
        <w:tc>
          <w:tcPr>
            <w:tcW w:w="1027"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lang w:val="en-US"/>
              </w:rPr>
            </w:pPr>
            <w:r>
              <w:rPr>
                <w:rFonts w:hint="eastAsia" w:ascii="宋体" w:hAnsi="宋体" w:cs="宋体"/>
                <w:sz w:val="21"/>
                <w:szCs w:val="21"/>
                <w:vertAlign w:val="baseline"/>
                <w:lang w:val="en-US" w:eastAsia="zh-CN"/>
              </w:rPr>
              <w:t>7.</w:t>
            </w:r>
            <w:r>
              <w:rPr>
                <w:rFonts w:hint="eastAsia" w:hAnsi="宋体" w:cs="宋体"/>
                <w:sz w:val="21"/>
                <w:szCs w:val="21"/>
                <w:vertAlign w:val="baseline"/>
                <w:lang w:val="en-US" w:eastAsia="zh-CN"/>
              </w:rPr>
              <w:t>88</w:t>
            </w:r>
          </w:p>
        </w:tc>
        <w:tc>
          <w:tcPr>
            <w:tcW w:w="680" w:type="dxa"/>
            <w:tcBorders>
              <w:tl2br w:val="nil"/>
              <w:tr2bl w:val="nil"/>
            </w:tcBorders>
            <w:shd w:val="clear" w:color="auto" w:fill="auto"/>
            <w:vAlign w:val="center"/>
          </w:tcPr>
          <w:p>
            <w:pPr>
              <w:pStyle w:val="10"/>
              <w:spacing w:line="320" w:lineRule="exact"/>
              <w:jc w:val="center"/>
              <w:rPr>
                <w:rFonts w:ascii="Times New Roman" w:hAnsi="Times New Roman" w:eastAsia="宋体" w:cs="Courier New"/>
                <w:sz w:val="21"/>
                <w:szCs w:val="21"/>
              </w:rPr>
            </w:pPr>
            <w:r>
              <w:rPr>
                <w:rFonts w:hint="eastAsia" w:ascii="Times New Roman" w:hAnsi="Times New Roman" w:eastAsia="宋体" w:cs="Times New Roman"/>
                <w:sz w:val="21"/>
                <w:szCs w:val="21"/>
                <w:lang w:bidi="ar"/>
              </w:rPr>
              <w:t>达标</w:t>
            </w:r>
          </w:p>
        </w:tc>
        <w:tc>
          <w:tcPr>
            <w:tcW w:w="72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4" w:type="dxa"/>
            <w:vMerge w:val="continue"/>
            <w:tcBorders>
              <w:tl2br w:val="nil"/>
              <w:tr2bl w:val="nil"/>
            </w:tcBorders>
            <w:shd w:val="clear" w:color="auto" w:fill="auto"/>
            <w:vAlign w:val="center"/>
          </w:tcPr>
          <w:p>
            <w:pPr>
              <w:spacing w:line="320" w:lineRule="exact"/>
              <w:jc w:val="center"/>
              <w:rPr>
                <w:rFonts w:ascii="Times New Roman" w:hAnsi="Times New Roman" w:cs="Times New Roman"/>
                <w:sz w:val="21"/>
                <w:szCs w:val="21"/>
              </w:rPr>
            </w:pPr>
          </w:p>
        </w:tc>
        <w:tc>
          <w:tcPr>
            <w:tcW w:w="1073"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SS</w:t>
            </w:r>
          </w:p>
        </w:tc>
        <w:tc>
          <w:tcPr>
            <w:tcW w:w="1038"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14</w:t>
            </w:r>
          </w:p>
        </w:tc>
        <w:tc>
          <w:tcPr>
            <w:tcW w:w="1004"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13</w:t>
            </w:r>
          </w:p>
        </w:tc>
        <w:tc>
          <w:tcPr>
            <w:tcW w:w="1015"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13</w:t>
            </w:r>
          </w:p>
        </w:tc>
        <w:tc>
          <w:tcPr>
            <w:tcW w:w="993"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cs="宋体"/>
                <w:sz w:val="21"/>
                <w:szCs w:val="21"/>
                <w:vertAlign w:val="baseline"/>
                <w:lang w:val="en-US" w:eastAsia="zh-CN"/>
              </w:rPr>
              <w:t>13</w:t>
            </w:r>
          </w:p>
        </w:tc>
        <w:tc>
          <w:tcPr>
            <w:tcW w:w="1023"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hAnsi="宋体" w:eastAsia="宋体" w:cs="宋体"/>
                <w:b w:val="0"/>
                <w:bCs w:val="0"/>
                <w:sz w:val="21"/>
                <w:szCs w:val="21"/>
                <w:vertAlign w:val="baseline"/>
                <w:lang w:val="en-US" w:eastAsia="zh-CN"/>
              </w:rPr>
              <w:t>13</w:t>
            </w:r>
          </w:p>
        </w:tc>
        <w:tc>
          <w:tcPr>
            <w:tcW w:w="680"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1050"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14</w:t>
            </w:r>
          </w:p>
        </w:tc>
        <w:tc>
          <w:tcPr>
            <w:tcW w:w="1039"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14</w:t>
            </w:r>
          </w:p>
        </w:tc>
        <w:tc>
          <w:tcPr>
            <w:tcW w:w="1033"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13</w:t>
            </w:r>
          </w:p>
        </w:tc>
        <w:tc>
          <w:tcPr>
            <w:tcW w:w="1044" w:type="dxa"/>
            <w:tcBorders>
              <w:tl2br w:val="nil"/>
              <w:tr2bl w:val="nil"/>
            </w:tcBorders>
            <w:shd w:val="clear" w:color="auto" w:fill="auto"/>
            <w:vAlign w:val="center"/>
          </w:tcPr>
          <w:p>
            <w:pPr>
              <w:jc w:val="center"/>
              <w:rPr>
                <w:rFonts w:ascii="Times New Roman" w:hAnsi="Times New Roman" w:eastAsia="宋体" w:cs="Times New Roman"/>
                <w:sz w:val="21"/>
                <w:szCs w:val="21"/>
              </w:rPr>
            </w:pPr>
            <w:r>
              <w:rPr>
                <w:rFonts w:hint="eastAsia" w:ascii="宋体" w:hAnsi="宋体" w:eastAsia="宋体" w:cs="宋体"/>
                <w:sz w:val="21"/>
                <w:szCs w:val="21"/>
                <w:vertAlign w:val="baseline"/>
                <w:lang w:val="en-US" w:eastAsia="zh-CN"/>
              </w:rPr>
              <w:t>13</w:t>
            </w:r>
          </w:p>
        </w:tc>
        <w:tc>
          <w:tcPr>
            <w:tcW w:w="1027"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sz w:val="21"/>
                <w:szCs w:val="21"/>
                <w:vertAlign w:val="baseline"/>
                <w:lang w:val="en-US" w:eastAsia="zh-CN"/>
              </w:rPr>
              <w:t>1</w:t>
            </w:r>
            <w:r>
              <w:rPr>
                <w:rFonts w:hint="eastAsia" w:hAnsi="宋体" w:eastAsia="宋体" w:cs="宋体"/>
                <w:sz w:val="21"/>
                <w:szCs w:val="21"/>
                <w:vertAlign w:val="baseline"/>
                <w:lang w:val="en-US" w:eastAsia="zh-CN"/>
              </w:rPr>
              <w:t>4</w:t>
            </w:r>
          </w:p>
        </w:tc>
        <w:tc>
          <w:tcPr>
            <w:tcW w:w="680" w:type="dxa"/>
            <w:tcBorders>
              <w:tl2br w:val="nil"/>
              <w:tr2bl w:val="nil"/>
            </w:tcBorders>
            <w:shd w:val="clear" w:color="auto" w:fill="auto"/>
            <w:vAlign w:val="center"/>
          </w:tcPr>
          <w:p>
            <w:pPr>
              <w:widowControl/>
              <w:adjustRightInd w:val="0"/>
              <w:snapToGrid w:val="0"/>
              <w:spacing w:line="32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bidi="ar"/>
              </w:rPr>
              <w:t>达标</w:t>
            </w:r>
          </w:p>
        </w:tc>
        <w:tc>
          <w:tcPr>
            <w:tcW w:w="721"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Courier New"/>
                <w:sz w:val="21"/>
                <w:szCs w:val="21"/>
              </w:rPr>
            </w:pPr>
            <w:r>
              <w:rPr>
                <w:rFonts w:hint="eastAsia" w:ascii="宋体" w:hAnsi="宋体" w:eastAsia="宋体" w:cs="宋体"/>
                <w:b w:val="0"/>
                <w:bCs w:val="0"/>
                <w:sz w:val="21"/>
                <w:szCs w:val="21"/>
                <w:vertAlign w:val="baseline"/>
                <w:lang w:val="en-US" w:eastAsia="zh-CN"/>
              </w:rPr>
              <w:t>70</w:t>
            </w:r>
          </w:p>
        </w:tc>
      </w:tr>
    </w:tbl>
    <w:p>
      <w:pPr>
        <w:pStyle w:val="3"/>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aps w:val="0"/>
          <w:kern w:val="0"/>
          <w:sz w:val="28"/>
          <w:szCs w:val="28"/>
          <w:lang w:val="en-US" w:eastAsia="zh-CN" w:bidi="ar-SA"/>
        </w:rPr>
      </w:pPr>
      <w:r>
        <w:rPr>
          <w:rFonts w:hint="eastAsia" w:ascii="宋体" w:hAnsi="宋体" w:eastAsia="宋体" w:cs="宋体"/>
          <w:b w:val="0"/>
          <w:bCs w:val="0"/>
          <w:caps w:val="0"/>
          <w:kern w:val="0"/>
          <w:sz w:val="28"/>
          <w:szCs w:val="28"/>
          <w:lang w:val="en-US" w:eastAsia="zh-CN" w:bidi="ar-SA"/>
        </w:rPr>
        <w:t>工业废水日均值及范围：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范围8.01～8.</w:t>
      </w:r>
      <w:r>
        <w:rPr>
          <w:rFonts w:hint="eastAsia" w:hAnsi="宋体" w:eastAsia="宋体" w:cs="宋体"/>
          <w:sz w:val="28"/>
          <w:szCs w:val="28"/>
          <w:lang w:val="en-US" w:eastAsia="zh-CN"/>
        </w:rPr>
        <w:t>05</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日均值4mg/L,COD</w:t>
      </w:r>
      <w:r>
        <w:rPr>
          <w:rFonts w:hint="eastAsia" w:hAnsi="宋体" w:eastAsia="宋体" w:cs="宋体"/>
          <w:sz w:val="28"/>
          <w:szCs w:val="28"/>
          <w:lang w:val="en-US" w:eastAsia="zh-CN"/>
        </w:rPr>
        <w:t>cr</w:t>
      </w:r>
      <w:r>
        <w:rPr>
          <w:rFonts w:hint="eastAsia" w:ascii="宋体" w:hAnsi="宋体" w:eastAsia="宋体" w:cs="宋体"/>
          <w:sz w:val="28"/>
          <w:szCs w:val="28"/>
          <w:lang w:val="en-US" w:eastAsia="zh-CN"/>
        </w:rPr>
        <w:t>日均值16mg/L，氨氮日均值7.634mg/L，石油类日均值0.26mg/L,BOD日均值6.3mg/L，色度日均值2，氰化物、挥发酚、硫化物、锰均未检出。</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w:t>
      </w:r>
      <w:r>
        <w:rPr>
          <w:rFonts w:hint="eastAsia" w:hAnsi="宋体" w:eastAsia="宋体" w:cs="宋体"/>
          <w:sz w:val="28"/>
          <w:szCs w:val="28"/>
          <w:lang w:val="en-US" w:eastAsia="zh-CN"/>
        </w:rPr>
        <w:t>7.99</w:t>
      </w:r>
      <w:r>
        <w:rPr>
          <w:rFonts w:hint="eastAsia" w:ascii="宋体" w:hAnsi="宋体" w:eastAsia="宋体" w:cs="宋体"/>
          <w:sz w:val="28"/>
          <w:szCs w:val="28"/>
          <w:lang w:val="en-US" w:eastAsia="zh-CN"/>
        </w:rPr>
        <w:t>～8.</w:t>
      </w:r>
      <w:r>
        <w:rPr>
          <w:rFonts w:hint="eastAsia" w:hAnsi="宋体" w:eastAsia="宋体" w:cs="宋体"/>
          <w:sz w:val="28"/>
          <w:szCs w:val="28"/>
          <w:lang w:val="en-US" w:eastAsia="zh-CN"/>
        </w:rPr>
        <w:t>04</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w:t>
      </w:r>
      <w:r>
        <w:rPr>
          <w:rFonts w:hint="eastAsia" w:hAnsi="宋体" w:eastAsia="宋体" w:cs="宋体"/>
          <w:sz w:val="28"/>
          <w:szCs w:val="28"/>
          <w:lang w:val="en-US" w:eastAsia="zh-CN"/>
        </w:rPr>
        <w:t>5</w:t>
      </w:r>
      <w:r>
        <w:rPr>
          <w:rFonts w:hint="eastAsia" w:ascii="宋体" w:hAnsi="宋体" w:eastAsia="宋体" w:cs="宋体"/>
          <w:sz w:val="28"/>
          <w:szCs w:val="28"/>
          <w:lang w:val="en-US" w:eastAsia="zh-CN"/>
        </w:rPr>
        <w:t>mg/L，氨氮日均值6.</w:t>
      </w:r>
      <w:r>
        <w:rPr>
          <w:rFonts w:hint="eastAsia" w:hAnsi="宋体" w:eastAsia="宋体" w:cs="宋体"/>
          <w:sz w:val="28"/>
          <w:szCs w:val="28"/>
          <w:lang w:val="en-US" w:eastAsia="zh-CN"/>
        </w:rPr>
        <w:t>763</w:t>
      </w:r>
      <w:r>
        <w:rPr>
          <w:rFonts w:hint="eastAsia" w:ascii="宋体" w:hAnsi="宋体" w:eastAsia="宋体" w:cs="宋体"/>
          <w:sz w:val="28"/>
          <w:szCs w:val="28"/>
          <w:lang w:val="en-US" w:eastAsia="zh-CN"/>
        </w:rPr>
        <w:t>mg/L，石油类日均值0.</w:t>
      </w:r>
      <w:r>
        <w:rPr>
          <w:rFonts w:hint="eastAsia" w:hAnsi="宋体" w:eastAsia="宋体" w:cs="宋体"/>
          <w:sz w:val="28"/>
          <w:szCs w:val="28"/>
          <w:lang w:val="en-US" w:eastAsia="zh-CN"/>
        </w:rPr>
        <w:t>26</w:t>
      </w:r>
      <w:r>
        <w:rPr>
          <w:rFonts w:hint="eastAsia" w:ascii="宋体" w:hAnsi="宋体" w:eastAsia="宋体" w:cs="宋体"/>
          <w:sz w:val="28"/>
          <w:szCs w:val="28"/>
          <w:lang w:val="en-US" w:eastAsia="zh-CN"/>
        </w:rPr>
        <w:t>mg/L,色度日均值2，COD</w:t>
      </w:r>
      <w:r>
        <w:rPr>
          <w:rFonts w:hint="eastAsia" w:hAnsi="宋体" w:eastAsia="宋体" w:cs="宋体"/>
          <w:sz w:val="28"/>
          <w:szCs w:val="28"/>
          <w:lang w:val="en-US" w:eastAsia="zh-CN"/>
        </w:rPr>
        <w:t>cr、</w:t>
      </w:r>
      <w:r>
        <w:rPr>
          <w:rFonts w:hint="eastAsia" w:ascii="宋体" w:hAnsi="宋体" w:eastAsia="宋体" w:cs="宋体"/>
          <w:sz w:val="28"/>
          <w:szCs w:val="28"/>
          <w:lang w:val="en-US" w:eastAsia="zh-CN"/>
        </w:rPr>
        <w:t>BOD、氰化物、挥发酚、硫化物、锰均未检出，满足《污水综合排放标准》（GB8978-1996）中一级标准限值。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生活污水日均值及范围：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范围8.02～8.04，</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日均值5mg/L,COD日均值76mg/L，氨氮日均值8.002mg/L，动植物油日均值0.46mg/L,BOD日均值18.1mg/L，色度日均值2，氰化物、挥发酚、硫化物、锰均未检出。</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范围8.05～8.13，</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日均值5mg/L,COD日均值72mg/L，氨氮日均值7.882mg/L，动植物油日均值0.47mg/L,色度日均值2，氰化物、挥发酚、硫化物、锰均未检出，满足《污水综合排放标准》（GB8978-1996）中一级标准限值。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含煤废水日均值及范围：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范围7.</w:t>
      </w:r>
      <w:r>
        <w:rPr>
          <w:rFonts w:hint="eastAsia" w:hAnsi="宋体" w:eastAsia="宋体" w:cs="宋体"/>
          <w:sz w:val="28"/>
          <w:szCs w:val="28"/>
          <w:lang w:val="en-US" w:eastAsia="zh-CN"/>
        </w:rPr>
        <w:t>9</w:t>
      </w:r>
      <w:r>
        <w:rPr>
          <w:rFonts w:hint="eastAsia" w:ascii="宋体" w:hAnsi="宋体" w:eastAsia="宋体" w:cs="宋体"/>
          <w:sz w:val="28"/>
          <w:szCs w:val="28"/>
          <w:lang w:val="en-US" w:eastAsia="zh-CN"/>
        </w:rPr>
        <w:t>3～7.</w:t>
      </w:r>
      <w:r>
        <w:rPr>
          <w:rFonts w:hint="eastAsia" w:hAnsi="宋体" w:eastAsia="宋体" w:cs="宋体"/>
          <w:sz w:val="28"/>
          <w:szCs w:val="28"/>
          <w:lang w:val="en-US" w:eastAsia="zh-CN"/>
        </w:rPr>
        <w:t>9</w:t>
      </w:r>
      <w:r>
        <w:rPr>
          <w:rFonts w:hint="eastAsia" w:ascii="宋体" w:hAnsi="宋体" w:eastAsia="宋体" w:cs="宋体"/>
          <w:sz w:val="28"/>
          <w:szCs w:val="28"/>
          <w:lang w:val="en-US" w:eastAsia="zh-CN"/>
        </w:rPr>
        <w:t>6，</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日均值13mg/L。</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范围7.87～7.90，</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日均值14mg/L。满足《污水综合排放标准》（GB8978-1996）中一级标准限值。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脱硫废水日均值及范围：</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范围7.73～7.77，</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日均值19mg/L,汞日均值</w:t>
      </w:r>
      <w:r>
        <w:rPr>
          <w:rFonts w:hint="eastAsia" w:hAnsi="宋体" w:eastAsia="宋体" w:cs="宋体"/>
          <w:sz w:val="28"/>
          <w:szCs w:val="28"/>
          <w:lang w:val="en-US" w:eastAsia="zh-CN"/>
        </w:rPr>
        <w:t>0.56</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，砷日均值3.9</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，镉日均值3.9</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，铅未检出。</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范围7.68～7.73，</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日均值17mg/L,汞日均值</w:t>
      </w:r>
      <w:r>
        <w:rPr>
          <w:rFonts w:hint="eastAsia" w:hAnsi="宋体" w:eastAsia="宋体" w:cs="宋体"/>
          <w:sz w:val="28"/>
          <w:szCs w:val="28"/>
          <w:lang w:val="en-US" w:eastAsia="zh-CN"/>
        </w:rPr>
        <w:t>0.63</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，砷日均值4.4</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，镉日均值4.4</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，铅未检出。满足《火电厂石灰石-石膏湿法脱硫废水水质控制标准》（DL/T997-2006)。</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Times New Roman" w:hAnsi="Times New Roman" w:eastAsia="宋体" w:cs="Times New Roman"/>
          <w:b/>
          <w:bCs/>
          <w:sz w:val="28"/>
          <w:szCs w:val="28"/>
          <w:lang w:val="en-US" w:eastAsia="zh-CN"/>
        </w:rPr>
      </w:pPr>
      <w:bookmarkStart w:id="48" w:name="_Toc28010"/>
      <w:r>
        <w:rPr>
          <w:rFonts w:hint="eastAsia" w:ascii="Times New Roman" w:hAnsi="Times New Roman" w:eastAsia="宋体" w:cs="Times New Roman"/>
          <w:b/>
          <w:bCs/>
          <w:sz w:val="28"/>
          <w:szCs w:val="28"/>
          <w:lang w:val="en-US" w:eastAsia="zh-CN"/>
        </w:rPr>
        <w:t>9.2.2废气</w:t>
      </w:r>
      <w:bookmarkEnd w:id="48"/>
    </w:p>
    <w:p>
      <w:pPr>
        <w:pStyle w:val="2"/>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（一）有组织废气</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动力站有组织废气监测内容为颗粒物、二氧化硫、氮氧化物、汞及其化合物、氨逃逸，具体监测结果见表9-8至表9-41，处理设施污染物处理效率见表9-42。</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8</w:t>
      </w:r>
      <w:r>
        <w:rPr>
          <w:rFonts w:hint="eastAsia" w:ascii="Times New Roman" w:hAnsi="Times New Roman" w:eastAsia="宋体" w:cs="Times New Roman"/>
          <w:b/>
          <w:bCs/>
          <w:sz w:val="24"/>
          <w:szCs w:val="24"/>
          <w:lang w:val="en-US" w:eastAsia="zh-CN"/>
        </w:rPr>
        <w:t xml:space="preserve">  </w:t>
      </w:r>
      <w:r>
        <w:rPr>
          <w:rFonts w:hint="eastAsia" w:asciiTheme="minorEastAsia" w:hAnsiTheme="minorEastAsia" w:eastAsiaTheme="minorEastAsia" w:cstheme="minorEastAsia"/>
          <w:b/>
          <w:bCs/>
          <w:sz w:val="24"/>
          <w:szCs w:val="24"/>
          <w:vertAlign w:val="baseline"/>
          <w:lang w:val="en-US" w:eastAsia="zh-CN"/>
        </w:rPr>
        <w:t>T1转运站1#除尘器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T1转运站1#除尘器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7892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69.1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8755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0.139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8925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8864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77.7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8769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16.4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0.142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8669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8972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78.6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8759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18.2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0.168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9247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2018.9.30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8658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74.3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8528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17.3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0.151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8744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7962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65.5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8230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16.5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0.146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8842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8129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69.1 </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8505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17.1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0.151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8822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18.2</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0.168</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3"/>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3"/>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3"/>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3"/>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9</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T1转运站</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9051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81.0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8950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0.154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8350</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8846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74.5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8420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0.162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8257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8529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70.2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8235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w:t>
            </w:r>
            <w:r>
              <w:rPr>
                <w:rFonts w:hint="eastAsia" w:ascii="宋体" w:hAnsi="宋体"/>
                <w:color w:val="000000"/>
                <w:sz w:val="21"/>
                <w:szCs w:val="21"/>
                <w:lang w:val="en-US" w:eastAsia="zh-CN"/>
              </w:rPr>
              <w:t>.0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0.153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8525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2018.9.30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9256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81.3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8780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0.150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8539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8643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75.1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8690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0.149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8258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8861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73.7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8313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0.154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8203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19.6</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0.162</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0</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T1转运站</w:t>
      </w:r>
      <w:r>
        <w:rPr>
          <w:rFonts w:hint="eastAsia" w:hAnsi="宋体" w:eastAsia="宋体" w:cs="宋体"/>
          <w:b/>
          <w:bCs/>
          <w:sz w:val="24"/>
          <w:szCs w:val="24"/>
          <w:vertAlign w:val="baseline"/>
          <w:lang w:val="en-US" w:eastAsia="zh-CN"/>
        </w:rPr>
        <w:t>3</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w:t>
            </w:r>
            <w:r>
              <w:rPr>
                <w:rFonts w:hint="eastAsia" w:hAnsi="宋体" w:eastAsia="宋体" w:cs="宋体"/>
                <w:b w:val="0"/>
                <w:bCs w:val="0"/>
                <w:sz w:val="21"/>
                <w:szCs w:val="21"/>
                <w:vertAlign w:val="baseline"/>
                <w:lang w:val="en-US" w:eastAsia="zh-CN"/>
              </w:rPr>
              <w:t>3</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6859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55.4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8080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0.103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8224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7423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60.6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8207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6952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56.6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8141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w:t>
            </w:r>
            <w:r>
              <w:rPr>
                <w:rFonts w:hint="eastAsia" w:ascii="宋体" w:hAnsi="宋体"/>
                <w:color w:val="000000"/>
                <w:sz w:val="21"/>
                <w:szCs w:val="21"/>
                <w:lang w:val="en-US" w:eastAsia="zh-CN"/>
              </w:rPr>
              <w:t>.0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8057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2018.9.30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59.0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8282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13.1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0.107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8194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7233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58.3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8304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6948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58.0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8353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0.103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8148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13.1</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0.103</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1</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11258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126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11234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26.5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0.304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11468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10487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122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11601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28.3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0.321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11354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12065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133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11033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27.6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0.314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11379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2018.9.30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12385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140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11302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28.6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0.329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11502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12935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150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11608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27.4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0.314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11451</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11234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133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11879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28.1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0.328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11662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28.6</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0.329</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2</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3</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3</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6025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9.39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1559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10</w:t>
            </w:r>
            <w:r>
              <w:rPr>
                <w:rFonts w:hint="eastAsia" w:ascii="宋体" w:hAnsi="宋体"/>
                <w:color w:val="000000"/>
                <w:sz w:val="21"/>
                <w:szCs w:val="21"/>
                <w:lang w:val="en-US" w:eastAsia="zh-CN"/>
              </w:rPr>
              <w:t>97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6411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9.24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1477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905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6125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10.4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1623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965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9.21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627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10.6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1665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1198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6401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11.5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1261</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19.6</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0.022</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3</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3</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3</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6589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46.2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7019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0.119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6902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lang w:val="en-US" w:eastAsia="zh-CN"/>
              </w:rPr>
              <w:t>6322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41.6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6577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0.135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6807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lang w:val="en-US" w:eastAsia="zh-CN"/>
              </w:rPr>
              <w:t>6658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41.6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6243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0.115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6918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6523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48.5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7434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0.119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7090</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6489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46.8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7208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0.127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6968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6412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44.6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6960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0.140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7190</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19.8</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0.140</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4</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4</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4</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9256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57.0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6154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20.8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0.129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6178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9395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57.9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6163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21.7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0.132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6094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10256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61.9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6031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24.2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0.140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5793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9588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56.6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5906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23.8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0.145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6113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9721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57.5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5912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22.1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0.135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6118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9256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53.4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5766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24.6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0.147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5971</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24.6</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0.147</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表9-1</w:t>
      </w:r>
      <w:r>
        <w:rPr>
          <w:rFonts w:hint="eastAsia" w:hAnsi="宋体" w:eastAsia="宋体" w:cs="宋体"/>
          <w:b/>
          <w:bCs/>
          <w:sz w:val="24"/>
          <w:szCs w:val="24"/>
          <w:lang w:val="en-US" w:eastAsia="zh-CN"/>
        </w:rPr>
        <w:t>5</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4</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4</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5050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40.5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8024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7973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34.5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7193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0.069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7464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5123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35.5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6931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7032</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5026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39.7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7898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0.079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7986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4719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36.5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7731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7473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4826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38.2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7906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w:t>
            </w:r>
            <w:r>
              <w:rPr>
                <w:rFonts w:hint="eastAsia" w:ascii="宋体" w:hAnsi="宋体"/>
                <w:color w:val="000000"/>
                <w:sz w:val="21"/>
                <w:szCs w:val="21"/>
                <w:lang w:val="en-US" w:eastAsia="zh-CN"/>
              </w:rPr>
              <w:t>.0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8059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11.8</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0.087</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16</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5</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4052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30.1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7434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0.064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6256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4368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33.1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7579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6505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4171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28.4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6814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6986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4458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29.9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6706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0.075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6857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4521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30.2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6690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7574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4396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28.6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6505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6686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12.5</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0.088</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17</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5</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3752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38.4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10245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9569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3899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41.3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10596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w:t>
            </w:r>
            <w:r>
              <w:rPr>
                <w:rFonts w:hint="eastAsia" w:ascii="宋体" w:hAnsi="宋体"/>
                <w:color w:val="000000"/>
                <w:sz w:val="21"/>
                <w:szCs w:val="21"/>
                <w:lang w:val="en-US" w:eastAsia="zh-CN"/>
              </w:rPr>
              <w:t>.0</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9913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3634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38.2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10516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0.068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9037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4052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38.9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9591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9814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4188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40.8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9753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9783</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3872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37.4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9648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9129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10.8</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0.099</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18</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6</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6</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4089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29.1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7116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0.078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8006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4255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30.5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7175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0.060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7059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4298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30.3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7043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0.057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6897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3985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35.9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9009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0.055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7017</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3884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38.5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9907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0.061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7074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3826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34.7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9081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0.0</w:t>
            </w:r>
            <w:r>
              <w:rPr>
                <w:rFonts w:hint="eastAsia" w:ascii="宋体" w:hAnsi="宋体"/>
                <w:color w:val="000000"/>
                <w:sz w:val="21"/>
                <w:szCs w:val="21"/>
                <w:lang w:val="en-US" w:eastAsia="zh-CN"/>
              </w:rPr>
              <w:t>61</w:t>
            </w:r>
            <w:r>
              <w:rPr>
                <w:rFonts w:hint="eastAsia" w:ascii="宋体" w:hAnsi="宋体"/>
                <w:color w:val="000000"/>
                <w:sz w:val="21"/>
                <w:szCs w:val="21"/>
              </w:rPr>
              <w:t xml:space="preserve">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7075</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9.8</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0.078</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19</w:t>
      </w: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vertAlign w:val="baseline"/>
          <w:lang w:val="en-US" w:eastAsia="zh-CN"/>
        </w:rPr>
        <w:t>T</w:t>
      </w:r>
      <w:r>
        <w:rPr>
          <w:rFonts w:hint="eastAsia" w:hAnsi="宋体" w:eastAsia="宋体" w:cs="宋体"/>
          <w:b/>
          <w:bCs/>
          <w:sz w:val="24"/>
          <w:szCs w:val="24"/>
          <w:vertAlign w:val="baseline"/>
          <w:lang w:val="en-US" w:eastAsia="zh-CN"/>
        </w:rPr>
        <w:t>6</w:t>
      </w:r>
      <w:r>
        <w:rPr>
          <w:rFonts w:hint="eastAsia" w:ascii="宋体" w:hAnsi="宋体" w:eastAsia="宋体" w:cs="宋体"/>
          <w:b/>
          <w:bCs/>
          <w:sz w:val="24"/>
          <w:szCs w:val="24"/>
          <w:vertAlign w:val="baseline"/>
          <w:lang w:val="en-US" w:eastAsia="zh-CN"/>
        </w:rPr>
        <w:t>转运站</w:t>
      </w:r>
      <w:r>
        <w:rPr>
          <w:rFonts w:hint="eastAsia" w:hAnsi="宋体" w:eastAsia="宋体" w:cs="宋体"/>
          <w:b/>
          <w:bCs/>
          <w:sz w:val="24"/>
          <w:szCs w:val="24"/>
          <w:vertAlign w:val="baseline"/>
          <w:lang w:val="en-US" w:eastAsia="zh-CN"/>
        </w:rPr>
        <w:t>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10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70"/>
        <w:gridCol w:w="1150"/>
        <w:gridCol w:w="1150"/>
        <w:gridCol w:w="1150"/>
        <w:gridCol w:w="1150"/>
        <w:gridCol w:w="1150"/>
        <w:gridCol w:w="115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除尘器进口</w:t>
            </w:r>
          </w:p>
        </w:tc>
        <w:tc>
          <w:tcPr>
            <w:tcW w:w="345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c>
          <w:tcPr>
            <w:tcW w:w="8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w:t>
            </w:r>
            <w:r>
              <w:rPr>
                <w:rFonts w:hint="eastAsia" w:hAnsi="宋体" w:eastAsia="宋体" w:cs="宋体"/>
                <w:b w:val="0"/>
                <w:bCs w:val="0"/>
                <w:sz w:val="21"/>
                <w:szCs w:val="21"/>
                <w:vertAlign w:val="baseline"/>
                <w:lang w:val="en-US" w:eastAsia="zh-CN"/>
              </w:rPr>
              <w:t>6</w:t>
            </w:r>
            <w:r>
              <w:rPr>
                <w:rFonts w:hint="eastAsia" w:ascii="宋体" w:hAnsi="宋体" w:eastAsia="宋体" w:cs="宋体"/>
                <w:b w:val="0"/>
                <w:bCs w:val="0"/>
                <w:sz w:val="21"/>
                <w:szCs w:val="21"/>
                <w:vertAlign w:val="baseline"/>
                <w:lang w:val="en-US" w:eastAsia="zh-CN"/>
              </w:rPr>
              <w:t>转运站</w:t>
            </w: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5023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46.9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9339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0.074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10004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4988</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46.3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9283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0.085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9526</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5156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48.7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9455</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0.092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9584</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4752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46.8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9849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0.079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9561</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4803</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47.2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9822</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8.6</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9368</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47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4529</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44.1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9747</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9.4</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0.089 </w:t>
            </w:r>
          </w:p>
        </w:tc>
        <w:tc>
          <w:tcPr>
            <w:tcW w:w="11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9499</w:t>
            </w:r>
          </w:p>
        </w:tc>
        <w:tc>
          <w:tcPr>
            <w:tcW w:w="88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9.6</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0.089</w:t>
            </w:r>
          </w:p>
        </w:tc>
        <w:tc>
          <w:tcPr>
            <w:tcW w:w="2035"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45"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15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39</w:t>
            </w:r>
          </w:p>
        </w:tc>
        <w:tc>
          <w:tcPr>
            <w:tcW w:w="2035"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w:t>
      </w: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20  </w:t>
      </w:r>
      <w:r>
        <w:rPr>
          <w:rFonts w:hint="eastAsia" w:hAnsi="宋体" w:eastAsia="宋体" w:cs="宋体"/>
          <w:b/>
          <w:bCs/>
          <w:sz w:val="24"/>
          <w:szCs w:val="24"/>
          <w:vertAlign w:val="baseline"/>
          <w:lang w:val="en-US" w:eastAsia="zh-CN"/>
        </w:rPr>
        <w:t>原煤斗7</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072"/>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7</w:t>
            </w:r>
            <w:r>
              <w:rPr>
                <w:rFonts w:hint="eastAsia" w:ascii="宋体" w:hAnsi="宋体" w:eastAsia="宋体" w:cs="宋体"/>
                <w:b w:val="0"/>
                <w:bCs w:val="0"/>
                <w:sz w:val="21"/>
                <w:szCs w:val="21"/>
                <w:vertAlign w:val="baseline"/>
                <w:lang w:val="en-US" w:eastAsia="zh-CN"/>
              </w:rPr>
              <w:t>#除尘器</w:t>
            </w: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0.020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0.026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0.028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6881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0.024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0.030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4.9</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0.030</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3"/>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21  </w:t>
      </w:r>
      <w:r>
        <w:rPr>
          <w:rFonts w:hint="eastAsia" w:hAnsi="宋体" w:eastAsia="宋体" w:cs="宋体"/>
          <w:b/>
          <w:bCs/>
          <w:sz w:val="24"/>
          <w:szCs w:val="24"/>
          <w:vertAlign w:val="baseline"/>
          <w:lang w:val="en-US" w:eastAsia="zh-CN"/>
        </w:rPr>
        <w:t>原煤斗8</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072"/>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8</w:t>
            </w:r>
            <w:r>
              <w:rPr>
                <w:rFonts w:hint="eastAsia" w:ascii="宋体" w:hAnsi="宋体" w:eastAsia="宋体" w:cs="宋体"/>
                <w:b w:val="0"/>
                <w:bCs w:val="0"/>
                <w:sz w:val="21"/>
                <w:szCs w:val="21"/>
                <w:vertAlign w:val="baseline"/>
                <w:lang w:val="en-US" w:eastAsia="zh-CN"/>
              </w:rPr>
              <w:t>#除尘器</w:t>
            </w: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0.030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5942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0.027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4"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2"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5.3</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0.032</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22  </w:t>
      </w:r>
      <w:r>
        <w:rPr>
          <w:rFonts w:hint="eastAsia" w:hAnsi="宋体" w:eastAsia="宋体" w:cs="宋体"/>
          <w:b/>
          <w:bCs/>
          <w:sz w:val="24"/>
          <w:szCs w:val="24"/>
          <w:vertAlign w:val="baseline"/>
          <w:lang w:val="en-US" w:eastAsia="zh-CN"/>
        </w:rPr>
        <w:t>原煤斗9</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9</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0.028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0.034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0.031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7346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0.033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0.030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0.037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5.1</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0.037</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23  </w:t>
      </w:r>
      <w:r>
        <w:rPr>
          <w:rFonts w:hint="eastAsia" w:hAnsi="宋体" w:eastAsia="宋体" w:cs="宋体"/>
          <w:b/>
          <w:bCs/>
          <w:sz w:val="24"/>
          <w:szCs w:val="24"/>
          <w:vertAlign w:val="baseline"/>
          <w:lang w:val="en-US" w:eastAsia="zh-CN"/>
        </w:rPr>
        <w:t>原煤斗10</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0.041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7707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5.2</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0.041</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24  </w:t>
      </w:r>
      <w:r>
        <w:rPr>
          <w:rFonts w:hint="eastAsia" w:hAnsi="宋体" w:eastAsia="宋体" w:cs="宋体"/>
          <w:b/>
          <w:bCs/>
          <w:sz w:val="24"/>
          <w:szCs w:val="24"/>
          <w:vertAlign w:val="baseline"/>
          <w:lang w:val="en-US" w:eastAsia="zh-CN"/>
        </w:rPr>
        <w:t>原煤斗11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11</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6671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0.027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0.025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0.024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6777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0.029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4.4</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0.029</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25  </w:t>
      </w:r>
      <w:r>
        <w:rPr>
          <w:rFonts w:hint="eastAsia" w:hAnsi="宋体" w:eastAsia="宋体" w:cs="宋体"/>
          <w:b/>
          <w:bCs/>
          <w:sz w:val="24"/>
          <w:szCs w:val="24"/>
          <w:vertAlign w:val="baseline"/>
          <w:lang w:val="en-US" w:eastAsia="zh-CN"/>
        </w:rPr>
        <w:t>原煤斗12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原煤斗</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12</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0.042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8745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0.042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8455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0.039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0.043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8221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0.033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8153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5.2</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0.043</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23</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26  </w:t>
      </w:r>
      <w:r>
        <w:rPr>
          <w:rFonts w:hint="eastAsia" w:hAnsi="宋体" w:eastAsia="宋体" w:cs="宋体"/>
          <w:b/>
          <w:bCs/>
          <w:sz w:val="24"/>
          <w:szCs w:val="24"/>
          <w:vertAlign w:val="baseline"/>
          <w:lang w:val="en-US" w:eastAsia="zh-CN"/>
        </w:rPr>
        <w:t>电石渣仓</w:t>
      </w:r>
      <w:r>
        <w:rPr>
          <w:rFonts w:hint="eastAsia" w:ascii="宋体" w:hAnsi="宋体" w:eastAsia="宋体" w:cs="宋体"/>
          <w:b/>
          <w:bCs/>
          <w:sz w:val="24"/>
          <w:szCs w:val="24"/>
          <w:vertAlign w:val="baseline"/>
          <w:lang w:val="en-US" w:eastAsia="zh-CN"/>
        </w:rPr>
        <w:t>除尘器</w:t>
      </w:r>
      <w:r>
        <w:rPr>
          <w:rFonts w:hint="eastAsia" w:hAnsi="宋体" w:eastAsia="宋体" w:cs="宋体"/>
          <w:b/>
          <w:bCs/>
          <w:sz w:val="24"/>
          <w:szCs w:val="24"/>
          <w:vertAlign w:val="baseline"/>
          <w:lang w:val="en-US" w:eastAsia="zh-CN"/>
        </w:rPr>
        <w:t>A</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电石渣仓</w:t>
            </w:r>
            <w:r>
              <w:rPr>
                <w:rFonts w:hint="eastAsia" w:ascii="宋体" w:hAnsi="宋体" w:eastAsia="宋体" w:cs="宋体"/>
                <w:b w:val="0"/>
                <w:bCs w:val="0"/>
                <w:sz w:val="21"/>
                <w:szCs w:val="21"/>
                <w:vertAlign w:val="baseline"/>
                <w:lang w:val="en-US" w:eastAsia="zh-CN"/>
              </w:rPr>
              <w:t>除尘器</w:t>
            </w:r>
            <w:r>
              <w:rPr>
                <w:rFonts w:hint="eastAsia" w:hAnsi="宋体" w:eastAsia="宋体" w:cs="宋体"/>
                <w:b w:val="0"/>
                <w:bCs w:val="0"/>
                <w:sz w:val="21"/>
                <w:szCs w:val="21"/>
                <w:vertAlign w:val="baseline"/>
                <w:lang w:val="en-US" w:eastAsia="zh-CN"/>
              </w:rPr>
              <w:t>A</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2.96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6.06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2.57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2.81</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4.99</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4.2</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6.06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27  </w:t>
      </w:r>
      <w:r>
        <w:rPr>
          <w:rFonts w:hint="eastAsia" w:hAnsi="宋体" w:eastAsia="宋体" w:cs="宋体"/>
          <w:b/>
          <w:bCs/>
          <w:sz w:val="24"/>
          <w:szCs w:val="24"/>
          <w:vertAlign w:val="baseline"/>
          <w:lang w:val="en-US" w:eastAsia="zh-CN"/>
        </w:rPr>
        <w:t>电石渣仓</w:t>
      </w:r>
      <w:r>
        <w:rPr>
          <w:rFonts w:hint="eastAsia" w:ascii="宋体" w:hAnsi="宋体" w:eastAsia="宋体" w:cs="宋体"/>
          <w:b/>
          <w:bCs/>
          <w:sz w:val="24"/>
          <w:szCs w:val="24"/>
          <w:vertAlign w:val="baseline"/>
          <w:lang w:val="en-US" w:eastAsia="zh-CN"/>
        </w:rPr>
        <w:t>除尘器</w:t>
      </w:r>
      <w:r>
        <w:rPr>
          <w:rFonts w:hint="eastAsia" w:hAnsi="宋体" w:eastAsia="宋体" w:cs="宋体"/>
          <w:b/>
          <w:bCs/>
          <w:sz w:val="24"/>
          <w:szCs w:val="24"/>
          <w:vertAlign w:val="baseline"/>
          <w:lang w:val="en-US" w:eastAsia="zh-CN"/>
        </w:rPr>
        <w:t>B</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电石渣仓</w:t>
            </w:r>
            <w:r>
              <w:rPr>
                <w:rFonts w:hint="eastAsia" w:ascii="宋体" w:hAnsi="宋体" w:eastAsia="宋体" w:cs="宋体"/>
                <w:b w:val="0"/>
                <w:bCs w:val="0"/>
                <w:sz w:val="21"/>
                <w:szCs w:val="21"/>
                <w:vertAlign w:val="baseline"/>
                <w:lang w:val="en-US" w:eastAsia="zh-CN"/>
              </w:rPr>
              <w:t>除尘器</w:t>
            </w:r>
            <w:r>
              <w:rPr>
                <w:rFonts w:hint="eastAsia" w:hAnsi="宋体" w:eastAsia="宋体" w:cs="宋体"/>
                <w:b w:val="0"/>
                <w:bCs w:val="0"/>
                <w:sz w:val="21"/>
                <w:szCs w:val="21"/>
                <w:vertAlign w:val="baseline"/>
                <w:lang w:val="en-US" w:eastAsia="zh-CN"/>
              </w:rPr>
              <w:t>B</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3.4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0.3</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3.7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0.9</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3.0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3.</w:t>
            </w:r>
            <w:r>
              <w:rPr>
                <w:rFonts w:hint="eastAsia" w:ascii="宋体" w:hAnsi="宋体"/>
                <w:color w:val="000000"/>
                <w:sz w:val="21"/>
                <w:szCs w:val="21"/>
                <w:lang w:val="en-US" w:eastAsia="zh-CN"/>
              </w:rPr>
              <w:t>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3.</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4.1</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9</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28  </w:t>
      </w:r>
      <w:r>
        <w:rPr>
          <w:rFonts w:hint="eastAsia" w:hAnsi="宋体" w:eastAsia="宋体" w:cs="宋体"/>
          <w:b/>
          <w:bCs/>
          <w:sz w:val="24"/>
          <w:szCs w:val="24"/>
          <w:vertAlign w:val="baseline"/>
          <w:lang w:val="en-US" w:eastAsia="zh-CN"/>
        </w:rPr>
        <w:t>电石渣仓</w:t>
      </w:r>
      <w:r>
        <w:rPr>
          <w:rFonts w:hint="eastAsia" w:ascii="宋体" w:hAnsi="宋体" w:eastAsia="宋体" w:cs="宋体"/>
          <w:b/>
          <w:bCs/>
          <w:sz w:val="24"/>
          <w:szCs w:val="24"/>
          <w:vertAlign w:val="baseline"/>
          <w:lang w:val="en-US" w:eastAsia="zh-CN"/>
        </w:rPr>
        <w:t>除尘器</w:t>
      </w:r>
      <w:r>
        <w:rPr>
          <w:rFonts w:hint="eastAsia" w:hAnsi="宋体" w:eastAsia="宋体" w:cs="宋体"/>
          <w:b/>
          <w:bCs/>
          <w:sz w:val="24"/>
          <w:szCs w:val="24"/>
          <w:vertAlign w:val="baseline"/>
          <w:lang w:val="en-US" w:eastAsia="zh-CN"/>
        </w:rPr>
        <w:t>C</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电石渣仓</w:t>
            </w:r>
            <w:r>
              <w:rPr>
                <w:rFonts w:hint="eastAsia" w:ascii="宋体" w:hAnsi="宋体" w:eastAsia="宋体" w:cs="宋体"/>
                <w:b w:val="0"/>
                <w:bCs w:val="0"/>
                <w:sz w:val="21"/>
                <w:szCs w:val="21"/>
                <w:vertAlign w:val="baseline"/>
                <w:lang w:val="en-US" w:eastAsia="zh-CN"/>
              </w:rPr>
              <w:t>除尘器</w:t>
            </w:r>
            <w:r>
              <w:rPr>
                <w:rFonts w:hint="eastAsia" w:hAnsi="宋体" w:eastAsia="宋体" w:cs="宋体"/>
                <w:b w:val="0"/>
                <w:bCs w:val="0"/>
                <w:sz w:val="21"/>
                <w:szCs w:val="21"/>
                <w:vertAlign w:val="baseline"/>
                <w:lang w:val="en-US" w:eastAsia="zh-CN"/>
              </w:rPr>
              <w:t>C</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9.88</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9.31</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3.04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5.2</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9.88</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-5</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29  </w:t>
      </w:r>
      <w:r>
        <w:rPr>
          <w:rFonts w:hint="eastAsia" w:hAnsi="宋体" w:eastAsia="宋体" w:cs="宋体"/>
          <w:b/>
          <w:bCs/>
          <w:sz w:val="24"/>
          <w:szCs w:val="24"/>
          <w:vertAlign w:val="baseline"/>
          <w:lang w:val="en-US" w:eastAsia="zh-CN"/>
        </w:rPr>
        <w:t>电石渣仓</w:t>
      </w:r>
      <w:r>
        <w:rPr>
          <w:rFonts w:hint="eastAsia" w:ascii="宋体" w:hAnsi="宋体" w:eastAsia="宋体" w:cs="宋体"/>
          <w:b/>
          <w:bCs/>
          <w:sz w:val="24"/>
          <w:szCs w:val="24"/>
          <w:vertAlign w:val="baseline"/>
          <w:lang w:val="en-US" w:eastAsia="zh-CN"/>
        </w:rPr>
        <w:t>除尘器</w:t>
      </w:r>
      <w:r>
        <w:rPr>
          <w:rFonts w:hint="eastAsia" w:hAnsi="宋体" w:eastAsia="宋体" w:cs="宋体"/>
          <w:b/>
          <w:bCs/>
          <w:sz w:val="24"/>
          <w:szCs w:val="24"/>
          <w:vertAlign w:val="baseline"/>
          <w:lang w:val="en-US" w:eastAsia="zh-CN"/>
        </w:rPr>
        <w:t>D</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电石渣仓</w:t>
            </w:r>
            <w:r>
              <w:rPr>
                <w:rFonts w:hint="eastAsia" w:ascii="宋体" w:hAnsi="宋体" w:eastAsia="宋体" w:cs="宋体"/>
                <w:b w:val="0"/>
                <w:bCs w:val="0"/>
                <w:sz w:val="21"/>
                <w:szCs w:val="21"/>
                <w:vertAlign w:val="baseline"/>
                <w:lang w:val="en-US" w:eastAsia="zh-CN"/>
              </w:rPr>
              <w:t>除尘器</w:t>
            </w:r>
            <w:r>
              <w:rPr>
                <w:rFonts w:hint="eastAsia" w:hAnsi="宋体" w:eastAsia="宋体" w:cs="宋体"/>
                <w:b w:val="0"/>
                <w:bCs w:val="0"/>
                <w:sz w:val="21"/>
                <w:szCs w:val="21"/>
                <w:vertAlign w:val="baseline"/>
                <w:lang w:val="en-US" w:eastAsia="zh-CN"/>
              </w:rPr>
              <w:t>D</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3.</w:t>
            </w:r>
            <w:r>
              <w:rPr>
                <w:rFonts w:hint="eastAsia" w:ascii="宋体" w:hAnsi="宋体"/>
                <w:color w:val="000000"/>
                <w:sz w:val="21"/>
                <w:szCs w:val="21"/>
                <w:lang w:val="en-US" w:eastAsia="zh-CN"/>
              </w:rPr>
              <w:t>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0.2</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0.3</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4.1</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-4</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30  </w:t>
      </w:r>
      <w:r>
        <w:rPr>
          <w:rFonts w:hint="eastAsia" w:hAnsi="宋体" w:eastAsia="宋体" w:cs="宋体"/>
          <w:b/>
          <w:bCs/>
          <w:sz w:val="24"/>
          <w:szCs w:val="24"/>
          <w:vertAlign w:val="baseline"/>
          <w:lang w:val="en-US" w:eastAsia="zh-CN"/>
        </w:rPr>
        <w:t>石灰石粉仓1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石灰石仓1</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6.64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6.86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6.23</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2018.10.10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5.41</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16.7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5.63</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19.2</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6.86</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31  </w:t>
      </w:r>
      <w:r>
        <w:rPr>
          <w:rFonts w:hint="eastAsia" w:hAnsi="宋体" w:eastAsia="宋体" w:cs="宋体"/>
          <w:b/>
          <w:bCs/>
          <w:sz w:val="24"/>
          <w:szCs w:val="24"/>
          <w:vertAlign w:val="baseline"/>
          <w:lang w:val="en-US" w:eastAsia="zh-CN"/>
        </w:rPr>
        <w:t>灰库1</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灰库</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3.5</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5.41</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9.20</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8.87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8.12</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7.17</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4.7</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9.20</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32  </w:t>
      </w:r>
      <w:r>
        <w:rPr>
          <w:rFonts w:hint="eastAsia" w:hAnsi="宋体" w:eastAsia="宋体" w:cs="宋体"/>
          <w:b/>
          <w:bCs/>
          <w:sz w:val="24"/>
          <w:szCs w:val="24"/>
          <w:vertAlign w:val="baseline"/>
          <w:lang w:val="en-US" w:eastAsia="zh-CN"/>
        </w:rPr>
        <w:t>灰库2</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灰库</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4.1</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0.011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3.8</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0.011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0.010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0.011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3061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0.012 </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2984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4.1</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0.012</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 xml:space="preserve">33  </w:t>
      </w:r>
      <w:r>
        <w:rPr>
          <w:rFonts w:hint="eastAsia" w:hAnsi="宋体" w:eastAsia="宋体" w:cs="宋体"/>
          <w:b/>
          <w:bCs/>
          <w:sz w:val="24"/>
          <w:szCs w:val="24"/>
          <w:vertAlign w:val="baseline"/>
          <w:lang w:val="en-US" w:eastAsia="zh-CN"/>
        </w:rPr>
        <w:t>灰库3</w:t>
      </w:r>
      <w:r>
        <w:rPr>
          <w:rFonts w:hint="eastAsia" w:ascii="宋体" w:hAnsi="宋体" w:eastAsia="宋体" w:cs="宋体"/>
          <w:b/>
          <w:bCs/>
          <w:sz w:val="24"/>
          <w:szCs w:val="24"/>
          <w:vertAlign w:val="baseline"/>
          <w:lang w:val="en-US" w:eastAsia="zh-CN"/>
        </w:rPr>
        <w:t>#除尘器</w:t>
      </w:r>
      <w:r>
        <w:rPr>
          <w:rFonts w:hint="eastAsia" w:ascii="Times New Roman" w:hAnsi="Times New Roman" w:eastAsia="宋体" w:cs="Times New Roman"/>
          <w:b/>
          <w:bCs/>
          <w:sz w:val="24"/>
          <w:szCs w:val="24"/>
          <w:lang w:val="en-US" w:eastAsia="zh-CN"/>
        </w:rPr>
        <w:t>颗粒物监测结果</w:t>
      </w:r>
    </w:p>
    <w:tbl>
      <w:tblPr>
        <w:tblStyle w:val="12"/>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71"/>
        <w:gridCol w:w="1620"/>
        <w:gridCol w:w="1620"/>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监测日期</w:t>
            </w:r>
          </w:p>
        </w:tc>
        <w:tc>
          <w:tcPr>
            <w:tcW w:w="486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除尘器出口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6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灰库</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w:t>
            </w:r>
            <w:r>
              <w:rPr>
                <w:rFonts w:hint="eastAsia" w:ascii="宋体" w:hAnsi="宋体" w:eastAsia="宋体" w:cs="宋体"/>
                <w:b w:val="0"/>
                <w:bCs w:val="0"/>
                <w:sz w:val="21"/>
                <w:szCs w:val="21"/>
                <w:vertAlign w:val="baseline"/>
                <w:lang w:val="en-US" w:eastAsia="zh-CN"/>
              </w:rPr>
              <w:t>#除尘器</w:t>
            </w: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5.6</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8.14</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w:t>
            </w:r>
            <w:r>
              <w:rPr>
                <w:rFonts w:hint="eastAsia" w:ascii="宋体" w:hAnsi="宋体"/>
                <w:color w:val="000000"/>
                <w:sz w:val="21"/>
                <w:szCs w:val="21"/>
                <w:lang w:val="en-US" w:eastAsia="zh-CN"/>
              </w:rPr>
              <w:t>.0</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8.30</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7.49</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2018.10.4</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6.15</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1309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5.2</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7.79</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85"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2071"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5.9</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8.42</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6.0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8.42</w:t>
            </w:r>
            <w:r>
              <w:rPr>
                <w:rFonts w:hint="default" w:ascii="Arial" w:hAnsi="Arial" w:eastAsia="宋体" w:cs="Arial"/>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162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656" w:type="dxa"/>
            <w:gridSpan w:val="2"/>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120</w:t>
            </w:r>
          </w:p>
        </w:tc>
        <w:tc>
          <w:tcPr>
            <w:tcW w:w="1620"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5.9</w:t>
            </w:r>
          </w:p>
        </w:tc>
        <w:tc>
          <w:tcPr>
            <w:tcW w:w="1620"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bl>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表9-34  2#锅炉脱硝装置A侧进口监测结果</w:t>
      </w:r>
    </w:p>
    <w:tbl>
      <w:tblPr>
        <w:tblStyle w:val="12"/>
        <w:tblW w:w="91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81"/>
        <w:gridCol w:w="1181"/>
        <w:gridCol w:w="1"/>
        <w:gridCol w:w="1180"/>
        <w:gridCol w:w="1181"/>
        <w:gridCol w:w="1180"/>
        <w:gridCol w:w="1184"/>
        <w:gridCol w:w="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2363"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2361"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118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92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81"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8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2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18"/>
                <w:szCs w:val="18"/>
                <w:vertAlign w:val="baseline"/>
                <w:lang w:val="en-US" w:eastAsia="zh-CN"/>
              </w:rPr>
            </w:pPr>
            <w:r>
              <w:rPr>
                <w:rFonts w:hint="eastAsia" w:hAnsi="宋体" w:eastAsia="宋体" w:cs="宋体"/>
                <w:b w:val="0"/>
                <w:bCs w:val="0"/>
                <w:sz w:val="18"/>
                <w:szCs w:val="18"/>
                <w:vertAlign w:val="baseline"/>
                <w:lang w:val="en-US" w:eastAsia="zh-CN"/>
              </w:rPr>
              <w:t>2018.10.11</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19638</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10107</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1426</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206</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106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514682</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18"/>
                <w:szCs w:val="18"/>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19898</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10273</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1414</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215</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111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516294</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18"/>
                <w:szCs w:val="18"/>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19507</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10133</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1421</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223</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116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519451</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18"/>
                <w:szCs w:val="18"/>
                <w:vertAlign w:val="baseline"/>
                <w:lang w:val="en-US" w:eastAsia="zh-CN"/>
              </w:rPr>
            </w:pPr>
            <w:r>
              <w:rPr>
                <w:rFonts w:hint="eastAsia" w:hAnsi="宋体" w:eastAsia="宋体" w:cs="宋体"/>
                <w:b w:val="0"/>
                <w:bCs w:val="0"/>
                <w:sz w:val="18"/>
                <w:szCs w:val="18"/>
                <w:vertAlign w:val="baseline"/>
                <w:lang w:val="en-US" w:eastAsia="zh-CN"/>
              </w:rPr>
              <w:t>2018.10.12</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20712</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9754</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1049</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218</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103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470945</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20391</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9492</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1062</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209</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98.9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473436</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20045</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10284</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1069</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225</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115 </w:t>
            </w:r>
          </w:p>
        </w:tc>
        <w:tc>
          <w:tcPr>
            <w:tcW w:w="118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513057</w:t>
            </w:r>
          </w:p>
        </w:tc>
        <w:tc>
          <w:tcPr>
            <w:tcW w:w="924"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p>
        </w:tc>
      </w:tr>
    </w:tbl>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表9-35  2#锅炉脱硝装置B侧进口监测结果</w:t>
      </w:r>
    </w:p>
    <w:tbl>
      <w:tblPr>
        <w:tblStyle w:val="12"/>
        <w:tblW w:w="91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81"/>
        <w:gridCol w:w="1181"/>
        <w:gridCol w:w="1"/>
        <w:gridCol w:w="1180"/>
        <w:gridCol w:w="1"/>
        <w:gridCol w:w="1180"/>
        <w:gridCol w:w="1180"/>
        <w:gridCol w:w="1182"/>
        <w:gridCol w:w="2"/>
        <w:gridCol w:w="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2363"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81"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2360"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1184"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92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81"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1"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8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26" w:type="dxa"/>
            <w:gridSpan w:val="2"/>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2018.10.11</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19004</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12246</w:t>
            </w:r>
          </w:p>
        </w:tc>
        <w:tc>
          <w:tcPr>
            <w:tcW w:w="1181" w:type="dxa"/>
            <w:gridSpan w:val="2"/>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1416</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208</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134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643655</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19079</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12929</w:t>
            </w:r>
          </w:p>
        </w:tc>
        <w:tc>
          <w:tcPr>
            <w:tcW w:w="1181" w:type="dxa"/>
            <w:gridSpan w:val="2"/>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1431</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198</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134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677656</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18672</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12401</w:t>
            </w:r>
          </w:p>
        </w:tc>
        <w:tc>
          <w:tcPr>
            <w:tcW w:w="1181" w:type="dxa"/>
            <w:gridSpan w:val="2"/>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1435</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207</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137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664137</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2018.10.12</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18856</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11159</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1085</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214</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127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591908</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19423</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11923</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1134</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209</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128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613855</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19699</w:t>
            </w:r>
          </w:p>
        </w:tc>
        <w:tc>
          <w:tcPr>
            <w:tcW w:w="1181"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11830</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1097</w:t>
            </w:r>
          </w:p>
        </w:tc>
        <w:tc>
          <w:tcPr>
            <w:tcW w:w="1181"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205</w:t>
            </w:r>
          </w:p>
        </w:tc>
        <w:tc>
          <w:tcPr>
            <w:tcW w:w="118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123 </w:t>
            </w:r>
          </w:p>
        </w:tc>
        <w:tc>
          <w:tcPr>
            <w:tcW w:w="118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600554</w:t>
            </w:r>
          </w:p>
        </w:tc>
        <w:tc>
          <w:tcPr>
            <w:tcW w:w="926"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4.6</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4"/>
          <w:szCs w:val="24"/>
          <w:lang w:val="en-US" w:eastAsia="zh-CN"/>
        </w:rPr>
        <w:t>表9-36  2#锅炉脱硝装置A侧出口监测结果</w:t>
      </w:r>
    </w:p>
    <w:tbl>
      <w:tblPr>
        <w:tblStyle w:val="12"/>
        <w:tblW w:w="97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12"/>
        <w:gridCol w:w="1121"/>
        <w:gridCol w:w="4"/>
        <w:gridCol w:w="1100"/>
        <w:gridCol w:w="1138"/>
        <w:gridCol w:w="1062"/>
        <w:gridCol w:w="1113"/>
        <w:gridCol w:w="1037"/>
        <w:gridCol w:w="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2233"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04"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3313"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10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5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25"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6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脱硝效率（%）</w:t>
            </w:r>
          </w:p>
        </w:tc>
        <w:tc>
          <w:tcPr>
            <w:tcW w:w="10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18"/>
                <w:szCs w:val="18"/>
                <w:vertAlign w:val="baseline"/>
                <w:lang w:val="en-US" w:eastAsia="zh-CN"/>
              </w:rPr>
            </w:pPr>
            <w:r>
              <w:rPr>
                <w:rFonts w:hint="eastAsia" w:hAnsi="宋体" w:eastAsia="宋体" w:cs="宋体"/>
                <w:b w:val="0"/>
                <w:bCs w:val="0"/>
                <w:sz w:val="18"/>
                <w:szCs w:val="18"/>
                <w:vertAlign w:val="baseline"/>
                <w:lang w:val="en-US" w:eastAsia="zh-CN"/>
              </w:rPr>
              <w:t>2018.10.11</w:t>
            </w: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17526</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w:t>
            </w:r>
            <w:r>
              <w:rPr>
                <w:rFonts w:hint="eastAsia" w:ascii="宋体" w:hAnsi="宋体"/>
                <w:color w:val="000000"/>
                <w:sz w:val="21"/>
                <w:szCs w:val="21"/>
                <w:lang w:val="en-US" w:eastAsia="zh-CN"/>
              </w:rPr>
              <w:t>9</w:t>
            </w:r>
            <w:r>
              <w:rPr>
                <w:rFonts w:hint="eastAsia" w:ascii="宋体" w:hAnsi="宋体"/>
                <w:color w:val="000000"/>
                <w:sz w:val="21"/>
                <w:szCs w:val="21"/>
              </w:rPr>
              <w:t xml:space="preserve"> </w:t>
            </w: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14</w:t>
            </w:r>
            <w:r>
              <w:rPr>
                <w:rFonts w:hint="eastAsia" w:ascii="宋体" w:hAnsi="宋体"/>
                <w:color w:val="000000"/>
                <w:sz w:val="21"/>
                <w:szCs w:val="21"/>
                <w:lang w:val="en-US" w:eastAsia="zh-CN"/>
              </w:rPr>
              <w:t>04</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30.2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71.5</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570439</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18"/>
                <w:szCs w:val="18"/>
                <w:vertAlign w:val="baseline"/>
                <w:lang w:val="en-US" w:eastAsia="zh-CN"/>
              </w:rPr>
            </w:pP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17238</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9156 </w:t>
            </w: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142</w:t>
            </w:r>
            <w:r>
              <w:rPr>
                <w:rFonts w:hint="eastAsia" w:ascii="宋体" w:hAnsi="宋体"/>
                <w:color w:val="000000"/>
                <w:sz w:val="21"/>
                <w:szCs w:val="21"/>
                <w:lang w:val="en-US" w:eastAsia="zh-CN"/>
              </w:rPr>
              <w:t>7</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27.1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75.6</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531158</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18"/>
                <w:szCs w:val="18"/>
                <w:vertAlign w:val="baseline"/>
                <w:lang w:val="en-US" w:eastAsia="zh-CN"/>
              </w:rPr>
            </w:pP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18951</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10515 </w:t>
            </w: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14</w:t>
            </w:r>
            <w:r>
              <w:rPr>
                <w:rFonts w:hint="eastAsia" w:ascii="宋体" w:hAnsi="宋体"/>
                <w:color w:val="000000"/>
                <w:sz w:val="21"/>
                <w:szCs w:val="21"/>
                <w:lang w:val="en-US" w:eastAsia="zh-CN"/>
              </w:rPr>
              <w:t>25</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57</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31.6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72.8</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554871</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18"/>
                <w:szCs w:val="18"/>
                <w:vertAlign w:val="baseline"/>
                <w:lang w:val="en-US" w:eastAsia="zh-CN"/>
              </w:rPr>
            </w:pPr>
            <w:r>
              <w:rPr>
                <w:rFonts w:hint="eastAsia" w:hAnsi="宋体" w:eastAsia="宋体" w:cs="宋体"/>
                <w:b w:val="0"/>
                <w:bCs w:val="0"/>
                <w:sz w:val="18"/>
                <w:szCs w:val="18"/>
                <w:vertAlign w:val="baseline"/>
                <w:lang w:val="en-US" w:eastAsia="zh-CN"/>
              </w:rPr>
              <w:t>2018.10.12</w:t>
            </w: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10190 </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5478</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1060</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58</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31.2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69.7</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537630</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9597 </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5149</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1076</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28.4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71.3</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536564</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1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10020 </w:t>
            </w:r>
          </w:p>
        </w:tc>
        <w:tc>
          <w:tcPr>
            <w:tcW w:w="1125"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5470</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1020</w:t>
            </w:r>
          </w:p>
        </w:tc>
        <w:tc>
          <w:tcPr>
            <w:tcW w:w="113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53</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28.9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74.9</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545874</w:t>
            </w:r>
          </w:p>
        </w:tc>
        <w:tc>
          <w:tcPr>
            <w:tcW w:w="85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表9-37  2#锅炉脱硝装置B侧出口监测结果</w:t>
      </w:r>
    </w:p>
    <w:tbl>
      <w:tblPr>
        <w:tblStyle w:val="12"/>
        <w:tblW w:w="97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00"/>
        <w:gridCol w:w="1100"/>
        <w:gridCol w:w="1113"/>
        <w:gridCol w:w="1"/>
        <w:gridCol w:w="1149"/>
        <w:gridCol w:w="1062"/>
        <w:gridCol w:w="1113"/>
        <w:gridCol w:w="1037"/>
        <w:gridCol w:w="1"/>
        <w:gridCol w:w="852"/>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2200"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14"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3324"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1038"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853" w:type="dxa"/>
            <w:gridSpan w:val="2"/>
            <w:vMerge w:val="restart"/>
            <w:tcBorders>
              <w:tl2br w:val="nil"/>
              <w:tr2bl w:val="nil"/>
            </w:tcBorders>
            <w:vAlign w:val="bottom"/>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50"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6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1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脱硝效率（%）</w:t>
            </w:r>
          </w:p>
        </w:tc>
        <w:tc>
          <w:tcPr>
            <w:tcW w:w="10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3" w:type="dxa"/>
            <w:gridSpan w:val="2"/>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2018.10.11</w:t>
            </w: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17</w:t>
            </w:r>
            <w:r>
              <w:rPr>
                <w:rFonts w:hint="eastAsia" w:ascii="宋体" w:hAnsi="宋体"/>
                <w:color w:val="000000"/>
                <w:sz w:val="21"/>
                <w:szCs w:val="21"/>
                <w:lang w:val="en-US" w:eastAsia="zh-CN"/>
              </w:rPr>
              <w:t>418</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w:t>
            </w:r>
            <w:r>
              <w:rPr>
                <w:rFonts w:hint="eastAsia" w:ascii="宋体" w:hAnsi="宋体"/>
                <w:color w:val="000000"/>
                <w:sz w:val="21"/>
                <w:szCs w:val="21"/>
                <w:lang w:val="en-US" w:eastAsia="zh-CN"/>
              </w:rPr>
              <w:t>539</w:t>
            </w:r>
            <w:r>
              <w:rPr>
                <w:rFonts w:hint="eastAsia" w:ascii="宋体" w:hAnsi="宋体"/>
                <w:color w:val="000000"/>
                <w:sz w:val="21"/>
                <w:szCs w:val="21"/>
              </w:rPr>
              <w:t xml:space="preserve"> </w:t>
            </w:r>
          </w:p>
        </w:tc>
        <w:tc>
          <w:tcPr>
            <w:tcW w:w="1113"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1439</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29.8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77.8</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662488</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17</w:t>
            </w:r>
            <w:r>
              <w:rPr>
                <w:rFonts w:hint="eastAsia" w:ascii="宋体" w:hAnsi="宋体"/>
                <w:color w:val="000000"/>
                <w:sz w:val="21"/>
                <w:szCs w:val="21"/>
                <w:lang w:val="en-US" w:eastAsia="zh-CN"/>
              </w:rPr>
              <w:t>135</w:t>
            </w: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11</w:t>
            </w:r>
            <w:r>
              <w:rPr>
                <w:rFonts w:hint="eastAsia" w:ascii="宋体" w:hAnsi="宋体"/>
                <w:color w:val="000000"/>
                <w:sz w:val="21"/>
                <w:szCs w:val="21"/>
                <w:lang w:val="en-US" w:eastAsia="zh-CN"/>
              </w:rPr>
              <w:t>144</w:t>
            </w:r>
          </w:p>
        </w:tc>
        <w:tc>
          <w:tcPr>
            <w:tcW w:w="1113"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1423</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49</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31.9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76.2</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650390</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color w:val="000000"/>
                <w:sz w:val="21"/>
                <w:szCs w:val="21"/>
              </w:rPr>
              <w:t>17</w:t>
            </w:r>
            <w:r>
              <w:rPr>
                <w:rFonts w:hint="eastAsia" w:ascii="宋体" w:hAnsi="宋体"/>
                <w:color w:val="000000"/>
                <w:sz w:val="21"/>
                <w:szCs w:val="21"/>
                <w:lang w:val="en-US" w:eastAsia="zh-CN"/>
              </w:rPr>
              <w:t>410</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11</w:t>
            </w:r>
            <w:r>
              <w:rPr>
                <w:rFonts w:hint="eastAsia" w:ascii="宋体" w:hAnsi="宋体"/>
                <w:color w:val="000000"/>
                <w:sz w:val="21"/>
                <w:szCs w:val="21"/>
                <w:lang w:val="en-US" w:eastAsia="zh-CN"/>
              </w:rPr>
              <w:t>622</w:t>
            </w:r>
            <w:r>
              <w:rPr>
                <w:rFonts w:hint="eastAsia" w:ascii="宋体" w:hAnsi="宋体"/>
                <w:color w:val="000000"/>
                <w:sz w:val="21"/>
                <w:szCs w:val="21"/>
              </w:rPr>
              <w:t xml:space="preserve"> </w:t>
            </w:r>
          </w:p>
        </w:tc>
        <w:tc>
          <w:tcPr>
            <w:tcW w:w="1113"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1415</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49</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32.7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76.1</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667558</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2018.10.12</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17159</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9349 </w:t>
            </w:r>
          </w:p>
        </w:tc>
        <w:tc>
          <w:tcPr>
            <w:tcW w:w="111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1007</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50</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27.2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78.6</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544851</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17356</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9428 </w:t>
            </w:r>
          </w:p>
        </w:tc>
        <w:tc>
          <w:tcPr>
            <w:tcW w:w="111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1041</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49</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26.6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79.2</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543215</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18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17269</w:t>
            </w:r>
          </w:p>
        </w:tc>
        <w:tc>
          <w:tcPr>
            <w:tcW w:w="1100"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 xml:space="preserve">9396 </w:t>
            </w:r>
          </w:p>
        </w:tc>
        <w:tc>
          <w:tcPr>
            <w:tcW w:w="1113"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1009</w:t>
            </w:r>
          </w:p>
        </w:tc>
        <w:tc>
          <w:tcPr>
            <w:tcW w:w="1150"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p>
        </w:tc>
        <w:tc>
          <w:tcPr>
            <w:tcW w:w="1062"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 xml:space="preserve">25.6 </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79.2</w:t>
            </w:r>
          </w:p>
        </w:tc>
        <w:tc>
          <w:tcPr>
            <w:tcW w:w="103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544099</w:t>
            </w:r>
          </w:p>
        </w:tc>
        <w:tc>
          <w:tcPr>
            <w:tcW w:w="853" w:type="dxa"/>
            <w:gridSpan w:val="2"/>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5</w:t>
            </w:r>
            <w:r>
              <w:rPr>
                <w:rFonts w:hint="eastAsia" w:ascii="宋体" w:hAnsi="宋体" w:eastAsia="宋体" w:cs="宋体"/>
                <w:color w:val="000000"/>
                <w:sz w:val="21"/>
                <w:szCs w:val="21"/>
                <w:lang w:val="en-US" w:eastAsia="zh-CN"/>
              </w:rPr>
              <w:t>.1</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4"/>
          <w:szCs w:val="24"/>
          <w:lang w:val="en-US" w:eastAsia="zh-CN"/>
        </w:rPr>
        <w:t>表9-38  2#锅炉脱硫装置进口监测结果</w:t>
      </w:r>
    </w:p>
    <w:tbl>
      <w:tblPr>
        <w:tblStyle w:val="1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17"/>
        <w:gridCol w:w="1216"/>
        <w:gridCol w:w="1218"/>
        <w:gridCol w:w="1216"/>
        <w:gridCol w:w="1218"/>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121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2434"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12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121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121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2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2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2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21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2018.10.11</w:t>
            </w: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15.3</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olor w:val="000000"/>
                <w:sz w:val="21"/>
                <w:szCs w:val="21"/>
                <w:lang w:val="en-US" w:eastAsia="zh-CN"/>
              </w:rPr>
              <w:t>1440</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156</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108356</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14.2</w:t>
            </w:r>
          </w:p>
        </w:tc>
        <w:tc>
          <w:tcPr>
            <w:tcW w:w="1216" w:type="dxa"/>
            <w:tcBorders>
              <w:tl2br w:val="nil"/>
              <w:tr2bl w:val="nil"/>
            </w:tcBorders>
            <w:vAlign w:val="top"/>
          </w:tcPr>
          <w:p>
            <w:pPr>
              <w:spacing w:beforeLines="0" w:afterLines="0"/>
              <w:jc w:val="center"/>
              <w:rPr>
                <w:rFonts w:hint="eastAsia" w:ascii="宋体" w:hAnsi="宋体" w:cs="宋体" w:eastAsiaTheme="minorEastAsia"/>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1449</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155</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46</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107294</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14.1</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1491</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162</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48</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108357</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8"/>
                <w:szCs w:val="18"/>
                <w:vertAlign w:val="baseline"/>
                <w:lang w:val="en-US" w:eastAsia="zh-CN"/>
              </w:rPr>
              <w:t>2018.10.12</w:t>
            </w: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13.7</w:t>
            </w:r>
          </w:p>
        </w:tc>
        <w:tc>
          <w:tcPr>
            <w:tcW w:w="121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1106</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121</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47</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109225</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12.9</w:t>
            </w:r>
          </w:p>
        </w:tc>
        <w:tc>
          <w:tcPr>
            <w:tcW w:w="121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1095</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118</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50</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108032</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1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217"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14.7</w:t>
            </w:r>
          </w:p>
        </w:tc>
        <w:tc>
          <w:tcPr>
            <w:tcW w:w="121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1038</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112</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45</w:t>
            </w:r>
          </w:p>
        </w:tc>
        <w:tc>
          <w:tcPr>
            <w:tcW w:w="1218"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107842</w:t>
            </w:r>
          </w:p>
        </w:tc>
        <w:tc>
          <w:tcPr>
            <w:tcW w:w="1216" w:type="dxa"/>
            <w:tcBorders>
              <w:tl2br w:val="nil"/>
              <w:tr2bl w:val="nil"/>
            </w:tcBorders>
            <w:vAlign w:val="top"/>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5.7</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3"/>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pPr>
    </w:p>
    <w:p>
      <w:pPr>
        <w:pStyle w:val="3"/>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pPr>
    </w:p>
    <w:p>
      <w:pPr>
        <w:pStyle w:val="2"/>
        <w:rPr>
          <w:rFonts w:hint="eastAsia" w:ascii="Times New Roman" w:hAnsi="Times New Roman" w:eastAsia="宋体" w:cs="Times New Roman"/>
          <w:b/>
          <w:bCs/>
          <w:sz w:val="24"/>
          <w:szCs w:val="24"/>
          <w:lang w:val="en-US" w:eastAsia="zh-CN"/>
        </w:rPr>
      </w:pPr>
    </w:p>
    <w:p>
      <w:pPr>
        <w:pStyle w:val="3"/>
        <w:rPr>
          <w:rFonts w:hint="eastAsia" w:ascii="Times New Roman" w:hAnsi="Times New Roman" w:eastAsia="宋体" w:cs="Times New Roman"/>
          <w:b/>
          <w:bCs/>
          <w:sz w:val="24"/>
          <w:szCs w:val="24"/>
          <w:lang w:val="en-US" w:eastAsia="zh-CN"/>
        </w:rPr>
      </w:pPr>
    </w:p>
    <w:p>
      <w:pPr>
        <w:pStyle w:val="3"/>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3"/>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4"/>
          <w:szCs w:val="24"/>
          <w:lang w:val="en-US" w:eastAsia="zh-CN"/>
        </w:rPr>
        <w:t>表9-39  2#锅炉总排口监测结果</w:t>
      </w:r>
    </w:p>
    <w:tbl>
      <w:tblPr>
        <w:tblStyle w:val="12"/>
        <w:tblW w:w="14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100"/>
        <w:gridCol w:w="1088"/>
        <w:gridCol w:w="1075"/>
        <w:gridCol w:w="1012"/>
        <w:gridCol w:w="1075"/>
        <w:gridCol w:w="1113"/>
        <w:gridCol w:w="1075"/>
        <w:gridCol w:w="1017"/>
        <w:gridCol w:w="1094"/>
        <w:gridCol w:w="1094"/>
        <w:gridCol w:w="1102"/>
        <w:gridCol w:w="963"/>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监测时间</w:t>
            </w:r>
          </w:p>
        </w:tc>
        <w:tc>
          <w:tcPr>
            <w:tcW w:w="4275"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4280"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3290"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c>
          <w:tcPr>
            <w:tcW w:w="96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标杆风量(m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w:t>
            </w:r>
          </w:p>
        </w:tc>
        <w:tc>
          <w:tcPr>
            <w:tcW w:w="72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8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7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除尘效率（%）</w:t>
            </w:r>
          </w:p>
        </w:tc>
        <w:tc>
          <w:tcPr>
            <w:tcW w:w="107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7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101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脱硫效率（%）</w:t>
            </w:r>
          </w:p>
        </w:tc>
        <w:tc>
          <w:tcPr>
            <w:tcW w:w="109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09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排放浓度（mg/m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w:t>
            </w:r>
          </w:p>
        </w:tc>
        <w:tc>
          <w:tcPr>
            <w:tcW w:w="110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排放速率(kg/h)</w:t>
            </w:r>
          </w:p>
        </w:tc>
        <w:tc>
          <w:tcPr>
            <w:tcW w:w="96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72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15"/>
                <w:szCs w:val="15"/>
                <w:vertAlign w:val="baseline"/>
                <w:lang w:val="en-US" w:eastAsia="zh-CN"/>
              </w:rPr>
            </w:pPr>
            <w:r>
              <w:rPr>
                <w:rFonts w:hint="eastAsia" w:hAnsi="宋体" w:eastAsia="宋体" w:cs="宋体"/>
                <w:b w:val="0"/>
                <w:bCs w:val="0"/>
                <w:sz w:val="15"/>
                <w:szCs w:val="15"/>
                <w:vertAlign w:val="baseline"/>
                <w:lang w:val="en-US" w:eastAsia="zh-CN"/>
              </w:rPr>
              <w:t>2018</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18"/>
                <w:szCs w:val="18"/>
                <w:vertAlign w:val="baseline"/>
                <w:lang w:val="en-US" w:eastAsia="zh-CN"/>
              </w:rPr>
            </w:pPr>
            <w:r>
              <w:rPr>
                <w:rFonts w:hint="eastAsia" w:hAnsi="宋体" w:eastAsia="宋体" w:cs="宋体"/>
                <w:b w:val="0"/>
                <w:bCs w:val="0"/>
                <w:sz w:val="15"/>
                <w:szCs w:val="15"/>
                <w:vertAlign w:val="baseline"/>
                <w:lang w:val="en-US" w:eastAsia="zh-CN"/>
              </w:rPr>
              <w:t>10.11</w:t>
            </w: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10.2</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10</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11.9</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99.94</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24.5</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84.3</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41</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41</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47.8</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1166612</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7.8</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8</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8.89</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99.95</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18</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18</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20.5</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86.8</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40</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40</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45.6</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1139435</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7.9</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8</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9.12</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99.95</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23.1</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85.7</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42</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42</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48.5</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115379</w:t>
            </w:r>
            <w:r>
              <w:rPr>
                <w:rFonts w:hint="eastAsia" w:ascii="宋体" w:hAnsi="宋体" w:eastAsia="宋体" w:cs="宋体"/>
                <w:color w:val="000000"/>
                <w:sz w:val="21"/>
                <w:szCs w:val="21"/>
                <w:lang w:val="en-US" w:eastAsia="zh-CN"/>
              </w:rPr>
              <w:t>5</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hAnsi="宋体" w:eastAsia="宋体" w:cs="宋体"/>
                <w:b w:val="0"/>
                <w:bCs w:val="0"/>
                <w:sz w:val="15"/>
                <w:szCs w:val="15"/>
                <w:vertAlign w:val="baseline"/>
                <w:lang w:val="en-US" w:eastAsia="zh-CN"/>
              </w:rPr>
            </w:pPr>
            <w:r>
              <w:rPr>
                <w:rFonts w:hint="eastAsia" w:hAnsi="宋体" w:eastAsia="宋体" w:cs="宋体"/>
                <w:b w:val="0"/>
                <w:bCs w:val="0"/>
                <w:sz w:val="15"/>
                <w:szCs w:val="15"/>
                <w:vertAlign w:val="baseline"/>
                <w:lang w:val="en-US" w:eastAsia="zh-CN"/>
              </w:rPr>
              <w:t>2018</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15"/>
                <w:szCs w:val="15"/>
                <w:vertAlign w:val="baseline"/>
                <w:lang w:val="en-US" w:eastAsia="zh-CN"/>
              </w:rPr>
              <w:t>10.12</w:t>
            </w: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7.5</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8</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8.6</w:t>
            </w:r>
            <w:r>
              <w:rPr>
                <w:rFonts w:hint="eastAsia" w:ascii="宋体" w:hAnsi="宋体" w:eastAsia="宋体" w:cs="宋体"/>
                <w:color w:val="000000"/>
                <w:sz w:val="21"/>
                <w:szCs w:val="21"/>
                <w:lang w:val="en-US" w:eastAsia="zh-CN"/>
              </w:rPr>
              <w:t>0</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99.95</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22.9</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81.1</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41</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41</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47</w:t>
            </w:r>
            <w:r>
              <w:rPr>
                <w:rFonts w:hint="eastAsia" w:ascii="宋体" w:hAnsi="宋体" w:eastAsia="宋体" w:cs="宋体"/>
                <w:color w:val="000000"/>
                <w:sz w:val="21"/>
                <w:szCs w:val="21"/>
                <w:lang w:val="en-US" w:eastAsia="zh-CN"/>
              </w:rPr>
              <w:t>.0</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1146768</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6.5</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7</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7.49</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99.96</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23</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23</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20.7</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82.5</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43</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43</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49.5</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1152144</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1100"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8</w:t>
            </w:r>
            <w:r>
              <w:rPr>
                <w:rFonts w:hint="eastAsia" w:ascii="宋体" w:hAnsi="宋体" w:eastAsia="宋体" w:cs="宋体"/>
                <w:color w:val="000000"/>
                <w:sz w:val="21"/>
                <w:szCs w:val="21"/>
                <w:lang w:val="en-US" w:eastAsia="zh-CN"/>
              </w:rPr>
              <w:t>.0</w:t>
            </w:r>
          </w:p>
        </w:tc>
        <w:tc>
          <w:tcPr>
            <w:tcW w:w="1088"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lang w:val="en-US" w:eastAsia="zh-CN"/>
              </w:rPr>
              <w:t>8</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9.35</w:t>
            </w:r>
          </w:p>
        </w:tc>
        <w:tc>
          <w:tcPr>
            <w:tcW w:w="101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color w:val="000000"/>
                <w:sz w:val="21"/>
                <w:szCs w:val="21"/>
              </w:rPr>
              <w:t>99.95</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w:t>
            </w:r>
          </w:p>
        </w:tc>
        <w:tc>
          <w:tcPr>
            <w:tcW w:w="111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21</w:t>
            </w:r>
          </w:p>
        </w:tc>
        <w:tc>
          <w:tcPr>
            <w:tcW w:w="1075"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19.9</w:t>
            </w:r>
          </w:p>
        </w:tc>
        <w:tc>
          <w:tcPr>
            <w:tcW w:w="101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82.2</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39</w:t>
            </w:r>
          </w:p>
        </w:tc>
        <w:tc>
          <w:tcPr>
            <w:tcW w:w="1094"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39</w:t>
            </w:r>
          </w:p>
        </w:tc>
        <w:tc>
          <w:tcPr>
            <w:tcW w:w="110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45.6</w:t>
            </w:r>
          </w:p>
        </w:tc>
        <w:tc>
          <w:tcPr>
            <w:tcW w:w="963"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1169312</w:t>
            </w:r>
          </w:p>
        </w:tc>
        <w:tc>
          <w:tcPr>
            <w:tcW w:w="722"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44" w:type="dxa"/>
            <w:gridSpan w:val="2"/>
            <w:tcBorders>
              <w:tl2br w:val="nil"/>
              <w:tr2bl w:val="nil"/>
            </w:tcBorders>
            <w:vAlign w:val="center"/>
          </w:tcPr>
          <w:p>
            <w:pPr>
              <w:spacing w:beforeLines="0" w:afterLine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最大值</w:t>
            </w:r>
          </w:p>
        </w:tc>
        <w:tc>
          <w:tcPr>
            <w:tcW w:w="3175"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10.2</w:t>
            </w:r>
          </w:p>
        </w:tc>
        <w:tc>
          <w:tcPr>
            <w:tcW w:w="4280"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w:t>
            </w:r>
          </w:p>
        </w:tc>
        <w:tc>
          <w:tcPr>
            <w:tcW w:w="3290" w:type="dxa"/>
            <w:gridSpan w:val="3"/>
            <w:tcBorders>
              <w:tl2br w:val="nil"/>
              <w:tr2bl w:val="nil"/>
            </w:tcBorders>
            <w:vAlign w:val="center"/>
          </w:tcPr>
          <w:p>
            <w:pPr>
              <w:spacing w:beforeLines="0" w:afterLine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42</w:t>
            </w:r>
          </w:p>
        </w:tc>
        <w:tc>
          <w:tcPr>
            <w:tcW w:w="963" w:type="dxa"/>
            <w:tcBorders>
              <w:tl2br w:val="nil"/>
              <w:tr2bl w:val="nil"/>
            </w:tcBorders>
            <w:vAlign w:val="center"/>
          </w:tcPr>
          <w:p>
            <w:pPr>
              <w:spacing w:beforeLines="0" w:afterLine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722" w:type="dxa"/>
            <w:tcBorders>
              <w:tl2br w:val="nil"/>
              <w:tr2bl w:val="nil"/>
            </w:tcBorders>
            <w:vAlign w:val="center"/>
          </w:tcPr>
          <w:p>
            <w:pPr>
              <w:spacing w:beforeLines="0" w:afterLine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44" w:type="dxa"/>
            <w:gridSpan w:val="2"/>
            <w:tcBorders>
              <w:tl2br w:val="nil"/>
              <w:tr2bl w:val="nil"/>
            </w:tcBorders>
            <w:vAlign w:val="center"/>
          </w:tcPr>
          <w:p>
            <w:pPr>
              <w:spacing w:beforeLines="0" w:afterLine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标准限值</w:t>
            </w:r>
          </w:p>
        </w:tc>
        <w:tc>
          <w:tcPr>
            <w:tcW w:w="3175"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20</w:t>
            </w:r>
          </w:p>
        </w:tc>
        <w:tc>
          <w:tcPr>
            <w:tcW w:w="4280"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50</w:t>
            </w:r>
          </w:p>
        </w:tc>
        <w:tc>
          <w:tcPr>
            <w:tcW w:w="3290" w:type="dxa"/>
            <w:gridSpan w:val="3"/>
            <w:tcBorders>
              <w:tl2br w:val="nil"/>
              <w:tr2bl w:val="nil"/>
            </w:tcBorders>
            <w:vAlign w:val="center"/>
          </w:tcPr>
          <w:p>
            <w:pPr>
              <w:spacing w:beforeLines="0" w:afterLine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w:t>
            </w:r>
          </w:p>
        </w:tc>
        <w:tc>
          <w:tcPr>
            <w:tcW w:w="963" w:type="dxa"/>
            <w:tcBorders>
              <w:tl2br w:val="nil"/>
              <w:tr2bl w:val="nil"/>
            </w:tcBorders>
            <w:vAlign w:val="center"/>
          </w:tcPr>
          <w:p>
            <w:pPr>
              <w:spacing w:beforeLines="0" w:afterLine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w:t>
            </w:r>
          </w:p>
        </w:tc>
        <w:tc>
          <w:tcPr>
            <w:tcW w:w="722" w:type="dxa"/>
            <w:tcBorders>
              <w:tl2br w:val="nil"/>
              <w:tr2bl w:val="nil"/>
            </w:tcBorders>
            <w:vAlign w:val="center"/>
          </w:tcPr>
          <w:p>
            <w:pPr>
              <w:spacing w:beforeLines="0" w:afterLine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44" w:type="dxa"/>
            <w:gridSpan w:val="2"/>
            <w:tcBorders>
              <w:tl2br w:val="nil"/>
              <w:tr2bl w:val="nil"/>
            </w:tcBorders>
            <w:vAlign w:val="center"/>
          </w:tcPr>
          <w:p>
            <w:pPr>
              <w:spacing w:beforeLines="0" w:afterLine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烟气黑度</w:t>
            </w:r>
          </w:p>
        </w:tc>
        <w:tc>
          <w:tcPr>
            <w:tcW w:w="12430" w:type="dxa"/>
            <w:gridSpan w:val="12"/>
            <w:tcBorders>
              <w:tl2br w:val="nil"/>
              <w:tr2bl w:val="nil"/>
            </w:tcBorders>
            <w:vAlign w:val="center"/>
          </w:tcPr>
          <w:p>
            <w:pPr>
              <w:spacing w:beforeLines="0" w:afterLine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&lt;1</w:t>
            </w:r>
          </w:p>
        </w:tc>
      </w:tr>
    </w:tbl>
    <w:p>
      <w:pPr>
        <w:pStyle w:val="2"/>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bCs/>
          <w:sz w:val="28"/>
          <w:szCs w:val="28"/>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表9-40  脱硝装置氨逃逸监测结果</w:t>
      </w:r>
    </w:p>
    <w:tbl>
      <w:tblPr>
        <w:tblStyle w:val="11"/>
        <w:tblW w:w="919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0"/>
        <w:gridCol w:w="1490"/>
        <w:gridCol w:w="1070"/>
        <w:gridCol w:w="1070"/>
        <w:gridCol w:w="1070"/>
        <w:gridCol w:w="1067"/>
        <w:gridCol w:w="1055"/>
        <w:gridCol w:w="10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20" w:type="dxa"/>
            <w:vMerge w:val="restart"/>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机组</w:t>
            </w:r>
          </w:p>
        </w:tc>
        <w:tc>
          <w:tcPr>
            <w:tcW w:w="1490" w:type="dxa"/>
            <w:vMerge w:val="restart"/>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监测点位</w:t>
            </w:r>
          </w:p>
        </w:tc>
        <w:tc>
          <w:tcPr>
            <w:tcW w:w="6384" w:type="dxa"/>
            <w:gridSpan w:val="6"/>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监测结果（mg/m³）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20" w:type="dxa"/>
            <w:vMerge w:val="continue"/>
            <w:vAlign w:val="center"/>
          </w:tcPr>
          <w:p>
            <w:pPr>
              <w:widowControl/>
              <w:autoSpaceDE w:val="0"/>
              <w:autoSpaceDN w:val="0"/>
              <w:snapToGrid w:val="0"/>
              <w:spacing w:line="360" w:lineRule="auto"/>
              <w:jc w:val="center"/>
              <w:rPr>
                <w:rFonts w:hint="eastAsia" w:ascii="宋体" w:hAnsi="宋体" w:eastAsia="宋体" w:cs="宋体"/>
                <w:bCs/>
                <w:sz w:val="21"/>
                <w:szCs w:val="21"/>
              </w:rPr>
            </w:pPr>
          </w:p>
        </w:tc>
        <w:tc>
          <w:tcPr>
            <w:tcW w:w="1490" w:type="dxa"/>
            <w:vMerge w:val="continue"/>
            <w:vAlign w:val="center"/>
          </w:tcPr>
          <w:p>
            <w:pPr>
              <w:widowControl/>
              <w:autoSpaceDE w:val="0"/>
              <w:autoSpaceDN w:val="0"/>
              <w:snapToGrid w:val="0"/>
              <w:spacing w:line="360" w:lineRule="auto"/>
              <w:jc w:val="center"/>
              <w:rPr>
                <w:rFonts w:hint="eastAsia" w:ascii="宋体" w:hAnsi="宋体" w:eastAsia="宋体" w:cs="宋体"/>
                <w:bCs/>
                <w:sz w:val="21"/>
                <w:szCs w:val="21"/>
              </w:rPr>
            </w:pP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第一次</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第二次</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第三次</w:t>
            </w:r>
          </w:p>
        </w:tc>
        <w:tc>
          <w:tcPr>
            <w:tcW w:w="1067"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第四次</w:t>
            </w:r>
          </w:p>
        </w:tc>
        <w:tc>
          <w:tcPr>
            <w:tcW w:w="1055"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第五次</w:t>
            </w:r>
          </w:p>
        </w:tc>
        <w:tc>
          <w:tcPr>
            <w:tcW w:w="1052"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第六次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20" w:type="dxa"/>
            <w:vMerge w:val="restart"/>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#2机组</w:t>
            </w:r>
          </w:p>
        </w:tc>
        <w:tc>
          <w:tcPr>
            <w:tcW w:w="1490"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脱硝后A侧</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1.26</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0.92</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1.33</w:t>
            </w:r>
          </w:p>
        </w:tc>
        <w:tc>
          <w:tcPr>
            <w:tcW w:w="1067"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0.85</w:t>
            </w:r>
          </w:p>
        </w:tc>
        <w:tc>
          <w:tcPr>
            <w:tcW w:w="1055"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0.72</w:t>
            </w:r>
          </w:p>
        </w:tc>
        <w:tc>
          <w:tcPr>
            <w:tcW w:w="1052"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20" w:type="dxa"/>
            <w:vMerge w:val="continue"/>
            <w:vAlign w:val="center"/>
          </w:tcPr>
          <w:p>
            <w:pPr>
              <w:widowControl/>
              <w:autoSpaceDE w:val="0"/>
              <w:autoSpaceDN w:val="0"/>
              <w:snapToGrid w:val="0"/>
              <w:spacing w:line="360" w:lineRule="auto"/>
              <w:jc w:val="center"/>
              <w:rPr>
                <w:rFonts w:hint="eastAsia" w:ascii="宋体" w:hAnsi="宋体" w:eastAsia="宋体" w:cs="宋体"/>
                <w:bCs/>
                <w:sz w:val="21"/>
                <w:szCs w:val="21"/>
              </w:rPr>
            </w:pPr>
          </w:p>
        </w:tc>
        <w:tc>
          <w:tcPr>
            <w:tcW w:w="1490" w:type="dxa"/>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脱硝后B侧</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0.96</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0.85</w:t>
            </w:r>
          </w:p>
        </w:tc>
        <w:tc>
          <w:tcPr>
            <w:tcW w:w="1070"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0.96</w:t>
            </w:r>
          </w:p>
        </w:tc>
        <w:tc>
          <w:tcPr>
            <w:tcW w:w="1067"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1.06</w:t>
            </w:r>
          </w:p>
        </w:tc>
        <w:tc>
          <w:tcPr>
            <w:tcW w:w="1055"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1.37</w:t>
            </w:r>
          </w:p>
        </w:tc>
        <w:tc>
          <w:tcPr>
            <w:tcW w:w="1052" w:type="dxa"/>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810" w:type="dxa"/>
            <w:gridSpan w:val="2"/>
            <w:vAlign w:val="center"/>
          </w:tcPr>
          <w:p>
            <w:pPr>
              <w:widowControl/>
              <w:autoSpaceDE w:val="0"/>
              <w:autoSpaceDN w:val="0"/>
              <w:snapToGrid w:val="0"/>
              <w:spacing w:line="36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最大值</w:t>
            </w:r>
          </w:p>
        </w:tc>
        <w:tc>
          <w:tcPr>
            <w:tcW w:w="6384" w:type="dxa"/>
            <w:gridSpan w:val="6"/>
            <w:vAlign w:val="center"/>
          </w:tcPr>
          <w:p>
            <w:pPr>
              <w:widowControl/>
              <w:autoSpaceDE w:val="0"/>
              <w:autoSpaceDN w:val="0"/>
              <w:snapToGrid w:val="0"/>
              <w:spacing w:line="36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810" w:type="dxa"/>
            <w:gridSpan w:val="2"/>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标准限值</w:t>
            </w:r>
          </w:p>
        </w:tc>
        <w:tc>
          <w:tcPr>
            <w:tcW w:w="6384" w:type="dxa"/>
            <w:gridSpan w:val="6"/>
            <w:vAlign w:val="center"/>
          </w:tcPr>
          <w:p>
            <w:pPr>
              <w:widowControl/>
              <w:autoSpaceDE w:val="0"/>
              <w:autoSpaceDN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2.5</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表9-41  2#机组总排口汞及其化合物监测结果</w:t>
      </w:r>
    </w:p>
    <w:tbl>
      <w:tblPr>
        <w:tblStyle w:val="12"/>
        <w:tblW w:w="8858" w:type="dxa"/>
        <w:tblInd w:w="-32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50"/>
        <w:gridCol w:w="988"/>
        <w:gridCol w:w="2126"/>
        <w:gridCol w:w="2127"/>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机组</w:t>
            </w:r>
          </w:p>
        </w:tc>
        <w:tc>
          <w:tcPr>
            <w:tcW w:w="85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监测点位</w:t>
            </w: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监测频次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实测浓度</w:t>
            </w:r>
            <w:r>
              <w:rPr>
                <w:rFonts w:hint="eastAsia" w:ascii="宋体" w:hAnsi="宋体" w:eastAsia="宋体" w:cs="宋体"/>
                <w:bCs/>
                <w:sz w:val="21"/>
                <w:szCs w:val="21"/>
              </w:rPr>
              <w:t>（mg/m³）</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cs="宋体"/>
                <w:b w:val="0"/>
                <w:bCs w:val="0"/>
                <w:sz w:val="21"/>
                <w:szCs w:val="21"/>
                <w:vertAlign w:val="baseline"/>
                <w:lang w:val="en-US" w:eastAsia="zh-CN"/>
              </w:rPr>
              <w:t>排放浓度</w:t>
            </w:r>
            <w:r>
              <w:rPr>
                <w:rFonts w:hint="eastAsia" w:ascii="宋体" w:hAnsi="宋体" w:eastAsia="宋体" w:cs="宋体"/>
                <w:bCs/>
                <w:sz w:val="21"/>
                <w:szCs w:val="21"/>
              </w:rPr>
              <w:t>（mg/m³）</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ascii="宋体" w:hAnsi="宋体" w:eastAsia="宋体" w:cs="宋体"/>
                <w:b w:val="0"/>
                <w:bCs w:val="0"/>
                <w:sz w:val="21"/>
                <w:szCs w:val="21"/>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2#机组</w:t>
            </w:r>
          </w:p>
        </w:tc>
        <w:tc>
          <w:tcPr>
            <w:tcW w:w="85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总排口</w:t>
            </w: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第一次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3.9</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3.9</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4.55</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第二次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3.8</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3.8</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4.33</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第三次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3.6</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3.6</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4.15</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第四次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3.5</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3.5</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4.01</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第五次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3.6</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3.6</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4.15</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85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p>
        </w:tc>
        <w:tc>
          <w:tcPr>
            <w:tcW w:w="98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第六次</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3.7</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3.7</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4.33</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78" w:type="dxa"/>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最大值</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3.9</w:t>
            </w:r>
            <w:r>
              <w:rPr>
                <w:rFonts w:hint="eastAsia" w:ascii="宋体" w:hAnsi="宋体" w:eastAsia="宋体" w:cs="宋体"/>
                <w:b w:val="0"/>
                <w:bCs w:val="0"/>
                <w:sz w:val="21"/>
                <w:szCs w:val="21"/>
                <w:vertAlign w:val="baseline"/>
                <w:lang w:val="en-US" w:eastAsia="zh-CN"/>
              </w:rPr>
              <w:t>×10</w:t>
            </w:r>
            <w:r>
              <w:rPr>
                <w:rFonts w:hint="eastAsia" w:ascii="宋体" w:hAnsi="宋体" w:eastAsia="宋体" w:cs="宋体"/>
                <w:b w:val="0"/>
                <w:bCs w:val="0"/>
                <w:sz w:val="21"/>
                <w:szCs w:val="21"/>
                <w:vertAlign w:val="superscript"/>
                <w:lang w:val="en-US" w:eastAsia="zh-CN"/>
              </w:rPr>
              <w:t>-3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78" w:type="dxa"/>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标准限值</w:t>
            </w:r>
          </w:p>
        </w:tc>
        <w:tc>
          <w:tcPr>
            <w:tcW w:w="212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0.03</w:t>
            </w:r>
          </w:p>
        </w:tc>
        <w:tc>
          <w:tcPr>
            <w:tcW w:w="212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pPr>
            <w:r>
              <w:rPr>
                <w:rFonts w:hint="eastAsia" w:hAnsi="宋体" w:eastAsia="宋体" w:cs="宋体"/>
                <w:b w:val="0"/>
                <w:bCs w:val="0"/>
                <w:sz w:val="21"/>
                <w:szCs w:val="21"/>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表9-42 各装置污染物去除效率</w:t>
      </w:r>
    </w:p>
    <w:tbl>
      <w:tblPr>
        <w:tblStyle w:val="12"/>
        <w:tblW w:w="9188" w:type="dxa"/>
        <w:tblInd w:w="-33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849"/>
        <w:gridCol w:w="1837"/>
        <w:gridCol w:w="1837"/>
        <w:gridCol w:w="1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处理设施</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二氧化硫（%）</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99.78~99.82</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T1转运站2#除尘器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99.78~99.82</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T1转运站3#除尘器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99.81~99.84</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T2转运站1#除尘器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99.74~99.75</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T3转运站1#除尘器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99.80~99.87</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T3转运站2#除尘器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99.68~99.75</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T4转运站1#除尘器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99.72~99.77</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T4转运站2#除尘器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99.76~99.80</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T5转运站1#除尘器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99.71~99.79</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T5转运站2#除尘器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99.74~99.82</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T6转运站1#除尘器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99.73~99.85</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T6转运站2#除尘器</w:t>
            </w:r>
          </w:p>
        </w:tc>
        <w:tc>
          <w:tcPr>
            <w:tcW w:w="1837" w:type="dxa"/>
            <w:tcBorders>
              <w:tl2br w:val="nil"/>
              <w:tr2bl w:val="nil"/>
            </w:tcBorders>
            <w:vAlign w:val="center"/>
          </w:tcPr>
          <w:p>
            <w:pPr>
              <w:spacing w:beforeLines="0" w:afterLine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99.80~99.84</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w:t>
            </w:r>
          </w:p>
        </w:tc>
        <w:tc>
          <w:tcPr>
            <w:tcW w:w="284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2#机组处理设施</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sz w:val="21"/>
                <w:szCs w:val="21"/>
              </w:rPr>
              <w:t>99.</w:t>
            </w:r>
            <w:r>
              <w:rPr>
                <w:rFonts w:hint="eastAsia" w:hAnsi="宋体" w:eastAsia="宋体" w:cs="宋体"/>
                <w:color w:val="000000"/>
                <w:sz w:val="21"/>
                <w:szCs w:val="21"/>
                <w:lang w:val="en-US" w:eastAsia="zh-CN"/>
              </w:rPr>
              <w:t>94</w:t>
            </w:r>
            <w:r>
              <w:rPr>
                <w:rFonts w:hint="eastAsia" w:ascii="宋体" w:hAnsi="宋体" w:eastAsia="宋体" w:cs="宋体"/>
                <w:color w:val="000000"/>
                <w:sz w:val="21"/>
                <w:szCs w:val="21"/>
              </w:rPr>
              <w:t>~99.</w:t>
            </w:r>
            <w:r>
              <w:rPr>
                <w:rFonts w:hint="eastAsia" w:hAnsi="宋体" w:eastAsia="宋体" w:cs="宋体"/>
                <w:color w:val="000000"/>
                <w:sz w:val="21"/>
                <w:szCs w:val="21"/>
                <w:lang w:val="en-US" w:eastAsia="zh-CN"/>
              </w:rPr>
              <w:t>96</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color w:val="000000"/>
                <w:sz w:val="21"/>
                <w:szCs w:val="21"/>
                <w:lang w:val="en-US" w:eastAsia="zh-CN"/>
              </w:rPr>
              <w:t>81.1</w:t>
            </w:r>
            <w:r>
              <w:rPr>
                <w:rFonts w:hint="eastAsia" w:ascii="宋体" w:hAnsi="宋体" w:eastAsia="宋体" w:cs="宋体"/>
                <w:color w:val="000000"/>
                <w:sz w:val="21"/>
                <w:szCs w:val="21"/>
              </w:rPr>
              <w:t>~</w:t>
            </w:r>
            <w:r>
              <w:rPr>
                <w:rFonts w:hint="eastAsia" w:hAnsi="宋体" w:eastAsia="宋体" w:cs="宋体"/>
                <w:color w:val="000000"/>
                <w:sz w:val="21"/>
                <w:szCs w:val="21"/>
                <w:lang w:val="en-US" w:eastAsia="zh-CN"/>
              </w:rPr>
              <w:t>86.8</w:t>
            </w:r>
          </w:p>
        </w:tc>
        <w:tc>
          <w:tcPr>
            <w:tcW w:w="184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hAnsi="宋体" w:eastAsia="宋体" w:cs="宋体"/>
                <w:color w:val="000000"/>
                <w:sz w:val="21"/>
                <w:szCs w:val="21"/>
                <w:lang w:val="en-US" w:eastAsia="zh-CN"/>
              </w:rPr>
              <w:t>75.0</w:t>
            </w:r>
            <w:r>
              <w:rPr>
                <w:rFonts w:hint="eastAsia" w:ascii="宋体" w:hAnsi="宋体" w:eastAsia="宋体" w:cs="宋体"/>
                <w:color w:val="000000"/>
                <w:sz w:val="21"/>
                <w:szCs w:val="21"/>
              </w:rPr>
              <w:t>~</w:t>
            </w:r>
            <w:r>
              <w:rPr>
                <w:rFonts w:hint="eastAsia" w:hAnsi="宋体" w:eastAsia="宋体" w:cs="宋体"/>
                <w:color w:val="000000"/>
                <w:sz w:val="21"/>
                <w:szCs w:val="21"/>
                <w:lang w:val="en-US" w:eastAsia="zh-CN"/>
              </w:rPr>
              <w:t>77.1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88" w:type="dxa"/>
            <w:gridSpan w:val="5"/>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备注：原煤斗、石灰石仓、电石渣仓和灰库除尘器前口均无法监测，无法计算处理设施效率。</w:t>
            </w:r>
          </w:p>
        </w:tc>
      </w:tr>
    </w:tbl>
    <w:p>
      <w:pPr>
        <w:pStyle w:val="3"/>
        <w:keepNext w:val="0"/>
        <w:keepLines w:val="0"/>
        <w:pageBreakBefore w:val="0"/>
        <w:widowControl w:val="0"/>
        <w:tabs>
          <w:tab w:val="right" w:leader="dot" w:pos="8296"/>
        </w:tabs>
        <w:kinsoku/>
        <w:wordWrap/>
        <w:overflowPunct/>
        <w:topLinePunct w:val="0"/>
        <w:autoSpaceDE/>
        <w:autoSpaceDN/>
        <w:bidi w:val="0"/>
        <w:adjustRightInd/>
        <w:snapToGrid/>
        <w:spacing w:before="0" w:after="0" w:line="240" w:lineRule="auto"/>
        <w:ind w:firstLine="560" w:firstLineChars="200"/>
        <w:jc w:val="both"/>
        <w:textAlignment w:val="auto"/>
        <w:rPr>
          <w:rFonts w:hint="eastAsia" w:ascii="宋体" w:hAnsi="宋体" w:eastAsia="宋体" w:cs="宋体"/>
          <w:b w:val="0"/>
          <w:bCs w:val="0"/>
          <w:caps w:val="0"/>
          <w:kern w:val="0"/>
          <w:sz w:val="28"/>
          <w:szCs w:val="28"/>
          <w:lang w:val="en-US" w:eastAsia="zh-CN" w:bidi="ar-SA"/>
        </w:rPr>
      </w:pPr>
      <w:r>
        <w:rPr>
          <w:rFonts w:hint="eastAsia" w:ascii="宋体" w:hAnsi="宋体" w:eastAsia="宋体" w:cs="宋体"/>
          <w:b w:val="0"/>
          <w:bCs w:val="0"/>
          <w:caps w:val="0"/>
          <w:kern w:val="0"/>
          <w:sz w:val="28"/>
          <w:szCs w:val="28"/>
          <w:lang w:val="en-US" w:eastAsia="zh-CN" w:bidi="ar-SA"/>
        </w:rPr>
        <w:t>动力站有组织废气：T1转运站1#除尘器颗粒物最大值为18.2mg/m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，T1转运站2#除尘器颗粒物最大值为19.6mg/m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，T1转运站3#除尘器颗粒物最大值为13.1mg/m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，T2转运站1#除尘器颗粒物最大值为28.6mg/m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，T3转运站1#除尘器颗粒物最大值为19.6mg/m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，T3转运站2#除尘器颗粒物最大值为19.8mg/m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，T4转运站1#除尘器颗粒物最大值为24.6mg/m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，T4转运站2#除尘器颗粒物最大值为11.8mg/m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，T5转运站1#除尘器颗粒物最大值为12.5mg/m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，T5转运站2#除尘器颗粒物最大值为10.8mg/m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，T6转运站1#除尘器颗粒物最大值为9.8mg/m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，T6转运站2#除尘器颗粒物最大值为9.6mg/m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，原煤斗7#除尘器颗粒物最大值为4.9mg/m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，原煤斗8#除尘器颗粒物最大值为5.3mg/m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，原煤斗9#除尘器颗粒物最大值为5.1mg/m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，原煤斗10#除尘器颗粒物最大值为5.2mg/m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，原煤斗11#除尘器颗粒物最大值为4.4mg/m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，原煤斗12#除尘器颗粒物最大值为5.2mg/m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，电石渣仓除尘器A颗粒物最大值为4.2mg/m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，电石渣仓除尘器A颗粒物最大值为4.2mg/m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，电石渣仓除尘器B颗粒物最大值为4.1mg/m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，电石渣仓除尘器C颗粒物最大值为5.2mg/m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，电石渣仓除尘器D颗粒物最大值为4.1mg/m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，石灰石粉仓1#除尘器颗粒物最大值为19.2mg/m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，灰库1#除尘器颗粒物最大值为4.7mg/m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，灰库2#除尘器颗粒物最大值为4.1mg/m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，灰库3#除尘器颗粒物最大值为6.0mg/m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，满足《大气污染物综合排放标准》（GB16297-1996）表4二级标准限值；锅炉除尘颗粒物最大值10.2mg/m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，二氧化硫最大值23mg/m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，氮氧化物最大值421mg/m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，烟气黑度＜1级，汞及其化合物最大值0.0039mg/m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，满足《火电厂大气污染物排放标准》（GB13223-2011）燃煤锅炉大气污染物特别排放限值；氨逃逸浓度最大值1.46mg/m</w:t>
      </w:r>
      <w:r>
        <w:rPr>
          <w:rFonts w:hint="eastAsia" w:ascii="宋体" w:hAnsi="宋体" w:eastAsia="宋体" w:cs="宋体"/>
          <w:b w:val="0"/>
          <w:bCs w:val="0"/>
          <w:caps w:val="0"/>
          <w:kern w:val="0"/>
          <w:sz w:val="28"/>
          <w:szCs w:val="28"/>
          <w:vertAlign w:val="superscript"/>
          <w:lang w:val="en-US" w:eastAsia="zh-CN" w:bidi="ar-SA"/>
        </w:rPr>
        <w:t>3</w:t>
      </w:r>
      <w:r>
        <w:rPr>
          <w:rFonts w:hint="eastAsia" w:ascii="宋体" w:hAnsi="宋体" w:eastAsia="宋体" w:cs="宋体"/>
          <w:b w:val="0"/>
          <w:bCs w:val="0"/>
          <w:caps w:val="0"/>
          <w:kern w:val="0"/>
          <w:sz w:val="28"/>
          <w:szCs w:val="28"/>
          <w:lang w:val="en-US" w:eastAsia="zh-CN" w:bidi="ar-SA"/>
        </w:rPr>
        <w:t>，满足《火电厂烟气脱硝工程技术规范选择性催化还原法》（HJ562-2010）标准限值。</w:t>
      </w:r>
    </w:p>
    <w:p>
      <w:pPr>
        <w:pStyle w:val="2"/>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（二）无组织废气</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动力站无组织废气监测内容为氨区无组织氨，监测结果见表9-43，表9-44。</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表9-43  氨区无组织监测结果</w:t>
      </w:r>
    </w:p>
    <w:tbl>
      <w:tblPr>
        <w:tblStyle w:val="12"/>
        <w:tblW w:w="8463" w:type="dxa"/>
        <w:tblInd w:w="-9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450"/>
        <w:gridCol w:w="1527"/>
        <w:gridCol w:w="1365"/>
        <w:gridCol w:w="3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采样地点</w:t>
            </w:r>
          </w:p>
        </w:tc>
        <w:tc>
          <w:tcPr>
            <w:tcW w:w="14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采样日期</w:t>
            </w:r>
          </w:p>
        </w:tc>
        <w:tc>
          <w:tcPr>
            <w:tcW w:w="152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样品编号</w:t>
            </w:r>
          </w:p>
        </w:tc>
        <w:tc>
          <w:tcPr>
            <w:tcW w:w="136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采样时间</w:t>
            </w:r>
          </w:p>
        </w:tc>
        <w:tc>
          <w:tcPr>
            <w:tcW w:w="31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检测项目（mg/m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vMerge w:val="continue"/>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p>
        </w:tc>
        <w:tc>
          <w:tcPr>
            <w:tcW w:w="136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31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G1:氨区东侧</w:t>
            </w:r>
          </w:p>
        </w:tc>
        <w:tc>
          <w:tcPr>
            <w:tcW w:w="14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2018.10.7</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G1-1-1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G1-1-2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G1-1-3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G1-1-4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G2：氨区北侧</w:t>
            </w:r>
          </w:p>
        </w:tc>
        <w:tc>
          <w:tcPr>
            <w:tcW w:w="14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2018.10.7</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G2-1-1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G2-1-2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G2-1-3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G2-1-4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G3：氨区西侧</w:t>
            </w:r>
          </w:p>
        </w:tc>
        <w:tc>
          <w:tcPr>
            <w:tcW w:w="14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2018.10.7</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G3-1-1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G3-1-2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G3-1-3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G3-1-4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G4：氨区南侧</w:t>
            </w:r>
          </w:p>
        </w:tc>
        <w:tc>
          <w:tcPr>
            <w:tcW w:w="14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2018.10.7</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G4-1-1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G4-1-2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G4-1-3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G4-1-4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08"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55"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最大值</w:t>
            </w:r>
          </w:p>
        </w:tc>
        <w:tc>
          <w:tcPr>
            <w:tcW w:w="31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55"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排放限值</w:t>
            </w:r>
          </w:p>
        </w:tc>
        <w:tc>
          <w:tcPr>
            <w:tcW w:w="31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表9-44  氨区无组织监测结果</w:t>
      </w:r>
    </w:p>
    <w:tbl>
      <w:tblPr>
        <w:tblStyle w:val="12"/>
        <w:tblW w:w="8488" w:type="dxa"/>
        <w:tblInd w:w="-1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437"/>
        <w:gridCol w:w="1527"/>
        <w:gridCol w:w="1365"/>
        <w:gridCol w:w="3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采样地点</w:t>
            </w:r>
          </w:p>
        </w:tc>
        <w:tc>
          <w:tcPr>
            <w:tcW w:w="14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采样日期</w:t>
            </w:r>
          </w:p>
        </w:tc>
        <w:tc>
          <w:tcPr>
            <w:tcW w:w="152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样品编号</w:t>
            </w:r>
          </w:p>
        </w:tc>
        <w:tc>
          <w:tcPr>
            <w:tcW w:w="1365"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采样时间</w:t>
            </w:r>
          </w:p>
        </w:tc>
        <w:tc>
          <w:tcPr>
            <w:tcW w:w="312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检测项目（mg/m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vMerge w:val="continue"/>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p>
        </w:tc>
        <w:tc>
          <w:tcPr>
            <w:tcW w:w="1365"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312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G1:氨区东侧</w:t>
            </w:r>
          </w:p>
        </w:tc>
        <w:tc>
          <w:tcPr>
            <w:tcW w:w="14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2018.10.8</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G1-2-1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G1-2-2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G1-2-3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G1-2-4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G2：氨区北侧</w:t>
            </w:r>
          </w:p>
        </w:tc>
        <w:tc>
          <w:tcPr>
            <w:tcW w:w="14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2018.10.8</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G2-2-1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G2-2-2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G2-2-3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G2-2-4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G3：氨区西侧</w:t>
            </w:r>
          </w:p>
        </w:tc>
        <w:tc>
          <w:tcPr>
            <w:tcW w:w="14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2018.10.8</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G3-2-1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G3-2-2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G3-2-3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G3-2-4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G4：氨区南侧</w:t>
            </w:r>
          </w:p>
        </w:tc>
        <w:tc>
          <w:tcPr>
            <w:tcW w:w="143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2018.10.8</w:t>
            </w: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G4-2-1</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第一次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G4-2-2</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第二次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G4-2-3</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第三次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3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43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527"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b w:val="0"/>
                <w:bCs w:val="0"/>
                <w:szCs w:val="21"/>
                <w:lang w:val="en-US" w:eastAsia="zh-CN"/>
              </w:rPr>
              <w:t>G4-2-4</w:t>
            </w:r>
          </w:p>
        </w:tc>
        <w:tc>
          <w:tcPr>
            <w:tcW w:w="1365"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rPr>
              <w:t>第四次</w:t>
            </w:r>
          </w:p>
        </w:tc>
        <w:tc>
          <w:tcPr>
            <w:tcW w:w="3121" w:type="dxa"/>
            <w:tcBorders>
              <w:tl2br w:val="nil"/>
              <w:tr2bl w:val="nil"/>
            </w:tcBorders>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eastAsia"/>
                <w:szCs w:val="21"/>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67"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最大值</w:t>
            </w:r>
          </w:p>
        </w:tc>
        <w:tc>
          <w:tcPr>
            <w:tcW w:w="312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67" w:type="dxa"/>
            <w:gridSpan w:val="4"/>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排放限值</w:t>
            </w:r>
          </w:p>
        </w:tc>
        <w:tc>
          <w:tcPr>
            <w:tcW w:w="312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w:t>
            </w:r>
          </w:p>
        </w:tc>
      </w:tr>
    </w:tbl>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楷体" w:hAnsi="楷体" w:eastAsia="楷体" w:cs="楷体"/>
          <w:color w:val="000000"/>
          <w:sz w:val="28"/>
          <w:szCs w:val="28"/>
        </w:rPr>
      </w:pPr>
      <w:r>
        <w:rPr>
          <w:rFonts w:hint="eastAsia" w:ascii="宋体" w:hAnsi="宋体" w:eastAsia="宋体" w:cs="宋体"/>
          <w:color w:val="000000"/>
          <w:sz w:val="28"/>
          <w:szCs w:val="28"/>
        </w:rPr>
        <w:t>动力站氨区场界无组织氨最大值0.15mg/m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，均满足《恶臭污染物排放标准》（GB14554-93）恶臭污染物厂界标准值要求</w:t>
      </w:r>
      <w:r>
        <w:rPr>
          <w:rFonts w:hint="eastAsia" w:ascii="楷体" w:hAnsi="楷体" w:eastAsia="楷体" w:cs="楷体"/>
          <w:color w:val="000000"/>
          <w:sz w:val="28"/>
          <w:szCs w:val="28"/>
        </w:rPr>
        <w:t>。</w:t>
      </w:r>
    </w:p>
    <w:p>
      <w:pPr>
        <w:pStyle w:val="3"/>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cs="宋体"/>
          <w:b/>
          <w:bCs/>
          <w:color w:val="000000"/>
          <w:sz w:val="28"/>
          <w:szCs w:val="28"/>
          <w:lang w:val="en-US" w:eastAsia="zh-CN"/>
        </w:rPr>
      </w:pPr>
      <w:bookmarkStart w:id="49" w:name="_Toc26515"/>
      <w:r>
        <w:rPr>
          <w:rFonts w:hint="eastAsia" w:ascii="宋体" w:hAnsi="宋体" w:eastAsia="宋体" w:cs="宋体"/>
          <w:b/>
          <w:bCs/>
          <w:color w:val="000000"/>
          <w:sz w:val="28"/>
          <w:szCs w:val="28"/>
          <w:lang w:val="en-US" w:eastAsia="zh-CN"/>
        </w:rPr>
        <w:t>9.2.3固体废物</w:t>
      </w:r>
      <w:bookmarkEnd w:id="49"/>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动力站固体废物监测内容为除尘灰、炉渣和脱硫石膏，具体监测结果见表9-45。</w:t>
      </w:r>
    </w:p>
    <w:p>
      <w:pPr>
        <w:pStyle w:val="2"/>
        <w:jc w:val="center"/>
        <w:rPr>
          <w:rFonts w:hint="eastAsia" w:hAnsi="宋体" w:eastAsia="宋体" w:cs="宋体"/>
          <w:b/>
          <w:bCs/>
          <w:color w:val="000000"/>
          <w:kern w:val="2"/>
          <w:sz w:val="24"/>
          <w:szCs w:val="24"/>
          <w:lang w:val="en-US" w:eastAsia="zh-CN" w:bidi="ar-SA"/>
        </w:rPr>
      </w:pPr>
      <w:r>
        <w:rPr>
          <w:rFonts w:hint="eastAsia" w:hAnsi="宋体" w:eastAsia="宋体" w:cs="宋体"/>
          <w:b/>
          <w:bCs/>
          <w:color w:val="000000"/>
          <w:kern w:val="2"/>
          <w:sz w:val="24"/>
          <w:szCs w:val="24"/>
          <w:lang w:val="en-US" w:eastAsia="zh-CN" w:bidi="ar-SA"/>
        </w:rPr>
        <w:t>表9-45  固体废物监测结果</w:t>
      </w:r>
    </w:p>
    <w:p>
      <w:pPr>
        <w:pStyle w:val="3"/>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kern w:val="2"/>
          <w:sz w:val="24"/>
          <w:szCs w:val="24"/>
          <w:lang w:val="en-US" w:eastAsia="zh-CN" w:bidi="ar-SA"/>
        </w:rPr>
        <w:t>采样时间：2018.11.10</w:t>
      </w:r>
    </w:p>
    <w:tbl>
      <w:tblPr>
        <w:tblStyle w:val="12"/>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
        <w:gridCol w:w="169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监测因子</w:t>
            </w:r>
          </w:p>
        </w:tc>
        <w:tc>
          <w:tcPr>
            <w:tcW w:w="5113" w:type="dxa"/>
            <w:gridSpan w:val="4"/>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监测点位</w:t>
            </w:r>
          </w:p>
        </w:tc>
        <w:tc>
          <w:tcPr>
            <w:tcW w:w="1697" w:type="dxa"/>
            <w:gridSpan w:val="2"/>
            <w:vMerge w:val="restart"/>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标准限值</w:t>
            </w:r>
          </w:p>
          <w:p>
            <w:pPr>
              <w:pStyle w:val="3"/>
              <w:jc w:val="center"/>
              <w:rPr>
                <w:rFonts w:hint="eastAsia"/>
                <w:sz w:val="21"/>
                <w:szCs w:val="21"/>
                <w:vertAlign w:val="baseline"/>
                <w:lang w:val="en-US" w:eastAsia="zh-CN"/>
              </w:rPr>
            </w:pPr>
            <w:r>
              <w:rPr>
                <w:rFonts w:hint="eastAsia" w:ascii="宋体" w:hAnsi="宋体" w:eastAsia="宋体" w:cs="宋体"/>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Merge w:val="continue"/>
            <w:vAlign w:val="center"/>
          </w:tcPr>
          <w:p>
            <w:pPr>
              <w:pStyle w:val="3"/>
              <w:jc w:val="center"/>
              <w:rPr>
                <w:rFonts w:hint="eastAsia"/>
                <w:sz w:val="21"/>
                <w:szCs w:val="21"/>
                <w:vertAlign w:val="baseline"/>
                <w:lang w:val="en-US" w:eastAsia="zh-CN"/>
              </w:rPr>
            </w:pPr>
          </w:p>
        </w:tc>
        <w:tc>
          <w:tcPr>
            <w:tcW w:w="1704" w:type="dxa"/>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电厂除灰</w:t>
            </w:r>
          </w:p>
        </w:tc>
        <w:tc>
          <w:tcPr>
            <w:tcW w:w="1704" w:type="dxa"/>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电厂炉渣</w:t>
            </w:r>
          </w:p>
        </w:tc>
        <w:tc>
          <w:tcPr>
            <w:tcW w:w="1704" w:type="dxa"/>
            <w:vAlign w:val="center"/>
          </w:tcPr>
          <w:p>
            <w:pPr>
              <w:pStyle w:val="3"/>
              <w:jc w:val="center"/>
              <w:rPr>
                <w:rFonts w:hint="eastAsia"/>
                <w:sz w:val="21"/>
                <w:szCs w:val="21"/>
                <w:vertAlign w:val="baseline"/>
                <w:lang w:val="en-US" w:eastAsia="zh-CN"/>
              </w:rPr>
            </w:pPr>
            <w:r>
              <w:rPr>
                <w:rFonts w:hint="eastAsia"/>
                <w:sz w:val="21"/>
                <w:szCs w:val="21"/>
                <w:vertAlign w:val="baseline"/>
                <w:lang w:val="en-US" w:eastAsia="zh-CN"/>
              </w:rPr>
              <w:t>电厂脱硫石膏</w:t>
            </w:r>
          </w:p>
        </w:tc>
        <w:tc>
          <w:tcPr>
            <w:tcW w:w="1697" w:type="dxa"/>
            <w:gridSpan w:val="2"/>
            <w:vMerge w:val="continue"/>
            <w:vAlign w:val="center"/>
          </w:tcPr>
          <w:p>
            <w:pPr>
              <w:pStyle w:val="3"/>
              <w:jc w:val="center"/>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sz w:val="21"/>
                <w:szCs w:val="21"/>
                <w:lang w:val="en-US" w:eastAsia="zh-CN"/>
              </w:rPr>
              <w:t>pH</w:t>
            </w:r>
          </w:p>
        </w:tc>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eastAsia" w:ascii="Times New Roman" w:hAnsi="Times New Roman" w:eastAsia="宋体" w:cs="Times New Roman"/>
                <w:i w:val="0"/>
                <w:color w:val="auto"/>
                <w:sz w:val="21"/>
                <w:szCs w:val="21"/>
                <w:u w:val="none"/>
                <w:lang w:val="en-US" w:eastAsia="zh-CN"/>
              </w:rPr>
              <w:t>12.36</w:t>
            </w:r>
          </w:p>
        </w:tc>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11.49</w:t>
            </w:r>
          </w:p>
        </w:tc>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7.14</w:t>
            </w:r>
          </w:p>
        </w:tc>
        <w:tc>
          <w:tcPr>
            <w:tcW w:w="1697"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宋体" w:hAnsi="宋体" w:eastAsia="宋体" w:cs="宋体"/>
                <w:color w:val="auto"/>
                <w:sz w:val="21"/>
                <w:szCs w:val="21"/>
                <w:lang w:val="en-US" w:eastAsia="zh-CN"/>
              </w:rPr>
              <w:t>pH</w:t>
            </w:r>
            <w:r>
              <w:rPr>
                <w:rFonts w:hint="eastAsia" w:ascii="宋体" w:hAnsi="宋体" w:eastAsia="宋体" w:cs="宋体"/>
                <w:color w:val="auto"/>
                <w:sz w:val="24"/>
                <w:szCs w:val="24"/>
                <w:lang w:val="en-US" w:eastAsia="zh-CN"/>
              </w:rPr>
              <w:t>≥</w:t>
            </w:r>
            <w:r>
              <w:rPr>
                <w:rFonts w:hint="eastAsia" w:ascii="宋体" w:hAnsi="宋体" w:eastAsia="宋体" w:cs="宋体"/>
                <w:color w:val="auto"/>
                <w:sz w:val="21"/>
                <w:szCs w:val="21"/>
                <w:lang w:val="en-US" w:eastAsia="zh-CN"/>
              </w:rPr>
              <w:t>12.5，或者pH</w:t>
            </w:r>
            <w:r>
              <w:rPr>
                <w:rFonts w:hint="eastAsia" w:ascii="宋体" w:hAnsi="宋体" w:eastAsia="宋体" w:cs="宋体"/>
                <w:color w:val="auto"/>
                <w:sz w:val="24"/>
                <w:szCs w:val="24"/>
                <w:lang w:val="en-US" w:eastAsia="zh-CN"/>
              </w:rPr>
              <w:t>≤</w:t>
            </w:r>
            <w:r>
              <w:rPr>
                <w:rFonts w:hint="eastAsia" w:ascii="宋体" w:hAnsi="宋体" w:eastAsia="宋体" w:cs="宋体"/>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总镉</w:t>
            </w:r>
            <w:r>
              <w:rPr>
                <w:rFonts w:hint="eastAsia" w:ascii="宋体" w:hAnsi="宋体" w:eastAsia="宋体" w:cs="宋体"/>
                <w:i w:val="0"/>
                <w:color w:val="000000"/>
                <w:kern w:val="0"/>
                <w:sz w:val="21"/>
                <w:szCs w:val="21"/>
                <w:highlight w:val="none"/>
                <w:u w:val="none"/>
                <w:lang w:val="en-US" w:eastAsia="zh-CN" w:bidi="ar"/>
              </w:rPr>
              <w:t>（</w:t>
            </w:r>
            <w:r>
              <w:rPr>
                <w:rFonts w:hint="eastAsia" w:ascii="宋体" w:hAnsi="宋体" w:eastAsia="宋体" w:cs="宋体"/>
                <w:i w:val="0"/>
                <w:color w:val="000000"/>
                <w:kern w:val="0"/>
                <w:sz w:val="21"/>
                <w:szCs w:val="21"/>
                <w:u w:val="none"/>
                <w:lang w:val="en-US" w:eastAsia="zh-CN" w:bidi="ar"/>
              </w:rPr>
              <w:t>µg/L)</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＜0.2</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＜0.2</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3.07</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总汞</w:t>
            </w:r>
            <w:r>
              <w:rPr>
                <w:rFonts w:hint="eastAsia" w:ascii="宋体" w:hAnsi="宋体" w:eastAsia="宋体" w:cs="宋体"/>
                <w:i w:val="0"/>
                <w:color w:val="000000"/>
                <w:kern w:val="0"/>
                <w:sz w:val="21"/>
                <w:szCs w:val="21"/>
                <w:highlight w:val="none"/>
                <w:u w:val="none"/>
                <w:lang w:val="en-US" w:eastAsia="zh-CN" w:bidi="ar"/>
              </w:rPr>
              <w:t>（</w:t>
            </w:r>
            <w:r>
              <w:rPr>
                <w:rFonts w:hint="eastAsia" w:ascii="宋体" w:hAnsi="宋体" w:eastAsia="宋体" w:cs="宋体"/>
                <w:i w:val="0"/>
                <w:color w:val="000000"/>
                <w:kern w:val="0"/>
                <w:sz w:val="21"/>
                <w:szCs w:val="21"/>
                <w:u w:val="none"/>
                <w:lang w:val="en-US" w:eastAsia="zh-CN" w:bidi="ar"/>
              </w:rPr>
              <w:t>µg/L)</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0.506</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0.154</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0.184</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砷</w:t>
            </w:r>
            <w:r>
              <w:rPr>
                <w:rFonts w:hint="eastAsia" w:ascii="宋体" w:hAnsi="宋体" w:eastAsia="宋体" w:cs="宋体"/>
                <w:i w:val="0"/>
                <w:color w:val="000000"/>
                <w:kern w:val="0"/>
                <w:sz w:val="21"/>
                <w:szCs w:val="21"/>
                <w:highlight w:val="none"/>
                <w:u w:val="none"/>
                <w:lang w:val="en-US" w:eastAsia="zh-CN" w:bidi="ar"/>
              </w:rPr>
              <w:t>（</w:t>
            </w:r>
            <w:r>
              <w:rPr>
                <w:rFonts w:hint="eastAsia" w:ascii="宋体" w:hAnsi="宋体" w:eastAsia="宋体" w:cs="宋体"/>
                <w:i w:val="0"/>
                <w:color w:val="000000"/>
                <w:kern w:val="0"/>
                <w:sz w:val="21"/>
                <w:szCs w:val="21"/>
                <w:u w:val="none"/>
                <w:lang w:val="en-US" w:eastAsia="zh-CN" w:bidi="ar"/>
              </w:rPr>
              <w:t>µg/L)</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＜0.3</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4.36</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0.62</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总铅</w:t>
            </w:r>
            <w:r>
              <w:rPr>
                <w:rFonts w:hint="eastAsia" w:ascii="宋体" w:hAnsi="宋体" w:eastAsia="宋体" w:cs="宋体"/>
                <w:i w:val="0"/>
                <w:color w:val="000000"/>
                <w:kern w:val="0"/>
                <w:sz w:val="21"/>
                <w:szCs w:val="21"/>
                <w:highlight w:val="none"/>
                <w:u w:val="none"/>
                <w:lang w:val="en-US" w:eastAsia="zh-CN" w:bidi="ar"/>
              </w:rPr>
              <w:t>（</w:t>
            </w:r>
            <w:r>
              <w:rPr>
                <w:rFonts w:hint="eastAsia" w:ascii="宋体" w:hAnsi="宋体" w:eastAsia="宋体" w:cs="宋体"/>
                <w:i w:val="0"/>
                <w:color w:val="000000"/>
                <w:kern w:val="0"/>
                <w:sz w:val="21"/>
                <w:szCs w:val="21"/>
                <w:u w:val="none"/>
                <w:lang w:val="en-US" w:eastAsia="zh-CN" w:bidi="ar"/>
              </w:rPr>
              <w:t>µg/L)</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＜1</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＜1</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sz w:val="21"/>
                <w:szCs w:val="21"/>
                <w:u w:val="none"/>
                <w:lang w:val="en-US" w:eastAsia="zh-CN"/>
              </w:rPr>
              <w:t>1</w:t>
            </w:r>
          </w:p>
        </w:tc>
        <w:tc>
          <w:tcPr>
            <w:tcW w:w="1697" w:type="dxa"/>
            <w:gridSpan w:val="2"/>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总铬</w:t>
            </w:r>
            <w:r>
              <w:rPr>
                <w:rFonts w:hint="eastAsia"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mg/L</w:t>
            </w:r>
            <w:r>
              <w:rPr>
                <w:rFonts w:hint="eastAsia" w:ascii="Times New Roman" w:hAnsi="Times New Roman" w:eastAsia="宋体" w:cs="Times New Roman"/>
                <w:i w:val="0"/>
                <w:color w:val="000000"/>
                <w:kern w:val="0"/>
                <w:sz w:val="21"/>
                <w:szCs w:val="21"/>
                <w:highlight w:val="none"/>
                <w:u w:val="none"/>
                <w:lang w:val="en-US" w:eastAsia="zh-CN" w:bidi="ar"/>
              </w:rPr>
              <w:t>)</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0.06</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＜0.05</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sz w:val="21"/>
                <w:szCs w:val="21"/>
                <w:u w:val="none"/>
                <w:lang w:val="en-US" w:eastAsia="zh-CN"/>
              </w:rPr>
              <w:t>0.05</w:t>
            </w:r>
          </w:p>
        </w:tc>
        <w:tc>
          <w:tcPr>
            <w:tcW w:w="1697" w:type="dxa"/>
            <w:gridSpan w:val="2"/>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总铜</w:t>
            </w:r>
            <w:r>
              <w:rPr>
                <w:rFonts w:hint="eastAsia"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mg/L</w:t>
            </w:r>
            <w:r>
              <w:rPr>
                <w:rFonts w:hint="eastAsia" w:ascii="Times New Roman" w:hAnsi="Times New Roman" w:eastAsia="宋体" w:cs="Times New Roman"/>
                <w:i w:val="0"/>
                <w:color w:val="000000"/>
                <w:kern w:val="0"/>
                <w:sz w:val="21"/>
                <w:szCs w:val="21"/>
                <w:highlight w:val="none"/>
                <w:u w:val="none"/>
                <w:lang w:val="en-US" w:eastAsia="zh-CN" w:bidi="ar"/>
              </w:rPr>
              <w:t>)</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0.03</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0.02</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0.08</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总锌</w:t>
            </w:r>
            <w:r>
              <w:rPr>
                <w:rFonts w:hint="eastAsia"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mg/L</w:t>
            </w:r>
            <w:r>
              <w:rPr>
                <w:rFonts w:hint="eastAsia" w:ascii="Times New Roman" w:hAnsi="Times New Roman" w:eastAsia="宋体" w:cs="Times New Roman"/>
                <w:i w:val="0"/>
                <w:color w:val="000000"/>
                <w:kern w:val="0"/>
                <w:sz w:val="21"/>
                <w:szCs w:val="21"/>
                <w:highlight w:val="none"/>
                <w:u w:val="none"/>
                <w:lang w:val="en-US" w:eastAsia="zh-CN" w:bidi="ar"/>
              </w:rPr>
              <w:t>)</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0.02</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0.01</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0.69</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04"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镍</w:t>
            </w:r>
            <w:r>
              <w:rPr>
                <w:rFonts w:hint="eastAsia"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mg/L</w:t>
            </w:r>
            <w:r>
              <w:rPr>
                <w:rFonts w:hint="eastAsia" w:ascii="Times New Roman" w:hAnsi="Times New Roman" w:eastAsia="宋体" w:cs="Times New Roman"/>
                <w:i w:val="0"/>
                <w:color w:val="000000"/>
                <w:kern w:val="0"/>
                <w:sz w:val="21"/>
                <w:szCs w:val="21"/>
                <w:highlight w:val="none"/>
                <w:u w:val="none"/>
                <w:lang w:val="en-US" w:eastAsia="zh-CN" w:bidi="ar"/>
              </w:rPr>
              <w:t>)</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0.18</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0.11</w:t>
            </w:r>
          </w:p>
        </w:tc>
        <w:tc>
          <w:tcPr>
            <w:tcW w:w="1704" w:type="dxa"/>
            <w:vAlign w:val="center"/>
          </w:tcPr>
          <w:p>
            <w:pPr>
              <w:jc w:val="center"/>
              <w:rPr>
                <w:rFonts w:hint="eastAsia"/>
                <w:sz w:val="21"/>
                <w:szCs w:val="21"/>
                <w:vertAlign w:val="baseline"/>
                <w:lang w:val="en-US" w:eastAsia="zh-CN"/>
              </w:rPr>
            </w:pPr>
            <w:r>
              <w:rPr>
                <w:rFonts w:hint="default" w:ascii="Times New Roman" w:hAnsi="Times New Roman" w:eastAsia="宋体" w:cs="Times New Roman"/>
                <w:i w:val="0"/>
                <w:color w:val="000000"/>
                <w:sz w:val="21"/>
                <w:szCs w:val="21"/>
                <w:u w:val="none"/>
                <w:lang w:val="en-US" w:eastAsia="zh-CN"/>
              </w:rPr>
              <w:t>0.20</w:t>
            </w:r>
          </w:p>
        </w:tc>
        <w:tc>
          <w:tcPr>
            <w:tcW w:w="1697" w:type="dxa"/>
            <w:gridSpan w:val="2"/>
            <w:vAlign w:val="center"/>
          </w:tcPr>
          <w:p>
            <w:pPr>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5</w:t>
            </w:r>
          </w:p>
        </w:tc>
      </w:tr>
    </w:tbl>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sz w:val="28"/>
          <w:szCs w:val="28"/>
          <w:lang w:val="en-US" w:eastAsia="zh-CN"/>
        </w:rPr>
        <w:t>电厂除灰PH为</w:t>
      </w:r>
      <w:r>
        <w:rPr>
          <w:rFonts w:hint="eastAsia" w:ascii="宋体" w:hAnsi="宋体" w:eastAsia="宋体" w:cs="宋体"/>
          <w:b w:val="0"/>
          <w:bCs w:val="0"/>
          <w:color w:val="auto"/>
          <w:sz w:val="28"/>
          <w:szCs w:val="28"/>
          <w:lang w:val="en-US" w:eastAsia="zh-CN"/>
        </w:rPr>
        <w:t>12.36</w:t>
      </w:r>
      <w:r>
        <w:rPr>
          <w:rFonts w:hint="eastAsia" w:ascii="宋体" w:hAnsi="宋体" w:eastAsia="宋体" w:cs="宋体"/>
          <w:sz w:val="28"/>
          <w:szCs w:val="28"/>
          <w:lang w:val="en-US" w:eastAsia="zh-CN"/>
        </w:rPr>
        <w:t>，</w:t>
      </w:r>
      <w:r>
        <w:rPr>
          <w:rFonts w:hint="eastAsia" w:ascii="宋体" w:hAnsi="宋体" w:eastAsia="宋体" w:cs="宋体"/>
          <w:i w:val="0"/>
          <w:color w:val="000000"/>
          <w:kern w:val="0"/>
          <w:sz w:val="28"/>
          <w:szCs w:val="28"/>
          <w:u w:val="none"/>
          <w:lang w:val="en-US" w:eastAsia="zh-CN" w:bidi="ar"/>
        </w:rPr>
        <w:t>满足《危险废物鉴别标准 腐蚀性鉴别》（GB5085.1-2007）标准限值，</w:t>
      </w:r>
      <w:r>
        <w:rPr>
          <w:rFonts w:hint="eastAsia" w:ascii="宋体" w:hAnsi="宋体" w:eastAsia="宋体" w:cs="宋体"/>
          <w:sz w:val="28"/>
          <w:szCs w:val="28"/>
          <w:lang w:val="en-US" w:eastAsia="zh-CN"/>
        </w:rPr>
        <w:t>总汞为0.506</w:t>
      </w:r>
      <w:r>
        <w:rPr>
          <w:rFonts w:hint="eastAsia" w:ascii="宋体" w:hAnsi="宋体" w:eastAsia="宋体" w:cs="宋体"/>
          <w:i w:val="0"/>
          <w:color w:val="000000"/>
          <w:kern w:val="0"/>
          <w:sz w:val="28"/>
          <w:szCs w:val="28"/>
          <w:u w:val="none"/>
          <w:lang w:val="en-US" w:eastAsia="zh-CN" w:bidi="ar"/>
        </w:rPr>
        <w:t>µg/L,总铬为0.06µg/L，总铜为0.03mg/L，总锌为0.02mg/L，镍为0.18mg/L，总镉、砷、总铅均未检出；《危险废物鉴别标准 浸出毒性鉴别》（GB5085.3-2007）标准限值；</w:t>
      </w:r>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电厂炉渣</w:t>
      </w:r>
      <w:r>
        <w:rPr>
          <w:rFonts w:hint="eastAsia" w:ascii="宋体" w:hAnsi="宋体" w:eastAsia="宋体" w:cs="宋体"/>
          <w:sz w:val="28"/>
          <w:szCs w:val="28"/>
          <w:lang w:val="en-US" w:eastAsia="zh-CN"/>
        </w:rPr>
        <w:t>PH为11.49，</w:t>
      </w:r>
      <w:r>
        <w:rPr>
          <w:rFonts w:hint="eastAsia" w:ascii="宋体" w:hAnsi="宋体" w:eastAsia="宋体" w:cs="宋体"/>
          <w:i w:val="0"/>
          <w:color w:val="000000"/>
          <w:kern w:val="0"/>
          <w:sz w:val="28"/>
          <w:szCs w:val="28"/>
          <w:u w:val="none"/>
          <w:lang w:val="en-US" w:eastAsia="zh-CN" w:bidi="ar"/>
        </w:rPr>
        <w:t>满足《危险废物鉴别标准 腐蚀性鉴别》（GB5085.1-2007）标准限值；</w:t>
      </w:r>
      <w:r>
        <w:rPr>
          <w:rFonts w:hint="eastAsia" w:ascii="宋体" w:hAnsi="宋体" w:eastAsia="宋体" w:cs="宋体"/>
          <w:sz w:val="28"/>
          <w:szCs w:val="28"/>
          <w:lang w:val="en-US" w:eastAsia="zh-CN"/>
        </w:rPr>
        <w:t>总汞为0.154</w:t>
      </w:r>
      <w:r>
        <w:rPr>
          <w:rFonts w:hint="eastAsia" w:ascii="宋体" w:hAnsi="宋体" w:eastAsia="宋体" w:cs="宋体"/>
          <w:i w:val="0"/>
          <w:color w:val="000000"/>
          <w:kern w:val="0"/>
          <w:sz w:val="28"/>
          <w:szCs w:val="28"/>
          <w:u w:val="none"/>
          <w:lang w:val="en-US" w:eastAsia="zh-CN" w:bidi="ar"/>
        </w:rPr>
        <w:t>µg/L,砷为4.36µg/L，总铜为0.02mg/L，总锌为0.01mg/L，镍为0.11mg/L，总镉、总铬、总铅均未检出；危险废物鉴别标准 浸出毒性鉴别》（GB5085.3-2007）标准限值；</w:t>
      </w:r>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电厂脱硫石膏</w:t>
      </w:r>
      <w:r>
        <w:rPr>
          <w:rFonts w:hint="eastAsia" w:ascii="宋体" w:hAnsi="宋体" w:eastAsia="宋体" w:cs="宋体"/>
          <w:sz w:val="28"/>
          <w:szCs w:val="28"/>
          <w:lang w:val="en-US" w:eastAsia="zh-CN"/>
        </w:rPr>
        <w:t>PH为7.14，</w:t>
      </w:r>
      <w:r>
        <w:rPr>
          <w:rFonts w:hint="eastAsia" w:ascii="宋体" w:hAnsi="宋体" w:eastAsia="宋体" w:cs="宋体"/>
          <w:i w:val="0"/>
          <w:color w:val="000000"/>
          <w:kern w:val="0"/>
          <w:sz w:val="28"/>
          <w:szCs w:val="28"/>
          <w:u w:val="none"/>
          <w:lang w:val="en-US" w:eastAsia="zh-CN" w:bidi="ar"/>
        </w:rPr>
        <w:t>满足《危险废物鉴别标准 腐蚀性鉴别》（GB5085.1-2007）标准限值；总镉为3.07µg/L，</w:t>
      </w:r>
      <w:r>
        <w:rPr>
          <w:rFonts w:hint="eastAsia" w:ascii="宋体" w:hAnsi="宋体" w:eastAsia="宋体" w:cs="宋体"/>
          <w:sz w:val="28"/>
          <w:szCs w:val="28"/>
          <w:lang w:val="en-US" w:eastAsia="zh-CN"/>
        </w:rPr>
        <w:t>总汞为0.184</w:t>
      </w:r>
      <w:r>
        <w:rPr>
          <w:rFonts w:hint="eastAsia" w:ascii="宋体" w:hAnsi="宋体" w:eastAsia="宋体" w:cs="宋体"/>
          <w:i w:val="0"/>
          <w:color w:val="000000"/>
          <w:kern w:val="0"/>
          <w:sz w:val="28"/>
          <w:szCs w:val="28"/>
          <w:u w:val="none"/>
          <w:lang w:val="en-US" w:eastAsia="zh-CN" w:bidi="ar"/>
        </w:rPr>
        <w:t>µg/L,砷为0.62µg/L，总铜为0.08mg/L，总锌为0.69mg/L，镍为0.20mg/L，总铬、总铅均未检出；满足《危险废物鉴别标准 浸出毒性鉴别》（GB5085.3-2007）标准限值。</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Times New Roman" w:hAnsi="Times New Roman" w:eastAsia="宋体" w:cs="Times New Roman"/>
          <w:b/>
          <w:bCs/>
          <w:sz w:val="28"/>
          <w:szCs w:val="28"/>
          <w:lang w:val="en-US" w:eastAsia="zh-CN"/>
        </w:rPr>
      </w:pPr>
      <w:bookmarkStart w:id="50" w:name="_Toc6257"/>
      <w:r>
        <w:rPr>
          <w:rFonts w:hint="eastAsia" w:ascii="Times New Roman" w:hAnsi="Times New Roman" w:eastAsia="宋体" w:cs="Times New Roman"/>
          <w:b/>
          <w:bCs/>
          <w:sz w:val="28"/>
          <w:szCs w:val="28"/>
          <w:lang w:val="en-US" w:eastAsia="zh-CN"/>
        </w:rPr>
        <w:t>9.2.4污染物排放总量核算</w:t>
      </w:r>
      <w:bookmarkEnd w:id="50"/>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根据验收监测期间数据结果核算，实际污染物排放总量见表9-46。</w:t>
      </w:r>
    </w:p>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表9-</w:t>
      </w:r>
      <w:r>
        <w:rPr>
          <w:rFonts w:hint="eastAsia" w:hAnsi="宋体" w:eastAsia="宋体" w:cs="宋体"/>
          <w:b/>
          <w:bCs/>
          <w:sz w:val="24"/>
          <w:szCs w:val="24"/>
          <w:lang w:val="en-US" w:eastAsia="zh-CN"/>
        </w:rPr>
        <w:t>46</w:t>
      </w:r>
      <w:r>
        <w:rPr>
          <w:rFonts w:hint="eastAsia" w:ascii="宋体" w:hAnsi="宋体" w:eastAsia="宋体" w:cs="宋体"/>
          <w:b/>
          <w:bCs/>
          <w:sz w:val="24"/>
          <w:szCs w:val="24"/>
          <w:lang w:val="en-US" w:eastAsia="zh-CN"/>
        </w:rPr>
        <w:t xml:space="preserve">  污染物排放总量结果</w:t>
      </w:r>
    </w:p>
    <w:tbl>
      <w:tblPr>
        <w:tblStyle w:val="12"/>
        <w:tblW w:w="8522"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882"/>
        <w:gridCol w:w="1704"/>
        <w:gridCol w:w="1705"/>
        <w:gridCol w:w="170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26" w:type="dxa"/>
            <w:tcBorders>
              <w:tl2br w:val="nil"/>
              <w:tr2bl w:val="nil"/>
            </w:tcBorders>
            <w:vAlign w:val="center"/>
          </w:tcPr>
          <w:p>
            <w:pPr>
              <w:jc w:val="center"/>
              <w:rPr>
                <w:rFonts w:ascii="宋体" w:hAnsi="宋体"/>
                <w:szCs w:val="21"/>
              </w:rPr>
            </w:pPr>
            <w:r>
              <w:rPr>
                <w:rFonts w:hint="eastAsia" w:ascii="宋体" w:hAnsi="宋体"/>
                <w:szCs w:val="21"/>
              </w:rPr>
              <w:t>污染源</w:t>
            </w:r>
          </w:p>
        </w:tc>
        <w:tc>
          <w:tcPr>
            <w:tcW w:w="1882" w:type="dxa"/>
            <w:tcBorders>
              <w:tl2br w:val="nil"/>
              <w:tr2bl w:val="nil"/>
            </w:tcBorders>
            <w:vAlign w:val="center"/>
          </w:tcPr>
          <w:p>
            <w:pPr>
              <w:jc w:val="center"/>
              <w:rPr>
                <w:rFonts w:ascii="宋体" w:hAnsi="宋体"/>
                <w:szCs w:val="21"/>
              </w:rPr>
            </w:pPr>
            <w:r>
              <w:rPr>
                <w:rFonts w:hint="eastAsia" w:ascii="宋体" w:hAnsi="宋体"/>
                <w:szCs w:val="21"/>
              </w:rPr>
              <w:t>污染物</w:t>
            </w:r>
          </w:p>
        </w:tc>
        <w:tc>
          <w:tcPr>
            <w:tcW w:w="1704" w:type="dxa"/>
            <w:tcBorders>
              <w:tl2br w:val="nil"/>
              <w:tr2bl w:val="nil"/>
            </w:tcBorders>
            <w:vAlign w:val="center"/>
          </w:tcPr>
          <w:p>
            <w:pPr>
              <w:jc w:val="center"/>
              <w:rPr>
                <w:rFonts w:ascii="宋体" w:hAnsi="宋体"/>
                <w:szCs w:val="21"/>
              </w:rPr>
            </w:pPr>
            <w:r>
              <w:rPr>
                <w:rFonts w:hint="eastAsia" w:ascii="宋体" w:hAnsi="宋体"/>
                <w:szCs w:val="21"/>
              </w:rPr>
              <w:t>实际排放总量（t/a）</w:t>
            </w:r>
          </w:p>
        </w:tc>
        <w:tc>
          <w:tcPr>
            <w:tcW w:w="1705" w:type="dxa"/>
            <w:tcBorders>
              <w:tl2br w:val="nil"/>
              <w:tr2bl w:val="nil"/>
            </w:tcBorders>
            <w:vAlign w:val="center"/>
          </w:tcPr>
          <w:p>
            <w:pPr>
              <w:jc w:val="center"/>
              <w:rPr>
                <w:rFonts w:ascii="宋体" w:hAnsi="宋体"/>
                <w:szCs w:val="21"/>
              </w:rPr>
            </w:pPr>
            <w:r>
              <w:rPr>
                <w:rFonts w:hint="eastAsia" w:ascii="宋体" w:hAnsi="宋体"/>
                <w:szCs w:val="21"/>
                <w:lang w:eastAsia="zh-CN"/>
              </w:rPr>
              <w:t>环评批复</w:t>
            </w:r>
            <w:r>
              <w:rPr>
                <w:rFonts w:hint="eastAsia" w:ascii="宋体" w:hAnsi="宋体"/>
                <w:szCs w:val="21"/>
              </w:rPr>
              <w:t>排放总量（t/a）</w:t>
            </w:r>
          </w:p>
        </w:tc>
        <w:tc>
          <w:tcPr>
            <w:tcW w:w="1705" w:type="dxa"/>
            <w:tcBorders>
              <w:tl2br w:val="nil"/>
              <w:tr2bl w:val="nil"/>
            </w:tcBorders>
            <w:vAlign w:val="center"/>
          </w:tcPr>
          <w:p>
            <w:pPr>
              <w:jc w:val="center"/>
              <w:rPr>
                <w:rFonts w:ascii="宋体" w:hAnsi="宋体"/>
                <w:szCs w:val="21"/>
              </w:rPr>
            </w:pPr>
            <w:r>
              <w:rPr>
                <w:rFonts w:hint="eastAsia" w:ascii="宋体" w:hAnsi="宋体"/>
                <w:szCs w:val="21"/>
              </w:rPr>
              <w:t>达标情况</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26" w:type="dxa"/>
            <w:vMerge w:val="restart"/>
            <w:tcBorders>
              <w:tl2br w:val="nil"/>
              <w:tr2bl w:val="nil"/>
            </w:tcBorders>
            <w:vAlign w:val="center"/>
          </w:tcPr>
          <w:p>
            <w:pPr>
              <w:jc w:val="center"/>
              <w:rPr>
                <w:rFonts w:ascii="宋体" w:hAnsi="宋体"/>
                <w:szCs w:val="21"/>
              </w:rPr>
            </w:pPr>
            <w:r>
              <w:rPr>
                <w:rFonts w:hint="eastAsia" w:ascii="宋体" w:hAnsi="宋体"/>
                <w:szCs w:val="21"/>
              </w:rPr>
              <w:t>2#机组</w:t>
            </w:r>
          </w:p>
        </w:tc>
        <w:tc>
          <w:tcPr>
            <w:tcW w:w="1882" w:type="dxa"/>
            <w:tcBorders>
              <w:tl2br w:val="nil"/>
              <w:tr2bl w:val="nil"/>
            </w:tcBorders>
            <w:vAlign w:val="center"/>
          </w:tcPr>
          <w:p>
            <w:pPr>
              <w:jc w:val="center"/>
              <w:rPr>
                <w:rFonts w:ascii="宋体" w:hAnsi="宋体"/>
                <w:szCs w:val="21"/>
              </w:rPr>
            </w:pPr>
            <w:r>
              <w:rPr>
                <w:rFonts w:hint="eastAsia" w:ascii="宋体" w:hAnsi="宋体"/>
                <w:szCs w:val="21"/>
              </w:rPr>
              <w:t>烟尘</w:t>
            </w:r>
          </w:p>
        </w:tc>
        <w:tc>
          <w:tcPr>
            <w:tcW w:w="1704" w:type="dxa"/>
            <w:tcBorders>
              <w:tl2br w:val="nil"/>
              <w:tr2bl w:val="nil"/>
            </w:tcBorders>
            <w:vAlign w:val="center"/>
          </w:tcPr>
          <w:p>
            <w:pPr>
              <w:jc w:val="center"/>
              <w:rPr>
                <w:rFonts w:hint="eastAsia" w:ascii="宋体" w:hAnsi="宋体" w:eastAsiaTheme="minorEastAsia"/>
                <w:szCs w:val="21"/>
                <w:lang w:val="en-US" w:eastAsia="zh-CN"/>
              </w:rPr>
            </w:pPr>
            <w:r>
              <w:rPr>
                <w:rFonts w:hint="eastAsia" w:ascii="宋体" w:hAnsi="宋体"/>
                <w:szCs w:val="21"/>
                <w:lang w:val="en-US" w:eastAsia="zh-CN"/>
              </w:rPr>
              <w:t>66.42</w:t>
            </w:r>
          </w:p>
        </w:tc>
        <w:tc>
          <w:tcPr>
            <w:tcW w:w="1705" w:type="dxa"/>
            <w:tcBorders>
              <w:tl2br w:val="nil"/>
              <w:tr2bl w:val="nil"/>
            </w:tcBorders>
            <w:vAlign w:val="center"/>
          </w:tcPr>
          <w:p>
            <w:pPr>
              <w:jc w:val="center"/>
              <w:rPr>
                <w:rFonts w:ascii="宋体" w:hAnsi="宋体"/>
                <w:szCs w:val="21"/>
              </w:rPr>
            </w:pPr>
            <w:r>
              <w:rPr>
                <w:rFonts w:hint="eastAsia" w:ascii="宋体" w:hAnsi="宋体"/>
                <w:szCs w:val="21"/>
              </w:rPr>
              <w:t>/</w:t>
            </w:r>
          </w:p>
        </w:tc>
        <w:tc>
          <w:tcPr>
            <w:tcW w:w="1705" w:type="dxa"/>
            <w:tcBorders>
              <w:tl2br w:val="nil"/>
              <w:tr2bl w:val="nil"/>
            </w:tcBorders>
            <w:vAlign w:val="center"/>
          </w:tcPr>
          <w:p>
            <w:pPr>
              <w:jc w:val="center"/>
              <w:rPr>
                <w:rFonts w:ascii="宋体" w:hAnsi="宋体"/>
                <w:szCs w:val="21"/>
              </w:rPr>
            </w:pPr>
            <w:r>
              <w:rPr>
                <w:rFonts w:hint="eastAsia" w:ascii="宋体" w:hAnsi="宋体"/>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26" w:type="dxa"/>
            <w:vMerge w:val="continue"/>
            <w:tcBorders>
              <w:tl2br w:val="nil"/>
              <w:tr2bl w:val="nil"/>
            </w:tcBorders>
            <w:vAlign w:val="center"/>
          </w:tcPr>
          <w:p>
            <w:pPr>
              <w:jc w:val="center"/>
              <w:rPr>
                <w:rFonts w:ascii="宋体" w:hAnsi="宋体"/>
                <w:szCs w:val="21"/>
              </w:rPr>
            </w:pPr>
          </w:p>
        </w:tc>
        <w:tc>
          <w:tcPr>
            <w:tcW w:w="1882" w:type="dxa"/>
            <w:tcBorders>
              <w:tl2br w:val="nil"/>
              <w:tr2bl w:val="nil"/>
            </w:tcBorders>
            <w:vAlign w:val="center"/>
          </w:tcPr>
          <w:p>
            <w:pPr>
              <w:jc w:val="center"/>
              <w:rPr>
                <w:rFonts w:ascii="宋体" w:hAnsi="宋体"/>
                <w:szCs w:val="21"/>
              </w:rPr>
            </w:pPr>
            <w:r>
              <w:rPr>
                <w:rFonts w:hint="eastAsia" w:ascii="宋体" w:hAnsi="宋体"/>
                <w:szCs w:val="21"/>
              </w:rPr>
              <w:t>二氧化硫</w:t>
            </w:r>
          </w:p>
        </w:tc>
        <w:tc>
          <w:tcPr>
            <w:tcW w:w="1704" w:type="dxa"/>
            <w:tcBorders>
              <w:tl2br w:val="nil"/>
              <w:tr2bl w:val="nil"/>
            </w:tcBorders>
            <w:vAlign w:val="center"/>
          </w:tcPr>
          <w:p>
            <w:pPr>
              <w:jc w:val="center"/>
              <w:rPr>
                <w:rFonts w:hint="eastAsia" w:ascii="宋体" w:hAnsi="宋体" w:eastAsiaTheme="minorEastAsia"/>
                <w:szCs w:val="21"/>
                <w:lang w:val="en-US" w:eastAsia="zh-CN"/>
              </w:rPr>
            </w:pPr>
            <w:r>
              <w:rPr>
                <w:rFonts w:hint="eastAsia" w:ascii="宋体" w:hAnsi="宋体"/>
                <w:szCs w:val="21"/>
                <w:lang w:val="en-US" w:eastAsia="zh-CN"/>
              </w:rPr>
              <w:t>157.92</w:t>
            </w:r>
          </w:p>
        </w:tc>
        <w:tc>
          <w:tcPr>
            <w:tcW w:w="1705" w:type="dxa"/>
            <w:tcBorders>
              <w:tl2br w:val="nil"/>
              <w:tr2bl w:val="nil"/>
            </w:tcBorders>
            <w:vAlign w:val="center"/>
          </w:tcPr>
          <w:p>
            <w:pPr>
              <w:jc w:val="center"/>
              <w:rPr>
                <w:rFonts w:hint="eastAsia" w:ascii="宋体" w:hAnsi="宋体" w:eastAsiaTheme="minorEastAsia"/>
                <w:szCs w:val="21"/>
                <w:lang w:val="en-US" w:eastAsia="zh-CN"/>
              </w:rPr>
            </w:pPr>
            <w:r>
              <w:rPr>
                <w:rFonts w:hint="eastAsia" w:ascii="宋体" w:hAnsi="宋体"/>
                <w:szCs w:val="21"/>
                <w:lang w:val="en-US" w:eastAsia="zh-CN"/>
              </w:rPr>
              <w:t>1809.5</w:t>
            </w:r>
          </w:p>
        </w:tc>
        <w:tc>
          <w:tcPr>
            <w:tcW w:w="1705" w:type="dxa"/>
            <w:tcBorders>
              <w:tl2br w:val="nil"/>
              <w:tr2bl w:val="nil"/>
            </w:tcBorders>
            <w:vAlign w:val="center"/>
          </w:tcPr>
          <w:p>
            <w:pPr>
              <w:jc w:val="center"/>
              <w:rPr>
                <w:rFonts w:ascii="宋体" w:hAnsi="宋体"/>
                <w:szCs w:val="21"/>
              </w:rPr>
            </w:pPr>
            <w:r>
              <w:rPr>
                <w:rFonts w:hint="eastAsia" w:ascii="宋体" w:hAnsi="宋体"/>
                <w:szCs w:val="21"/>
              </w:rPr>
              <w:t>达标</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26" w:type="dxa"/>
            <w:vMerge w:val="continue"/>
            <w:tcBorders>
              <w:tl2br w:val="nil"/>
              <w:tr2bl w:val="nil"/>
            </w:tcBorders>
            <w:vAlign w:val="center"/>
          </w:tcPr>
          <w:p>
            <w:pPr>
              <w:jc w:val="center"/>
              <w:rPr>
                <w:rFonts w:ascii="宋体" w:hAnsi="宋体"/>
                <w:szCs w:val="21"/>
              </w:rPr>
            </w:pPr>
          </w:p>
        </w:tc>
        <w:tc>
          <w:tcPr>
            <w:tcW w:w="1882" w:type="dxa"/>
            <w:tcBorders>
              <w:tl2br w:val="nil"/>
              <w:tr2bl w:val="nil"/>
            </w:tcBorders>
            <w:vAlign w:val="center"/>
          </w:tcPr>
          <w:p>
            <w:pPr>
              <w:jc w:val="center"/>
              <w:rPr>
                <w:rFonts w:ascii="宋体" w:hAnsi="宋体"/>
                <w:szCs w:val="21"/>
              </w:rPr>
            </w:pPr>
            <w:r>
              <w:rPr>
                <w:rFonts w:hint="eastAsia" w:ascii="宋体" w:hAnsi="宋体"/>
                <w:szCs w:val="21"/>
              </w:rPr>
              <w:t>氮氧化物</w:t>
            </w:r>
          </w:p>
        </w:tc>
        <w:tc>
          <w:tcPr>
            <w:tcW w:w="1704" w:type="dxa"/>
            <w:tcBorders>
              <w:tl2br w:val="nil"/>
              <w:tr2bl w:val="nil"/>
            </w:tcBorders>
            <w:vAlign w:val="center"/>
          </w:tcPr>
          <w:p>
            <w:pPr>
              <w:jc w:val="center"/>
              <w:rPr>
                <w:rFonts w:hint="eastAsia" w:ascii="宋体" w:hAnsi="宋体" w:eastAsiaTheme="minorEastAsia"/>
                <w:szCs w:val="21"/>
                <w:lang w:val="en-US" w:eastAsia="zh-CN"/>
              </w:rPr>
            </w:pPr>
            <w:r>
              <w:rPr>
                <w:rFonts w:hint="eastAsia" w:ascii="宋体" w:hAnsi="宋体"/>
                <w:szCs w:val="21"/>
                <w:lang w:val="en-US" w:eastAsia="zh-CN"/>
              </w:rPr>
              <w:t>340.8</w:t>
            </w:r>
          </w:p>
        </w:tc>
        <w:tc>
          <w:tcPr>
            <w:tcW w:w="1705" w:type="dxa"/>
            <w:tcBorders>
              <w:tl2br w:val="nil"/>
              <w:tr2bl w:val="nil"/>
            </w:tcBorders>
            <w:vAlign w:val="center"/>
          </w:tcPr>
          <w:p>
            <w:pPr>
              <w:jc w:val="center"/>
              <w:rPr>
                <w:rFonts w:ascii="宋体" w:hAnsi="宋体"/>
                <w:szCs w:val="21"/>
              </w:rPr>
            </w:pPr>
            <w:r>
              <w:rPr>
                <w:rFonts w:hint="eastAsia" w:ascii="宋体" w:hAnsi="宋体"/>
                <w:szCs w:val="21"/>
                <w:lang w:val="en-US" w:eastAsia="zh-CN"/>
              </w:rPr>
              <w:t>1809.5</w:t>
            </w:r>
          </w:p>
        </w:tc>
        <w:tc>
          <w:tcPr>
            <w:tcW w:w="1705" w:type="dxa"/>
            <w:tcBorders>
              <w:tl2br w:val="nil"/>
              <w:tr2bl w:val="nil"/>
            </w:tcBorders>
            <w:vAlign w:val="center"/>
          </w:tcPr>
          <w:p>
            <w:pPr>
              <w:jc w:val="center"/>
              <w:rPr>
                <w:rFonts w:ascii="宋体" w:hAnsi="宋体"/>
                <w:szCs w:val="21"/>
              </w:rPr>
            </w:pPr>
            <w:r>
              <w:rPr>
                <w:rFonts w:hint="eastAsia" w:ascii="宋体" w:hAnsi="宋体"/>
                <w:szCs w:val="21"/>
              </w:rPr>
              <w:t>达标</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26" w:type="dxa"/>
            <w:tcBorders>
              <w:tl2br w:val="nil"/>
              <w:tr2bl w:val="nil"/>
            </w:tcBorders>
            <w:vAlign w:val="center"/>
          </w:tcPr>
          <w:p>
            <w:pPr>
              <w:jc w:val="center"/>
              <w:rPr>
                <w:rFonts w:ascii="宋体" w:hAnsi="宋体"/>
                <w:szCs w:val="21"/>
              </w:rPr>
            </w:pPr>
            <w:r>
              <w:rPr>
                <w:rFonts w:hint="eastAsia" w:ascii="宋体" w:hAnsi="宋体"/>
                <w:szCs w:val="21"/>
              </w:rPr>
              <w:t>备注</w:t>
            </w:r>
          </w:p>
        </w:tc>
        <w:tc>
          <w:tcPr>
            <w:tcW w:w="6996" w:type="dxa"/>
            <w:gridSpan w:val="4"/>
            <w:tcBorders>
              <w:tl2br w:val="nil"/>
              <w:tr2bl w:val="nil"/>
            </w:tcBorders>
            <w:vAlign w:val="center"/>
          </w:tcPr>
          <w:p>
            <w:pPr>
              <w:jc w:val="left"/>
              <w:rPr>
                <w:rFonts w:ascii="宋体" w:hAnsi="宋体"/>
                <w:szCs w:val="21"/>
              </w:rPr>
            </w:pPr>
            <w:r>
              <w:rPr>
                <w:rFonts w:hint="eastAsia" w:ascii="宋体" w:hAnsi="宋体"/>
                <w:szCs w:val="21"/>
              </w:rPr>
              <w:t>2#机组按年利用小时数7</w:t>
            </w:r>
            <w:r>
              <w:rPr>
                <w:rFonts w:hint="eastAsia" w:ascii="宋体" w:hAnsi="宋体"/>
                <w:szCs w:val="21"/>
                <w:lang w:val="en-US" w:eastAsia="zh-CN"/>
              </w:rPr>
              <w:t>2</w:t>
            </w:r>
            <w:r>
              <w:rPr>
                <w:rFonts w:hint="eastAsia" w:ascii="宋体" w:hAnsi="宋体"/>
                <w:szCs w:val="21"/>
              </w:rPr>
              <w:t>00计。</w:t>
            </w:r>
          </w:p>
        </w:tc>
      </w:tr>
    </w:tbl>
    <w:p>
      <w:pPr>
        <w:pStyle w:val="2"/>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宋体" w:cs="Times New Roman"/>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宋体" w:cs="Times New Roman"/>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宋体" w:cs="Times New Roman"/>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宋体" w:cs="Times New Roman"/>
          <w:b/>
          <w:bCs/>
          <w:sz w:val="32"/>
          <w:szCs w:val="32"/>
          <w:lang w:val="en-US" w:eastAsia="zh-CN"/>
        </w:rPr>
      </w:pPr>
    </w:p>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宋体" w:cs="Times New Roman"/>
          <w:b/>
          <w:bCs/>
          <w:sz w:val="32"/>
          <w:szCs w:val="32"/>
          <w:lang w:val="en-US" w:eastAsia="zh-CN"/>
        </w:rPr>
      </w:pPr>
      <w:bookmarkStart w:id="51" w:name="_Toc21431"/>
      <w:r>
        <w:rPr>
          <w:rFonts w:hint="eastAsia" w:ascii="Times New Roman" w:hAnsi="Times New Roman" w:eastAsia="宋体" w:cs="Times New Roman"/>
          <w:b/>
          <w:bCs/>
          <w:sz w:val="32"/>
          <w:szCs w:val="32"/>
          <w:lang w:val="en-US" w:eastAsia="zh-CN"/>
        </w:rPr>
        <w:t>10环境管理检查</w:t>
      </w:r>
      <w:bookmarkEnd w:id="51"/>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imes New Roman" w:hAnsi="Times New Roman" w:eastAsia="宋体" w:cs="Times New Roman"/>
          <w:b/>
          <w:bCs/>
          <w:sz w:val="30"/>
          <w:szCs w:val="30"/>
          <w:lang w:val="en-US" w:eastAsia="zh-CN"/>
        </w:rPr>
      </w:pPr>
      <w:bookmarkStart w:id="52" w:name="_Toc29810"/>
      <w:r>
        <w:rPr>
          <w:rFonts w:hint="eastAsia" w:ascii="Times New Roman" w:hAnsi="Times New Roman" w:eastAsia="宋体" w:cs="Times New Roman"/>
          <w:b/>
          <w:bCs/>
          <w:sz w:val="30"/>
          <w:szCs w:val="30"/>
          <w:lang w:val="en-US" w:eastAsia="zh-CN"/>
        </w:rPr>
        <w:t>10.1环境保护手续履行情况</w:t>
      </w:r>
      <w:bookmarkEnd w:id="52"/>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宋体" w:hAnsi="宋体" w:eastAsia="宋体"/>
          <w:sz w:val="28"/>
          <w:szCs w:val="28"/>
        </w:rPr>
      </w:pPr>
      <w:r>
        <w:rPr>
          <w:rFonts w:hint="eastAsia" w:ascii="Times New Roman" w:hAnsi="Times New Roman" w:eastAsia="宋体" w:cs="Times New Roman"/>
          <w:b w:val="0"/>
          <w:bCs w:val="0"/>
          <w:sz w:val="28"/>
          <w:szCs w:val="28"/>
          <w:lang w:val="en-US" w:eastAsia="zh-CN"/>
        </w:rPr>
        <w:t>新疆国泰新华化工有限责任公司</w:t>
      </w:r>
      <w:r>
        <w:rPr>
          <w:rFonts w:hint="eastAsia" w:ascii="宋体" w:hAnsi="宋体" w:eastAsia="宋体"/>
          <w:sz w:val="28"/>
          <w:szCs w:val="28"/>
        </w:rPr>
        <w:t>委托新疆化工设计研究院有限责任公司于2015年5月完成了</w:t>
      </w:r>
      <w:r>
        <w:rPr>
          <w:rFonts w:hint="eastAsia" w:ascii="宋体" w:hAnsi="宋体" w:eastAsia="宋体"/>
          <w:sz w:val="28"/>
          <w:szCs w:val="28"/>
          <w:lang w:eastAsia="zh-CN"/>
        </w:rPr>
        <w:t>动力站</w:t>
      </w:r>
      <w:r>
        <w:rPr>
          <w:rFonts w:hint="eastAsia" w:ascii="宋体" w:hAnsi="宋体" w:eastAsia="宋体"/>
          <w:sz w:val="28"/>
          <w:szCs w:val="28"/>
        </w:rPr>
        <w:t>项目环境影响评价，新疆维吾尔自治区环境保护厅于</w:t>
      </w:r>
      <w:r>
        <w:rPr>
          <w:rFonts w:hint="eastAsia" w:ascii="宋体" w:hAnsi="宋体" w:eastAsia="宋体"/>
          <w:sz w:val="28"/>
          <w:szCs w:val="28"/>
          <w:lang w:val="en-US" w:eastAsia="zh-CN"/>
        </w:rPr>
        <w:t>2015</w:t>
      </w:r>
      <w:r>
        <w:rPr>
          <w:rFonts w:hint="eastAsia" w:ascii="宋体" w:hAnsi="宋体" w:eastAsia="宋体"/>
          <w:sz w:val="28"/>
          <w:szCs w:val="28"/>
        </w:rPr>
        <w:t>年</w:t>
      </w:r>
      <w:r>
        <w:rPr>
          <w:rFonts w:hint="eastAsia" w:ascii="宋体" w:hAnsi="宋体" w:eastAsia="宋体"/>
          <w:sz w:val="28"/>
          <w:szCs w:val="28"/>
          <w:lang w:val="en-US" w:eastAsia="zh-CN"/>
        </w:rPr>
        <w:t>7</w:t>
      </w:r>
      <w:r>
        <w:rPr>
          <w:rFonts w:hint="eastAsia" w:ascii="宋体" w:hAnsi="宋体" w:eastAsia="宋体"/>
          <w:sz w:val="28"/>
          <w:szCs w:val="28"/>
        </w:rPr>
        <w:t>月</w:t>
      </w:r>
      <w:r>
        <w:rPr>
          <w:rFonts w:hint="eastAsia" w:ascii="宋体" w:hAnsi="宋体" w:eastAsia="宋体"/>
          <w:sz w:val="28"/>
          <w:szCs w:val="28"/>
          <w:lang w:val="en-US" w:eastAsia="zh-CN"/>
        </w:rPr>
        <w:t>8日以</w:t>
      </w:r>
      <w:r>
        <w:rPr>
          <w:rFonts w:asciiTheme="minorEastAsia" w:hAnsiTheme="minorEastAsia" w:eastAsiaTheme="minorEastAsia"/>
          <w:sz w:val="28"/>
          <w:szCs w:val="28"/>
        </w:rPr>
        <w:t>新环函</w:t>
      </w:r>
      <w:r>
        <w:rPr>
          <w:rFonts w:hint="eastAsia" w:ascii="宋体" w:hAnsi="宋体" w:eastAsia="宋体" w:cs="宋体"/>
          <w:b w:val="0"/>
          <w:bCs w:val="0"/>
          <w:kern w:val="2"/>
          <w:sz w:val="28"/>
          <w:szCs w:val="28"/>
          <w:lang w:val="en-US" w:eastAsia="zh-CN" w:bidi="ar-SA"/>
        </w:rPr>
        <w:t>﹝</w:t>
      </w:r>
      <w:r>
        <w:rPr>
          <w:rFonts w:hint="eastAsia" w:ascii="宋体" w:hAnsi="宋体" w:eastAsia="宋体" w:cstheme="minorBidi"/>
          <w:b w:val="0"/>
          <w:bCs w:val="0"/>
          <w:kern w:val="2"/>
          <w:sz w:val="28"/>
          <w:szCs w:val="28"/>
          <w:lang w:val="en-US" w:eastAsia="zh-CN" w:bidi="ar-SA"/>
        </w:rPr>
        <w:t>2015</w:t>
      </w:r>
      <w:r>
        <w:rPr>
          <w:rFonts w:hint="eastAsia" w:ascii="宋体" w:hAnsi="宋体" w:eastAsia="宋体" w:cs="宋体"/>
          <w:b w:val="0"/>
          <w:bCs w:val="0"/>
          <w:kern w:val="2"/>
          <w:sz w:val="28"/>
          <w:szCs w:val="28"/>
          <w:lang w:val="en-US" w:eastAsia="zh-CN" w:bidi="ar-SA"/>
        </w:rPr>
        <w:t>﹞</w:t>
      </w:r>
      <w:r>
        <w:rPr>
          <w:rFonts w:hint="eastAsia" w:asciiTheme="minorEastAsia" w:hAnsiTheme="minorEastAsia" w:eastAsiaTheme="minorEastAsia"/>
          <w:sz w:val="28"/>
          <w:szCs w:val="28"/>
          <w:lang w:val="en-US" w:eastAsia="zh-CN"/>
        </w:rPr>
        <w:t>784</w:t>
      </w:r>
      <w:r>
        <w:rPr>
          <w:rFonts w:asciiTheme="minorEastAsia" w:hAnsiTheme="minorEastAsia" w:eastAsiaTheme="minorEastAsia"/>
          <w:sz w:val="28"/>
          <w:szCs w:val="28"/>
        </w:rPr>
        <w:t>号</w:t>
      </w:r>
      <w:r>
        <w:rPr>
          <w:rFonts w:hint="eastAsia" w:asciiTheme="minorEastAsia" w:hAnsiTheme="minorEastAsia"/>
          <w:sz w:val="28"/>
          <w:szCs w:val="28"/>
          <w:lang w:eastAsia="zh-CN"/>
        </w:rPr>
        <w:t>文</w:t>
      </w:r>
      <w:r>
        <w:rPr>
          <w:rFonts w:hint="eastAsia" w:ascii="宋体" w:hAnsi="宋体" w:eastAsia="宋体"/>
          <w:sz w:val="28"/>
          <w:szCs w:val="28"/>
        </w:rPr>
        <w:t>对项目</w:t>
      </w:r>
      <w:r>
        <w:rPr>
          <w:rFonts w:hint="eastAsia" w:ascii="宋体" w:hAnsi="宋体" w:eastAsia="宋体"/>
          <w:sz w:val="28"/>
          <w:szCs w:val="28"/>
          <w:lang w:eastAsia="zh-CN"/>
        </w:rPr>
        <w:t>予以</w:t>
      </w:r>
      <w:r>
        <w:rPr>
          <w:rFonts w:hint="eastAsia" w:ascii="宋体" w:hAnsi="宋体" w:eastAsia="宋体"/>
          <w:sz w:val="28"/>
          <w:szCs w:val="28"/>
        </w:rPr>
        <w:t>批复</w:t>
      </w:r>
      <w:r>
        <w:rPr>
          <w:rFonts w:hint="eastAsia" w:hAnsi="宋体" w:eastAsia="宋体"/>
          <w:sz w:val="28"/>
          <w:szCs w:val="28"/>
          <w:lang w:eastAsia="zh-CN"/>
        </w:rPr>
        <w:t>，</w:t>
      </w:r>
      <w:r>
        <w:rPr>
          <w:rFonts w:hint="eastAsia" w:hAnsi="宋体" w:eastAsia="宋体"/>
          <w:sz w:val="28"/>
          <w:szCs w:val="28"/>
          <w:lang w:val="en-US" w:eastAsia="zh-CN"/>
        </w:rPr>
        <w:t>2018年7月办理了排污许可证（证书编号：91652300754556857J001P），2018年7月委托新疆新环监测检测研究院（有限公司）开展项目竣工环境保护验收</w:t>
      </w:r>
      <w:r>
        <w:rPr>
          <w:rFonts w:hint="eastAsia" w:ascii="宋体" w:hAnsi="宋体" w:eastAsia="宋体"/>
          <w:sz w:val="28"/>
          <w:szCs w:val="28"/>
        </w:rPr>
        <w:t>。</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宋体" w:hAnsi="宋体" w:eastAsia="宋体"/>
          <w:b/>
          <w:bCs/>
          <w:sz w:val="30"/>
          <w:szCs w:val="30"/>
          <w:lang w:val="en-US" w:eastAsia="zh-CN"/>
        </w:rPr>
      </w:pPr>
      <w:bookmarkStart w:id="53" w:name="_Toc9740"/>
      <w:r>
        <w:rPr>
          <w:rFonts w:hint="eastAsia" w:ascii="宋体" w:hAnsi="宋体" w:eastAsia="宋体"/>
          <w:b/>
          <w:bCs/>
          <w:sz w:val="30"/>
          <w:szCs w:val="30"/>
          <w:lang w:val="en-US" w:eastAsia="zh-CN"/>
        </w:rPr>
        <w:t>10.2组织机构及规章管理制度情况</w:t>
      </w:r>
      <w:bookmarkEnd w:id="53"/>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宋体" w:hAnsi="宋体" w:eastAsia="宋体"/>
          <w:sz w:val="28"/>
          <w:szCs w:val="28"/>
          <w:lang w:val="en-US" w:eastAsia="zh-CN"/>
        </w:rPr>
      </w:pPr>
      <w:r>
        <w:rPr>
          <w:rFonts w:hint="eastAsia" w:hAnsi="宋体" w:eastAsia="宋体"/>
          <w:sz w:val="28"/>
          <w:szCs w:val="28"/>
          <w:lang w:val="en-US" w:eastAsia="zh-CN"/>
        </w:rPr>
        <w:t>新疆国泰新华化工有限责任公司</w:t>
      </w:r>
      <w:r>
        <w:rPr>
          <w:rFonts w:hint="eastAsia" w:ascii="宋体" w:hAnsi="宋体" w:eastAsia="宋体"/>
          <w:sz w:val="28"/>
          <w:szCs w:val="28"/>
          <w:lang w:val="en-US" w:eastAsia="zh-CN"/>
        </w:rPr>
        <w:t>建立环保管理组织机构和管理体系，下设安环</w:t>
      </w:r>
      <w:r>
        <w:rPr>
          <w:rFonts w:hint="eastAsia" w:hAnsi="宋体" w:eastAsia="宋体"/>
          <w:sz w:val="28"/>
          <w:szCs w:val="28"/>
          <w:lang w:val="en-US" w:eastAsia="zh-CN"/>
        </w:rPr>
        <w:t>部</w:t>
      </w:r>
      <w:r>
        <w:rPr>
          <w:rFonts w:hint="eastAsia" w:ascii="宋体" w:hAnsi="宋体" w:eastAsia="宋体"/>
          <w:sz w:val="28"/>
          <w:szCs w:val="28"/>
          <w:lang w:val="en-US" w:eastAsia="zh-CN"/>
        </w:rPr>
        <w:t>共7人，</w:t>
      </w:r>
      <w:r>
        <w:rPr>
          <w:rFonts w:hint="eastAsia" w:hAnsi="宋体" w:eastAsia="宋体"/>
          <w:sz w:val="28"/>
          <w:szCs w:val="28"/>
          <w:lang w:val="en-US" w:eastAsia="zh-CN"/>
        </w:rPr>
        <w:t>各事业部均设有安环科，有专人负责</w:t>
      </w:r>
      <w:r>
        <w:rPr>
          <w:rFonts w:hint="eastAsia" w:ascii="宋体" w:hAnsi="宋体" w:eastAsia="宋体"/>
          <w:sz w:val="28"/>
          <w:szCs w:val="28"/>
          <w:lang w:val="en-US" w:eastAsia="zh-CN"/>
        </w:rPr>
        <w:t>环保工作。</w:t>
      </w:r>
      <w:r>
        <w:rPr>
          <w:rFonts w:hint="eastAsia" w:hAnsi="宋体" w:eastAsia="宋体"/>
          <w:sz w:val="28"/>
          <w:szCs w:val="28"/>
          <w:lang w:val="en-US" w:eastAsia="zh-CN"/>
        </w:rPr>
        <w:t>新疆国泰新华化工有限责任公司</w:t>
      </w:r>
      <w:r>
        <w:rPr>
          <w:rFonts w:hint="eastAsia" w:ascii="宋体" w:hAnsi="宋体" w:eastAsia="宋体"/>
          <w:sz w:val="28"/>
          <w:szCs w:val="28"/>
          <w:lang w:val="en-US" w:eastAsia="zh-CN"/>
        </w:rPr>
        <w:t>制定了各类污染物管理制度、环保工作考核办法等18项制度和办法。动力站每年制定包括环保设备的维修、维护保养及年检方案等设备维修计划,保证环保设施</w:t>
      </w:r>
      <w:r>
        <w:rPr>
          <w:rFonts w:hint="eastAsia" w:hAnsi="宋体" w:eastAsia="宋体"/>
          <w:sz w:val="28"/>
          <w:szCs w:val="28"/>
          <w:lang w:val="en-US" w:eastAsia="zh-CN"/>
        </w:rPr>
        <w:t>正常</w:t>
      </w:r>
      <w:r>
        <w:rPr>
          <w:rFonts w:hint="eastAsia" w:ascii="宋体" w:hAnsi="宋体" w:eastAsia="宋体"/>
          <w:sz w:val="28"/>
          <w:szCs w:val="28"/>
          <w:lang w:val="en-US" w:eastAsia="zh-CN"/>
        </w:rPr>
        <w:t>平稳运行。</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宋体" w:hAnsi="宋体" w:eastAsia="宋体"/>
          <w:sz w:val="28"/>
          <w:szCs w:val="28"/>
          <w:lang w:val="en-US" w:eastAsia="zh-CN"/>
        </w:rPr>
      </w:pPr>
      <w:bookmarkStart w:id="54" w:name="_Toc29579"/>
      <w:r>
        <w:rPr>
          <w:rFonts w:hint="eastAsia" w:ascii="宋体" w:hAnsi="宋体" w:eastAsia="宋体"/>
          <w:b/>
          <w:bCs/>
          <w:sz w:val="30"/>
          <w:szCs w:val="30"/>
          <w:lang w:val="en-US" w:eastAsia="zh-CN"/>
        </w:rPr>
        <w:t>10.3固体废物产生、处理情况</w:t>
      </w:r>
      <w:bookmarkEnd w:id="54"/>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ascii="宋体" w:hAnsi="宋体" w:eastAsia="宋体"/>
          <w:sz w:val="28"/>
          <w:szCs w:val="28"/>
          <w:lang w:val="en-US" w:eastAsia="zh-CN"/>
        </w:rPr>
        <w:t>动力站产生的固体废物主要为</w:t>
      </w:r>
      <w:r>
        <w:rPr>
          <w:rFonts w:hint="eastAsia" w:ascii="宋体" w:hAnsi="宋体" w:eastAsia="宋体"/>
          <w:b w:val="0"/>
          <w:bCs w:val="0"/>
          <w:sz w:val="28"/>
          <w:szCs w:val="28"/>
          <w:lang w:val="en-US" w:eastAsia="zh-CN"/>
        </w:rPr>
        <w:t>燃煤产生的灰渣、</w:t>
      </w:r>
      <w:r>
        <w:rPr>
          <w:rFonts w:hint="eastAsia" w:hAnsi="宋体" w:eastAsia="宋体"/>
          <w:b w:val="0"/>
          <w:bCs w:val="0"/>
          <w:sz w:val="28"/>
          <w:szCs w:val="28"/>
          <w:lang w:val="en-US" w:eastAsia="zh-CN"/>
        </w:rPr>
        <w:t>脱硫石膏、</w:t>
      </w:r>
      <w:r>
        <w:rPr>
          <w:rFonts w:hint="eastAsia" w:ascii="宋体" w:hAnsi="宋体" w:eastAsia="宋体"/>
          <w:b w:val="0"/>
          <w:bCs w:val="0"/>
          <w:sz w:val="28"/>
          <w:szCs w:val="28"/>
          <w:lang w:val="en-US" w:eastAsia="zh-CN"/>
        </w:rPr>
        <w:t>粉煤灰、</w:t>
      </w:r>
      <w:r>
        <w:rPr>
          <w:rFonts w:hint="eastAsia" w:hAnsi="宋体" w:eastAsia="宋体"/>
          <w:b w:val="0"/>
          <w:bCs w:val="0"/>
          <w:sz w:val="28"/>
          <w:szCs w:val="28"/>
          <w:lang w:val="en-US" w:eastAsia="zh-CN"/>
        </w:rPr>
        <w:t>石子煤、工业废水处理系统污泥、厂区生活垃圾；截止验收期间，脱硫石膏产生量6582.22t、粉煤灰9662.03t、石子煤7t、全部送至新疆神彩东晟环保科技有限公司处理，工业废水处理系统污泥未产生。厂区生活垃圾产生量55t，由厂区统一清运。</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危险废物为</w:t>
      </w:r>
      <w:r>
        <w:rPr>
          <w:rFonts w:hint="eastAsia" w:ascii="宋体" w:hAnsi="宋体" w:eastAsia="宋体"/>
          <w:b w:val="0"/>
          <w:bCs w:val="0"/>
          <w:sz w:val="28"/>
          <w:szCs w:val="28"/>
          <w:lang w:val="en-US" w:eastAsia="zh-CN"/>
        </w:rPr>
        <w:t>废</w:t>
      </w:r>
      <w:r>
        <w:rPr>
          <w:rFonts w:hint="eastAsia" w:hAnsi="宋体" w:eastAsia="宋体"/>
          <w:b w:val="0"/>
          <w:bCs w:val="0"/>
          <w:sz w:val="28"/>
          <w:szCs w:val="28"/>
          <w:lang w:val="en-US" w:eastAsia="zh-CN"/>
        </w:rPr>
        <w:t>脱硝</w:t>
      </w:r>
      <w:r>
        <w:rPr>
          <w:rFonts w:hint="eastAsia" w:ascii="宋体" w:hAnsi="宋体" w:eastAsia="宋体"/>
          <w:b w:val="0"/>
          <w:bCs w:val="0"/>
          <w:sz w:val="28"/>
          <w:szCs w:val="28"/>
          <w:lang w:val="en-US" w:eastAsia="zh-CN"/>
        </w:rPr>
        <w:t>催化剂</w:t>
      </w:r>
      <w:r>
        <w:rPr>
          <w:rFonts w:hint="eastAsia" w:hAnsi="宋体" w:eastAsia="宋体"/>
          <w:b w:val="0"/>
          <w:bCs w:val="0"/>
          <w:sz w:val="28"/>
          <w:szCs w:val="28"/>
          <w:lang w:val="en-US" w:eastAsia="zh-CN"/>
        </w:rPr>
        <w:t>（772-007-50）和</w:t>
      </w:r>
      <w:r>
        <w:rPr>
          <w:rFonts w:hint="eastAsia" w:ascii="宋体" w:hAnsi="宋体" w:eastAsia="宋体"/>
          <w:b w:val="0"/>
          <w:bCs w:val="0"/>
          <w:sz w:val="28"/>
          <w:szCs w:val="28"/>
          <w:lang w:val="en-US" w:eastAsia="zh-CN"/>
        </w:rPr>
        <w:t>废机油</w:t>
      </w:r>
      <w:r>
        <w:rPr>
          <w:rFonts w:hint="eastAsia" w:hAnsi="宋体" w:eastAsia="宋体"/>
          <w:b w:val="0"/>
          <w:bCs w:val="0"/>
          <w:sz w:val="28"/>
          <w:szCs w:val="28"/>
          <w:lang w:val="en-US" w:eastAsia="zh-CN"/>
        </w:rPr>
        <w:t>（900-249-089）。</w:t>
      </w:r>
      <w:r>
        <w:rPr>
          <w:rFonts w:hint="eastAsia" w:ascii="宋体" w:hAnsi="宋体" w:eastAsia="宋体"/>
          <w:b w:val="0"/>
          <w:bCs w:val="0"/>
          <w:sz w:val="28"/>
          <w:szCs w:val="28"/>
          <w:lang w:val="en-US" w:eastAsia="zh-CN"/>
        </w:rPr>
        <w:t>废脱硝催化剂为危险废物一般5年更换一次，</w:t>
      </w:r>
      <w:r>
        <w:rPr>
          <w:rFonts w:hint="eastAsia" w:hAnsi="宋体" w:eastAsia="宋体"/>
          <w:b w:val="0"/>
          <w:bCs w:val="0"/>
          <w:sz w:val="28"/>
          <w:szCs w:val="28"/>
          <w:lang w:val="en-US" w:eastAsia="zh-CN"/>
        </w:rPr>
        <w:t>验收期间未产生，产生后送至危废库暂存，</w:t>
      </w:r>
      <w:r>
        <w:rPr>
          <w:rFonts w:hint="eastAsia" w:ascii="宋体" w:hAnsi="宋体" w:eastAsia="宋体"/>
          <w:b w:val="0"/>
          <w:bCs w:val="0"/>
          <w:sz w:val="28"/>
          <w:szCs w:val="28"/>
          <w:lang w:val="en-US" w:eastAsia="zh-CN"/>
        </w:rPr>
        <w:t>由有资质单位回收</w:t>
      </w:r>
      <w:r>
        <w:rPr>
          <w:rFonts w:hint="eastAsia" w:hAnsi="宋体" w:eastAsia="宋体"/>
          <w:b w:val="0"/>
          <w:bCs w:val="0"/>
          <w:sz w:val="28"/>
          <w:szCs w:val="28"/>
          <w:lang w:val="en-US" w:eastAsia="zh-CN"/>
        </w:rPr>
        <w:t>。截止验收期间，废机油全厂产生量为42.3t（动力站不单独统计），存放在危废暂存库，送往新疆聚力环保科技有限公司进行回收利用。</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55" w:name="_Toc19222"/>
      <w:r>
        <w:rPr>
          <w:rFonts w:hint="eastAsia" w:hAnsi="宋体" w:eastAsia="宋体"/>
          <w:b/>
          <w:bCs/>
          <w:sz w:val="30"/>
          <w:szCs w:val="30"/>
          <w:lang w:val="en-US" w:eastAsia="zh-CN"/>
        </w:rPr>
        <w:t>10.4环境风险防范措施及应急预案落实情况</w:t>
      </w:r>
      <w:bookmarkEnd w:id="55"/>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本项目在投产前，根据自身生产工艺特点，针对输煤意外起火和液氨泄露等重大事故编制了相应的应急预案，形成应急体系；成立了应急领导组织机构、明确职责和责任人、确定相应应急程序和步骤、应急防护和救护措施等。公司定期举行突发应急事故演练，确保事故发生时能将事故程度和范围降到最低，确保人员不受或减少伤害。目前，新疆国泰新华化工有限责任公司已经编制完成《新疆国泰新华化工有限责任公司突发环境事件应急预案》，并于2016年7月29日在准东经济技术开发区环保局备案（备案编号：652325-2016-03-L），其中危险化学品已在新疆维吾尔自治区危险化学品登记注册管理办公室登记（证书编号：652310093）。</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针对输煤系统，专门安装了喷淋等装置，高温天气重点堆煤区域采取洒水降温，防止燃煤自燃；氨区装有氨气连续监测装置、</w:t>
      </w:r>
      <w:r>
        <w:rPr>
          <w:rFonts w:hint="eastAsia" w:hAnsi="宋体" w:eastAsia="宋体"/>
          <w:b w:val="0"/>
          <w:bCs w:val="0"/>
          <w:color w:val="000000" w:themeColor="text1"/>
          <w:sz w:val="28"/>
          <w:szCs w:val="28"/>
          <w:lang w:val="en-US" w:eastAsia="zh-CN"/>
        </w:rPr>
        <w:t>9个可燃气体报警器</w:t>
      </w:r>
      <w:r>
        <w:rPr>
          <w:rFonts w:hint="eastAsia" w:hAnsi="宋体" w:eastAsia="宋体"/>
          <w:b w:val="0"/>
          <w:bCs w:val="0"/>
          <w:sz w:val="28"/>
          <w:szCs w:val="28"/>
          <w:lang w:val="en-US" w:eastAsia="zh-CN"/>
        </w:rPr>
        <w:t>和水喷淋系统，一旦监测到氨浓度异常，自动开启喷淋系统并报警；氨区设置围堰，发生事故时围堰可形成事故废液池，确保液氨不外泄范围不扩大；</w:t>
      </w:r>
      <w:r>
        <w:rPr>
          <w:rFonts w:hint="eastAsia" w:hAnsi="宋体" w:eastAsia="宋体"/>
          <w:b w:val="0"/>
          <w:bCs w:val="0"/>
          <w:color w:val="000000" w:themeColor="text1"/>
          <w:sz w:val="28"/>
          <w:szCs w:val="28"/>
          <w:lang w:val="en-US" w:eastAsia="zh-CN"/>
        </w:rPr>
        <w:t>油罐区设有围堰、2个可燃气体报警器、消防栓、消防沙和铁锹等消防设施，能够及时清理泄漏物和灭火。</w:t>
      </w:r>
      <w:r>
        <w:rPr>
          <w:rFonts w:hint="eastAsia" w:hAnsi="宋体" w:eastAsia="宋体"/>
          <w:b w:val="0"/>
          <w:bCs w:val="0"/>
          <w:sz w:val="28"/>
          <w:szCs w:val="28"/>
          <w:lang w:val="en-US" w:eastAsia="zh-CN"/>
        </w:rPr>
        <w:t>液氨和油储罐区、煤场、含煤废水处理池、脱硫区地面均进行防腐防渗施工，确保废水不下渗污染地下水。</w:t>
      </w:r>
      <w:r>
        <w:rPr>
          <w:rFonts w:hint="eastAsia" w:hAnsi="宋体" w:eastAsia="宋体"/>
          <w:b w:val="0"/>
          <w:bCs w:val="0"/>
          <w:color w:val="000000" w:themeColor="text1"/>
          <w:sz w:val="28"/>
          <w:szCs w:val="28"/>
          <w:lang w:val="en-US" w:eastAsia="zh-CN"/>
        </w:rPr>
        <w:t>动力站供氢站按照有关设计规范选择质量好的设备、管道、管件，防止气体泄露，安装6个可燃气体报警器，并定期对装置和管线进行检查，保证设备正常运行。</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56" w:name="_Toc3979"/>
      <w:r>
        <w:rPr>
          <w:rFonts w:hint="eastAsia" w:hAnsi="宋体" w:eastAsia="宋体"/>
          <w:b/>
          <w:bCs/>
          <w:sz w:val="30"/>
          <w:szCs w:val="30"/>
          <w:lang w:val="en-US" w:eastAsia="zh-CN"/>
        </w:rPr>
        <w:t>10.5厂区污染源排放口规范化检查</w:t>
      </w:r>
      <w:bookmarkEnd w:id="56"/>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动力站锅炉废气经过脱硝、除尘、脱硫处理后通过210m的烟囱排入大气，烟囱已设置标识牌；脱硝装置、除尘设施和脱硫装置进出口均设置了规范化采样平台和监测孔；输煤系统、原煤斗、电石渣仓、石灰石仓和灰库除尘器均按照环评要求对排气筒进行加高，并开设监测孔和采样平台；污水处理系统均在封闭厂房内并设有标识牌；电石渣仓、灰库、石灰石库和脱硫石膏库等固废堆放场所均设置标识标牌；厂区内污染物排放口均按环保要求进行规范化处理。</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57" w:name="_Toc32606"/>
      <w:r>
        <w:rPr>
          <w:rFonts w:hint="eastAsia" w:hAnsi="宋体" w:eastAsia="宋体"/>
          <w:b/>
          <w:bCs/>
          <w:sz w:val="30"/>
          <w:szCs w:val="30"/>
          <w:lang w:val="en-US" w:eastAsia="zh-CN"/>
        </w:rPr>
        <w:t>10.6排污许可证执行情况</w:t>
      </w:r>
      <w:bookmarkEnd w:id="57"/>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宋体" w:hAnsi="宋体" w:eastAsia="宋体" w:cstheme="minorBidi"/>
          <w:b w:val="0"/>
          <w:bCs w:val="0"/>
          <w:kern w:val="2"/>
          <w:sz w:val="28"/>
          <w:szCs w:val="28"/>
          <w:lang w:val="en-US" w:eastAsia="zh-CN" w:bidi="ar-SA"/>
        </w:rPr>
        <w:t>动力站于2017年7月办理排污许可证。截止验收期间，动力站污染物排放满足排污许可证标准限值要求，并严格按照控制污染物排放许可制的要求落实了排污许可证执行报告制度。</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10"/>
          <w:szCs w:val="10"/>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hAnsi="宋体" w:eastAsia="宋体"/>
          <w:b/>
          <w:bCs/>
          <w:sz w:val="32"/>
          <w:szCs w:val="32"/>
          <w:lang w:val="en-US" w:eastAsia="zh-CN"/>
        </w:rPr>
      </w:pPr>
      <w:bookmarkStart w:id="58" w:name="_Toc23809"/>
      <w:r>
        <w:rPr>
          <w:rFonts w:hint="eastAsia" w:hAnsi="宋体" w:eastAsia="宋体"/>
          <w:b/>
          <w:bCs/>
          <w:sz w:val="32"/>
          <w:szCs w:val="32"/>
          <w:lang w:val="en-US" w:eastAsia="zh-CN"/>
        </w:rPr>
        <w:t>11验收监测结论及建议</w:t>
      </w:r>
      <w:bookmarkEnd w:id="58"/>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59" w:name="_Toc20147"/>
      <w:r>
        <w:rPr>
          <w:rFonts w:hint="eastAsia" w:hAnsi="宋体" w:eastAsia="宋体"/>
          <w:b/>
          <w:bCs/>
          <w:sz w:val="30"/>
          <w:szCs w:val="30"/>
          <w:lang w:val="en-US" w:eastAsia="zh-CN"/>
        </w:rPr>
        <w:t>11.1环境保护设施调试效果</w:t>
      </w:r>
      <w:bookmarkEnd w:id="59"/>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宋体" w:hAnsi="宋体" w:eastAsia="宋体" w:cstheme="minorBidi"/>
          <w:b w:val="0"/>
          <w:bCs w:val="0"/>
          <w:kern w:val="2"/>
          <w:sz w:val="28"/>
          <w:szCs w:val="28"/>
          <w:lang w:val="en-US" w:eastAsia="zh-CN" w:bidi="ar-SA"/>
        </w:rPr>
      </w:pPr>
      <w:r>
        <w:rPr>
          <w:rFonts w:hint="eastAsia" w:ascii="宋体" w:hAnsi="宋体" w:eastAsia="宋体" w:cstheme="minorBidi"/>
          <w:b w:val="0"/>
          <w:bCs w:val="0"/>
          <w:kern w:val="2"/>
          <w:sz w:val="28"/>
          <w:szCs w:val="28"/>
          <w:lang w:val="en-US" w:eastAsia="zh-CN" w:bidi="ar-SA"/>
        </w:rPr>
        <w:t>本项目</w:t>
      </w:r>
      <w:r>
        <w:rPr>
          <w:rFonts w:hint="eastAsia" w:hAnsi="宋体" w:eastAsia="宋体" w:cstheme="minorBidi"/>
          <w:b w:val="0"/>
          <w:bCs w:val="0"/>
          <w:kern w:val="2"/>
          <w:sz w:val="28"/>
          <w:szCs w:val="28"/>
          <w:lang w:val="en-US" w:eastAsia="zh-CN" w:bidi="ar-SA"/>
        </w:rPr>
        <w:t>工业</w:t>
      </w:r>
      <w:r>
        <w:rPr>
          <w:rFonts w:hint="eastAsia" w:ascii="宋体" w:hAnsi="宋体" w:eastAsia="宋体" w:cstheme="minorBidi"/>
          <w:b w:val="0"/>
          <w:bCs w:val="0"/>
          <w:kern w:val="2"/>
          <w:sz w:val="28"/>
          <w:szCs w:val="28"/>
          <w:lang w:val="en-US" w:eastAsia="zh-CN" w:bidi="ar-SA"/>
        </w:rPr>
        <w:t>废水</w:t>
      </w:r>
      <w:r>
        <w:rPr>
          <w:rFonts w:hint="eastAsia" w:hAnsi="宋体" w:eastAsia="宋体" w:cstheme="minorBidi"/>
          <w:b w:val="0"/>
          <w:bCs w:val="0"/>
          <w:kern w:val="2"/>
          <w:sz w:val="28"/>
          <w:szCs w:val="28"/>
          <w:lang w:val="en-US" w:eastAsia="zh-CN" w:bidi="ar-SA"/>
        </w:rPr>
        <w:t>、生活污水、含煤废水</w:t>
      </w:r>
      <w:r>
        <w:rPr>
          <w:rFonts w:hint="eastAsia" w:ascii="宋体" w:hAnsi="宋体" w:eastAsia="宋体" w:cstheme="minorBidi"/>
          <w:b w:val="0"/>
          <w:bCs w:val="0"/>
          <w:kern w:val="2"/>
          <w:sz w:val="28"/>
          <w:szCs w:val="28"/>
          <w:lang w:val="en-US" w:eastAsia="zh-CN" w:bidi="ar-SA"/>
        </w:rPr>
        <w:t>监测结果均</w:t>
      </w:r>
      <w:r>
        <w:rPr>
          <w:rFonts w:hint="eastAsia" w:hAnsi="宋体" w:eastAsia="宋体" w:cstheme="minorBidi"/>
          <w:b w:val="0"/>
          <w:bCs w:val="0"/>
          <w:kern w:val="2"/>
          <w:sz w:val="28"/>
          <w:szCs w:val="28"/>
          <w:lang w:val="en-US" w:eastAsia="zh-CN" w:bidi="ar-SA"/>
        </w:rPr>
        <w:t>达到</w:t>
      </w:r>
      <w:r>
        <w:rPr>
          <w:rFonts w:hint="eastAsia" w:ascii="宋体" w:hAnsi="宋体" w:eastAsia="宋体" w:cstheme="minorBidi"/>
          <w:b w:val="0"/>
          <w:bCs w:val="0"/>
          <w:kern w:val="2"/>
          <w:sz w:val="28"/>
          <w:szCs w:val="28"/>
          <w:lang w:val="en-US" w:eastAsia="zh-CN" w:bidi="ar-SA"/>
        </w:rPr>
        <w:t>《污水综合排放标准》（GB8978-1996）中新扩建企业一级标准</w:t>
      </w:r>
      <w:r>
        <w:rPr>
          <w:rFonts w:hint="eastAsia" w:hAnsi="宋体" w:eastAsia="宋体" w:cstheme="minorBidi"/>
          <w:b w:val="0"/>
          <w:bCs w:val="0"/>
          <w:kern w:val="2"/>
          <w:sz w:val="28"/>
          <w:szCs w:val="28"/>
          <w:lang w:val="en-US" w:eastAsia="zh-CN" w:bidi="ar-SA"/>
        </w:rPr>
        <w:t>限值；脱硫废水监测结果达到</w:t>
      </w:r>
      <w:r>
        <w:rPr>
          <w:rFonts w:hint="eastAsia" w:ascii="宋体" w:hAnsi="宋体" w:eastAsia="宋体" w:cstheme="minorBidi"/>
          <w:b w:val="0"/>
          <w:bCs w:val="0"/>
          <w:kern w:val="2"/>
          <w:sz w:val="28"/>
          <w:szCs w:val="28"/>
          <w:lang w:val="en-US" w:eastAsia="zh-CN" w:bidi="ar-SA"/>
        </w:rPr>
        <w:t>《火电厂石灰石-石膏湿法脱硫废水水质控制标准》（DL/T997-2006)标准。</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sz w:val="28"/>
          <w:szCs w:val="28"/>
          <w:lang w:val="en-US" w:eastAsia="zh-CN"/>
        </w:rPr>
      </w:pPr>
      <w:r>
        <w:rPr>
          <w:rFonts w:hint="eastAsia" w:hAnsi="宋体" w:eastAsia="宋体" w:cstheme="minorBidi"/>
          <w:b w:val="0"/>
          <w:bCs w:val="0"/>
          <w:kern w:val="2"/>
          <w:sz w:val="28"/>
          <w:szCs w:val="28"/>
          <w:lang w:val="en-US" w:eastAsia="zh-CN" w:bidi="ar-SA"/>
        </w:rPr>
        <w:t>锅炉有组织废气监测结果达到</w:t>
      </w:r>
      <w:r>
        <w:rPr>
          <w:rFonts w:hint="eastAsia" w:ascii="宋体" w:hAnsi="宋体" w:eastAsia="宋体" w:cstheme="minorBidi"/>
          <w:b w:val="0"/>
          <w:bCs w:val="0"/>
          <w:kern w:val="2"/>
          <w:sz w:val="28"/>
          <w:szCs w:val="28"/>
          <w:lang w:val="en-US" w:eastAsia="zh-CN" w:bidi="ar-SA"/>
        </w:rPr>
        <w:t>《火电厂大气污染物排放标准》（GB13223-2011）中</w:t>
      </w:r>
      <w:r>
        <w:rPr>
          <w:rFonts w:hint="eastAsia" w:hAnsi="宋体" w:eastAsia="宋体" w:cstheme="minorBidi"/>
          <w:b w:val="0"/>
          <w:bCs w:val="0"/>
          <w:kern w:val="2"/>
          <w:sz w:val="28"/>
          <w:szCs w:val="28"/>
          <w:lang w:val="en-US" w:eastAsia="zh-CN" w:bidi="ar-SA"/>
        </w:rPr>
        <w:t>燃煤锅炉</w:t>
      </w:r>
      <w:r>
        <w:rPr>
          <w:rFonts w:hint="eastAsia" w:ascii="宋体" w:hAnsi="宋体" w:eastAsia="宋体" w:cstheme="minorBidi"/>
          <w:b w:val="0"/>
          <w:bCs w:val="0"/>
          <w:kern w:val="2"/>
          <w:sz w:val="28"/>
          <w:szCs w:val="28"/>
          <w:lang w:val="en-US" w:eastAsia="zh-CN" w:bidi="ar-SA"/>
        </w:rPr>
        <w:t>大气污染物</w:t>
      </w:r>
      <w:r>
        <w:rPr>
          <w:rFonts w:hint="eastAsia" w:hAnsi="宋体" w:eastAsia="宋体" w:cstheme="minorBidi"/>
          <w:b w:val="0"/>
          <w:bCs w:val="0"/>
          <w:kern w:val="2"/>
          <w:sz w:val="28"/>
          <w:szCs w:val="28"/>
          <w:lang w:val="en-US" w:eastAsia="zh-CN" w:bidi="ar-SA"/>
        </w:rPr>
        <w:t>特别排放限值；输煤系统T1-T6转运站</w:t>
      </w:r>
      <w:r>
        <w:rPr>
          <w:rFonts w:hint="eastAsia" w:ascii="宋体" w:hAnsi="宋体" w:eastAsia="宋体" w:cstheme="minorBidi"/>
          <w:b w:val="0"/>
          <w:bCs w:val="0"/>
          <w:kern w:val="2"/>
          <w:sz w:val="28"/>
          <w:szCs w:val="28"/>
          <w:lang w:val="en-US" w:eastAsia="zh-CN" w:bidi="ar-SA"/>
        </w:rPr>
        <w:t>、</w:t>
      </w:r>
      <w:r>
        <w:rPr>
          <w:rFonts w:hint="eastAsia" w:hAnsi="宋体" w:eastAsia="宋体" w:cstheme="minorBidi"/>
          <w:b w:val="0"/>
          <w:bCs w:val="0"/>
          <w:kern w:val="2"/>
          <w:sz w:val="28"/>
          <w:szCs w:val="28"/>
          <w:lang w:val="en-US" w:eastAsia="zh-CN" w:bidi="ar-SA"/>
        </w:rPr>
        <w:t>原煤斗、</w:t>
      </w:r>
      <w:r>
        <w:rPr>
          <w:rFonts w:hint="eastAsia" w:ascii="宋体" w:hAnsi="宋体" w:eastAsia="宋体" w:cstheme="minorBidi"/>
          <w:b w:val="0"/>
          <w:bCs w:val="0"/>
          <w:kern w:val="2"/>
          <w:sz w:val="28"/>
          <w:szCs w:val="28"/>
          <w:lang w:val="en-US" w:eastAsia="zh-CN" w:bidi="ar-SA"/>
        </w:rPr>
        <w:t>灰库、电石渣料仓和石灰石料仓等布袋除尘器</w:t>
      </w:r>
      <w:r>
        <w:rPr>
          <w:rFonts w:hint="eastAsia" w:hAnsi="宋体" w:eastAsia="宋体" w:cstheme="minorBidi"/>
          <w:b w:val="0"/>
          <w:bCs w:val="0"/>
          <w:kern w:val="2"/>
          <w:sz w:val="28"/>
          <w:szCs w:val="28"/>
          <w:lang w:val="en-US" w:eastAsia="zh-CN" w:bidi="ar-SA"/>
        </w:rPr>
        <w:t>监测结果达到</w:t>
      </w:r>
      <w:r>
        <w:rPr>
          <w:rFonts w:hint="eastAsia" w:ascii="宋体" w:hAnsi="宋体" w:eastAsia="宋体" w:cstheme="minorBidi"/>
          <w:b w:val="0"/>
          <w:bCs w:val="0"/>
          <w:kern w:val="2"/>
          <w:sz w:val="28"/>
          <w:szCs w:val="28"/>
          <w:lang w:val="en-US" w:eastAsia="zh-CN" w:bidi="ar-SA"/>
        </w:rPr>
        <w:t>《大气污染物综合排放标准》（GB16297-1996）中表2新污染源排放</w:t>
      </w:r>
      <w:r>
        <w:rPr>
          <w:rFonts w:hint="eastAsia" w:hAnsi="宋体" w:eastAsia="宋体" w:cstheme="minorBidi"/>
          <w:b w:val="0"/>
          <w:bCs w:val="0"/>
          <w:kern w:val="2"/>
          <w:sz w:val="28"/>
          <w:szCs w:val="28"/>
          <w:lang w:val="en-US" w:eastAsia="zh-CN" w:bidi="ar-SA"/>
        </w:rPr>
        <w:t>标准</w:t>
      </w:r>
      <w:r>
        <w:rPr>
          <w:rFonts w:hint="eastAsia" w:ascii="宋体" w:hAnsi="宋体" w:eastAsia="宋体" w:cstheme="minorBidi"/>
          <w:b w:val="0"/>
          <w:bCs w:val="0"/>
          <w:kern w:val="2"/>
          <w:sz w:val="28"/>
          <w:szCs w:val="28"/>
          <w:lang w:val="en-US" w:eastAsia="zh-CN" w:bidi="ar-SA"/>
        </w:rPr>
        <w:t>限值；脱硝装置氨逃逸</w:t>
      </w:r>
      <w:r>
        <w:rPr>
          <w:rFonts w:hint="eastAsia" w:hAnsi="宋体" w:eastAsia="宋体" w:cstheme="minorBidi"/>
          <w:b w:val="0"/>
          <w:bCs w:val="0"/>
          <w:kern w:val="2"/>
          <w:sz w:val="28"/>
          <w:szCs w:val="28"/>
          <w:lang w:val="en-US" w:eastAsia="zh-CN" w:bidi="ar-SA"/>
        </w:rPr>
        <w:t>监测结果达到</w:t>
      </w:r>
      <w:r>
        <w:rPr>
          <w:rFonts w:hint="eastAsia" w:asciiTheme="minorEastAsia" w:hAnsiTheme="minorEastAsia" w:eastAsiaTheme="minorEastAsia"/>
          <w:sz w:val="28"/>
          <w:szCs w:val="28"/>
        </w:rPr>
        <w:t>《火电厂烟气脱硝工程技术规范 选择性催化还原法》（HJ 562-2010）</w:t>
      </w:r>
      <w:r>
        <w:rPr>
          <w:rFonts w:hint="eastAsia" w:asciiTheme="minorEastAsia" w:hAnsiTheme="minorEastAsia"/>
          <w:sz w:val="28"/>
          <w:szCs w:val="28"/>
          <w:lang w:eastAsia="zh-CN"/>
        </w:rPr>
        <w:t>排放标准限值；</w:t>
      </w:r>
      <w:r>
        <w:rPr>
          <w:rFonts w:hint="eastAsia"/>
          <w:sz w:val="28"/>
          <w:szCs w:val="28"/>
        </w:rPr>
        <w:t>氨区周界无组织氨</w:t>
      </w:r>
      <w:r>
        <w:rPr>
          <w:rFonts w:hint="eastAsia"/>
          <w:sz w:val="28"/>
          <w:szCs w:val="28"/>
          <w:lang w:eastAsia="zh-CN"/>
        </w:rPr>
        <w:t>监测结果达到</w:t>
      </w:r>
      <w:r>
        <w:rPr>
          <w:rFonts w:hint="eastAsia"/>
          <w:sz w:val="28"/>
          <w:szCs w:val="28"/>
        </w:rPr>
        <w:t>《恶臭污染物排放标准》（</w:t>
      </w:r>
      <w:r>
        <w:rPr>
          <w:rFonts w:hint="eastAsia" w:ascii="宋体" w:hAnsi="宋体" w:eastAsia="宋体" w:cstheme="minorBidi"/>
          <w:b w:val="0"/>
          <w:bCs w:val="0"/>
          <w:kern w:val="2"/>
          <w:sz w:val="28"/>
          <w:szCs w:val="28"/>
          <w:lang w:val="en-US" w:eastAsia="zh-CN" w:bidi="ar-SA"/>
        </w:rPr>
        <w:t>GB14554-93</w:t>
      </w:r>
      <w:r>
        <w:rPr>
          <w:rFonts w:hint="eastAsia"/>
          <w:sz w:val="28"/>
          <w:szCs w:val="28"/>
        </w:rPr>
        <w:t>）</w:t>
      </w:r>
      <w:r>
        <w:rPr>
          <w:rFonts w:hint="eastAsia"/>
          <w:sz w:val="28"/>
          <w:szCs w:val="28"/>
          <w:lang w:eastAsia="zh-CN"/>
        </w:rPr>
        <w:t>中表</w:t>
      </w:r>
      <w:r>
        <w:rPr>
          <w:rFonts w:hint="eastAsia"/>
          <w:sz w:val="28"/>
          <w:szCs w:val="28"/>
          <w:lang w:val="en-US" w:eastAsia="zh-CN"/>
        </w:rPr>
        <w:t>1二级标准新扩改建排放标限值。</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动力站T1转运站1#除尘器除尘效率为</w:t>
      </w:r>
      <w:r>
        <w:rPr>
          <w:rFonts w:hint="eastAsia" w:asciiTheme="minorEastAsia" w:hAnsiTheme="minorEastAsia" w:eastAsiaTheme="minorEastAsia"/>
          <w:sz w:val="28"/>
          <w:szCs w:val="28"/>
        </w:rPr>
        <w:t>99.78</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T1转运站2#除尘器除尘效率为</w:t>
      </w:r>
      <w:r>
        <w:rPr>
          <w:rFonts w:hint="eastAsia" w:asciiTheme="minorEastAsia" w:hAnsiTheme="minorEastAsia" w:eastAsiaTheme="minorEastAsia"/>
          <w:sz w:val="28"/>
          <w:szCs w:val="28"/>
        </w:rPr>
        <w:t>99.78</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T1转运站3#除尘器除尘效率为</w:t>
      </w:r>
      <w:r>
        <w:rPr>
          <w:rFonts w:hint="eastAsia" w:asciiTheme="minorEastAsia" w:hAnsiTheme="minorEastAsia" w:eastAsiaTheme="minorEastAsia"/>
          <w:sz w:val="28"/>
          <w:szCs w:val="28"/>
        </w:rPr>
        <w:t>99.81</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~99.84</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动力站</w:t>
      </w:r>
      <w:r>
        <w:rPr>
          <w:rFonts w:hint="eastAsia" w:asciiTheme="minorEastAsia" w:hAnsiTheme="minorEastAsia" w:eastAsiaTheme="minorEastAsia"/>
          <w:sz w:val="28"/>
          <w:szCs w:val="28"/>
          <w:lang w:val="en-US" w:eastAsia="zh-CN"/>
        </w:rPr>
        <w:t>T2转运站1#除尘器除尘效率为</w:t>
      </w:r>
      <w:r>
        <w:rPr>
          <w:rFonts w:hint="eastAsia" w:asciiTheme="minorEastAsia" w:hAnsiTheme="minorEastAsia" w:eastAsiaTheme="minorEastAsia"/>
          <w:sz w:val="28"/>
          <w:szCs w:val="28"/>
        </w:rPr>
        <w:t>99.74</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~99.75</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动力站T3转运站1#除尘器除尘效率为</w:t>
      </w:r>
      <w:r>
        <w:rPr>
          <w:rFonts w:hint="eastAsia" w:asciiTheme="minorEastAsia" w:hAnsiTheme="minorEastAsia" w:eastAsiaTheme="minorEastAsia"/>
          <w:sz w:val="28"/>
          <w:szCs w:val="28"/>
        </w:rPr>
        <w:t>99.80</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~99.87</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T3转运站2#除尘器除尘效率为</w:t>
      </w:r>
      <w:r>
        <w:rPr>
          <w:rFonts w:hint="eastAsia" w:asciiTheme="minorEastAsia" w:hAnsiTheme="minorEastAsia" w:eastAsiaTheme="minorEastAsia"/>
          <w:sz w:val="28"/>
          <w:szCs w:val="28"/>
        </w:rPr>
        <w:t>99.68</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~99.75</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动力站T4转运站1#除尘器除尘效率为</w:t>
      </w:r>
      <w:r>
        <w:rPr>
          <w:rFonts w:hint="eastAsia" w:asciiTheme="minorEastAsia" w:hAnsiTheme="minorEastAsia" w:eastAsiaTheme="minorEastAsia"/>
          <w:sz w:val="28"/>
          <w:szCs w:val="28"/>
        </w:rPr>
        <w:t>99.72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~99.77</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w:t>
      </w:r>
      <w:r>
        <w:rPr>
          <w:rFonts w:hint="eastAsia" w:asciiTheme="minorEastAsia" w:hAnsiTheme="minorEastAsia"/>
          <w:sz w:val="28"/>
          <w:szCs w:val="28"/>
          <w:lang w:val="en-US" w:eastAsia="zh-CN"/>
        </w:rPr>
        <w:t>4</w:t>
      </w:r>
      <w:r>
        <w:rPr>
          <w:rFonts w:hint="eastAsia" w:asciiTheme="minorEastAsia" w:hAnsiTheme="minorEastAsia" w:eastAsiaTheme="minorEastAsia"/>
          <w:sz w:val="28"/>
          <w:szCs w:val="28"/>
          <w:lang w:val="en-US" w:eastAsia="zh-CN"/>
        </w:rPr>
        <w:t>转运站2#除尘器除尘效率为</w:t>
      </w:r>
      <w:r>
        <w:rPr>
          <w:rFonts w:hint="eastAsia" w:asciiTheme="minorEastAsia" w:hAnsiTheme="minorEastAsia" w:eastAsiaTheme="minorEastAsia"/>
          <w:sz w:val="28"/>
          <w:szCs w:val="28"/>
        </w:rPr>
        <w:t>99.76</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~99.80</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动力站T5转运站1#除尘器除尘效率为</w:t>
      </w:r>
      <w:r>
        <w:rPr>
          <w:rFonts w:hint="eastAsia" w:asciiTheme="minorEastAsia" w:hAnsiTheme="minorEastAsia" w:eastAsiaTheme="minorEastAsia"/>
          <w:sz w:val="28"/>
          <w:szCs w:val="28"/>
        </w:rPr>
        <w:t>99.71</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~99.79</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w:t>
      </w:r>
      <w:r>
        <w:rPr>
          <w:rFonts w:hint="eastAsia" w:asciiTheme="minorEastAsia" w:hAnsiTheme="minorEastAsia"/>
          <w:sz w:val="28"/>
          <w:szCs w:val="28"/>
          <w:lang w:val="en-US" w:eastAsia="zh-CN"/>
        </w:rPr>
        <w:t>5</w:t>
      </w:r>
      <w:r>
        <w:rPr>
          <w:rFonts w:hint="eastAsia" w:asciiTheme="minorEastAsia" w:hAnsiTheme="minorEastAsia" w:eastAsiaTheme="minorEastAsia"/>
          <w:sz w:val="28"/>
          <w:szCs w:val="28"/>
          <w:lang w:val="en-US" w:eastAsia="zh-CN"/>
        </w:rPr>
        <w:t>转运站2#除尘器除尘效率为</w:t>
      </w:r>
      <w:r>
        <w:rPr>
          <w:rFonts w:hint="eastAsia" w:asciiTheme="minorEastAsia" w:hAnsiTheme="minorEastAsia" w:eastAsiaTheme="minorEastAsia"/>
          <w:sz w:val="28"/>
          <w:szCs w:val="28"/>
        </w:rPr>
        <w:t>99.74</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动力站T6转运站1#除尘器除尘效率为</w:t>
      </w:r>
      <w:r>
        <w:rPr>
          <w:rFonts w:hint="eastAsia" w:asciiTheme="minorEastAsia" w:hAnsiTheme="minorEastAsia" w:eastAsiaTheme="minorEastAsia"/>
          <w:sz w:val="28"/>
          <w:szCs w:val="28"/>
        </w:rPr>
        <w:t>99.73</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~99.85</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T</w:t>
      </w:r>
      <w:r>
        <w:rPr>
          <w:rFonts w:hint="eastAsia" w:asciiTheme="minorEastAsia" w:hAnsiTheme="minorEastAsia"/>
          <w:sz w:val="28"/>
          <w:szCs w:val="28"/>
          <w:lang w:val="en-US" w:eastAsia="zh-CN"/>
        </w:rPr>
        <w:t>6</w:t>
      </w:r>
      <w:r>
        <w:rPr>
          <w:rFonts w:hint="eastAsia" w:asciiTheme="minorEastAsia" w:hAnsiTheme="minorEastAsia" w:eastAsiaTheme="minorEastAsia"/>
          <w:sz w:val="28"/>
          <w:szCs w:val="28"/>
          <w:lang w:val="en-US" w:eastAsia="zh-CN"/>
        </w:rPr>
        <w:t>转运站2#除尘器除尘效率为</w:t>
      </w:r>
      <w:r>
        <w:rPr>
          <w:rFonts w:hint="eastAsia" w:asciiTheme="minorEastAsia" w:hAnsiTheme="minorEastAsia" w:eastAsiaTheme="minorEastAsia"/>
          <w:sz w:val="28"/>
          <w:szCs w:val="28"/>
        </w:rPr>
        <w:t>99.80</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~99.84</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动力站2#机组除尘效率为</w:t>
      </w:r>
      <w:r>
        <w:rPr>
          <w:rFonts w:hint="eastAsia" w:asciiTheme="minorEastAsia" w:hAnsiTheme="minorEastAsia" w:eastAsiaTheme="minorEastAsia"/>
          <w:sz w:val="28"/>
          <w:szCs w:val="28"/>
        </w:rPr>
        <w:t>99.</w:t>
      </w:r>
      <w:r>
        <w:rPr>
          <w:rFonts w:hint="eastAsia" w:asciiTheme="minorEastAsia" w:hAnsiTheme="minorEastAsia" w:eastAsiaTheme="minorEastAsia"/>
          <w:sz w:val="28"/>
          <w:szCs w:val="28"/>
          <w:lang w:val="en-US" w:eastAsia="zh-CN"/>
        </w:rPr>
        <w:t>94</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~99.</w:t>
      </w:r>
      <w:r>
        <w:rPr>
          <w:rFonts w:hint="eastAsia" w:asciiTheme="minorEastAsia" w:hAnsiTheme="minorEastAsia" w:eastAsiaTheme="minorEastAsia"/>
          <w:sz w:val="28"/>
          <w:szCs w:val="28"/>
          <w:lang w:val="en-US" w:eastAsia="zh-CN"/>
        </w:rPr>
        <w:t>96</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，脱硝效率为75.0</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77.1</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，脱硫效率为</w:t>
      </w:r>
      <w:r>
        <w:rPr>
          <w:rFonts w:hint="eastAsia" w:asciiTheme="minorEastAsia" w:hAnsiTheme="minorEastAsia"/>
          <w:sz w:val="28"/>
          <w:szCs w:val="28"/>
          <w:lang w:val="en-US" w:eastAsia="zh-CN"/>
        </w:rPr>
        <w:t>81.1%</w:t>
      </w:r>
      <w:r>
        <w:rPr>
          <w:rFonts w:hint="eastAsia" w:asciiTheme="minorEastAsia" w:hAnsiTheme="minorEastAsia" w:eastAsiaTheme="minorEastAsia"/>
          <w:sz w:val="28"/>
          <w:szCs w:val="28"/>
          <w:lang w:val="en-US" w:eastAsia="zh-CN"/>
        </w:rPr>
        <w:t>~8</w:t>
      </w:r>
      <w:r>
        <w:rPr>
          <w:rFonts w:hint="eastAsia" w:asciiTheme="minorEastAsia" w:hAnsiTheme="minorEastAsia"/>
          <w:sz w:val="28"/>
          <w:szCs w:val="28"/>
          <w:lang w:val="en-US" w:eastAsia="zh-CN"/>
        </w:rPr>
        <w:t>6.8%</w:t>
      </w:r>
      <w:r>
        <w:rPr>
          <w:rFonts w:hint="eastAsia" w:asciiTheme="minorEastAsia" w:hAnsiTheme="minorEastAsia" w:eastAsiaTheme="minorEastAsia"/>
          <w:sz w:val="28"/>
          <w:szCs w:val="28"/>
          <w:lang w:val="en-US"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cstheme="minorBidi"/>
          <w:b w:val="0"/>
          <w:bCs w:val="0"/>
          <w:kern w:val="2"/>
          <w:sz w:val="28"/>
          <w:szCs w:val="28"/>
          <w:lang w:val="en-US" w:eastAsia="zh-CN" w:bidi="ar-SA"/>
        </w:rPr>
      </w:pPr>
      <w:r>
        <w:rPr>
          <w:rFonts w:hint="eastAsia" w:hAnsi="宋体" w:eastAsia="宋体" w:cstheme="minorBidi"/>
          <w:b w:val="0"/>
          <w:bCs w:val="0"/>
          <w:kern w:val="2"/>
          <w:sz w:val="28"/>
          <w:szCs w:val="28"/>
          <w:lang w:val="en-US" w:eastAsia="zh-CN" w:bidi="ar-SA"/>
        </w:rPr>
        <w:t>本项目废气中二氧化硫和氮氧化物排放总量达到环评批复总量要求。</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60" w:name="_Toc25591"/>
      <w:r>
        <w:rPr>
          <w:rFonts w:hint="eastAsia" w:hAnsi="宋体" w:eastAsia="宋体"/>
          <w:b/>
          <w:bCs/>
          <w:sz w:val="30"/>
          <w:szCs w:val="30"/>
          <w:lang w:val="en-US" w:eastAsia="zh-CN"/>
        </w:rPr>
        <w:t>11.2污染物排放监测结果</w:t>
      </w:r>
      <w:bookmarkEnd w:id="60"/>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b/>
          <w:bCs/>
          <w:sz w:val="28"/>
          <w:szCs w:val="28"/>
          <w:vertAlign w:val="subscript"/>
          <w:lang w:val="en-US" w:eastAsia="zh-CN"/>
        </w:rPr>
      </w:pPr>
      <w:bookmarkStart w:id="61" w:name="_Toc1681"/>
      <w:r>
        <w:rPr>
          <w:rFonts w:hint="eastAsia" w:hAnsi="宋体" w:eastAsia="宋体"/>
          <w:b/>
          <w:bCs/>
          <w:sz w:val="28"/>
          <w:szCs w:val="28"/>
          <w:lang w:val="en-US" w:eastAsia="zh-CN"/>
        </w:rPr>
        <w:t>11.2.1废水</w:t>
      </w:r>
      <w:bookmarkEnd w:id="6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aps w:val="0"/>
          <w:kern w:val="0"/>
          <w:sz w:val="28"/>
          <w:szCs w:val="28"/>
          <w:lang w:val="en-US" w:eastAsia="zh-CN" w:bidi="ar-SA"/>
        </w:rPr>
      </w:pPr>
      <w:r>
        <w:rPr>
          <w:rFonts w:hint="eastAsia" w:ascii="宋体" w:hAnsi="宋体" w:eastAsia="宋体" w:cs="宋体"/>
          <w:b w:val="0"/>
          <w:bCs w:val="0"/>
          <w:caps w:val="0"/>
          <w:kern w:val="0"/>
          <w:sz w:val="28"/>
          <w:szCs w:val="28"/>
          <w:lang w:val="en-US" w:eastAsia="zh-CN" w:bidi="ar-SA"/>
        </w:rPr>
        <w:t>验收监测期间工业废水日均值及范围：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范围8.01～8.</w:t>
      </w:r>
      <w:r>
        <w:rPr>
          <w:rFonts w:hint="eastAsia" w:hAnsi="宋体" w:eastAsia="宋体" w:cs="宋体"/>
          <w:sz w:val="28"/>
          <w:szCs w:val="28"/>
          <w:lang w:val="en-US" w:eastAsia="zh-CN"/>
        </w:rPr>
        <w:t>05</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日均值4mg/L,COD</w:t>
      </w:r>
      <w:r>
        <w:rPr>
          <w:rFonts w:hint="eastAsia" w:hAnsi="宋体" w:eastAsia="宋体" w:cs="宋体"/>
          <w:sz w:val="28"/>
          <w:szCs w:val="28"/>
          <w:lang w:val="en-US" w:eastAsia="zh-CN"/>
        </w:rPr>
        <w:t>cr</w:t>
      </w:r>
      <w:r>
        <w:rPr>
          <w:rFonts w:hint="eastAsia" w:ascii="宋体" w:hAnsi="宋体" w:eastAsia="宋体" w:cs="宋体"/>
          <w:sz w:val="28"/>
          <w:szCs w:val="28"/>
          <w:lang w:val="en-US" w:eastAsia="zh-CN"/>
        </w:rPr>
        <w:t>日均值16mg/L，氨氮日均值7.634mg/L，石油类日均值0.26mg/L,BOD日均值6.3mg/L，色度日均值2，氰化物、挥发酚、硫化物、锰均未检出。</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w:t>
      </w:r>
      <w:r>
        <w:rPr>
          <w:rFonts w:hint="eastAsia" w:hAnsi="宋体" w:eastAsia="宋体" w:cs="宋体"/>
          <w:sz w:val="28"/>
          <w:szCs w:val="28"/>
          <w:lang w:val="en-US" w:eastAsia="zh-CN"/>
        </w:rPr>
        <w:t>7.99</w:t>
      </w:r>
      <w:r>
        <w:rPr>
          <w:rFonts w:hint="eastAsia" w:ascii="宋体" w:hAnsi="宋体" w:eastAsia="宋体" w:cs="宋体"/>
          <w:sz w:val="28"/>
          <w:szCs w:val="28"/>
          <w:lang w:val="en-US" w:eastAsia="zh-CN"/>
        </w:rPr>
        <w:t>～8.</w:t>
      </w:r>
      <w:r>
        <w:rPr>
          <w:rFonts w:hint="eastAsia" w:hAnsi="宋体" w:eastAsia="宋体" w:cs="宋体"/>
          <w:sz w:val="28"/>
          <w:szCs w:val="28"/>
          <w:lang w:val="en-US" w:eastAsia="zh-CN"/>
        </w:rPr>
        <w:t>04</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w:t>
      </w:r>
      <w:r>
        <w:rPr>
          <w:rFonts w:hint="eastAsia" w:hAnsi="宋体" w:eastAsia="宋体" w:cs="宋体"/>
          <w:sz w:val="28"/>
          <w:szCs w:val="28"/>
          <w:lang w:val="en-US" w:eastAsia="zh-CN"/>
        </w:rPr>
        <w:t>5</w:t>
      </w:r>
      <w:r>
        <w:rPr>
          <w:rFonts w:hint="eastAsia" w:ascii="宋体" w:hAnsi="宋体" w:eastAsia="宋体" w:cs="宋体"/>
          <w:sz w:val="28"/>
          <w:szCs w:val="28"/>
          <w:lang w:val="en-US" w:eastAsia="zh-CN"/>
        </w:rPr>
        <w:t>mg/L，氨氮日均值6.</w:t>
      </w:r>
      <w:r>
        <w:rPr>
          <w:rFonts w:hint="eastAsia" w:hAnsi="宋体" w:eastAsia="宋体" w:cs="宋体"/>
          <w:sz w:val="28"/>
          <w:szCs w:val="28"/>
          <w:lang w:val="en-US" w:eastAsia="zh-CN"/>
        </w:rPr>
        <w:t>763</w:t>
      </w:r>
      <w:r>
        <w:rPr>
          <w:rFonts w:hint="eastAsia" w:ascii="宋体" w:hAnsi="宋体" w:eastAsia="宋体" w:cs="宋体"/>
          <w:sz w:val="28"/>
          <w:szCs w:val="28"/>
          <w:lang w:val="en-US" w:eastAsia="zh-CN"/>
        </w:rPr>
        <w:t>mg/L，石油类日均值0.</w:t>
      </w:r>
      <w:r>
        <w:rPr>
          <w:rFonts w:hint="eastAsia" w:hAnsi="宋体" w:eastAsia="宋体" w:cs="宋体"/>
          <w:sz w:val="28"/>
          <w:szCs w:val="28"/>
          <w:lang w:val="en-US" w:eastAsia="zh-CN"/>
        </w:rPr>
        <w:t>26</w:t>
      </w:r>
      <w:r>
        <w:rPr>
          <w:rFonts w:hint="eastAsia" w:ascii="宋体" w:hAnsi="宋体" w:eastAsia="宋体" w:cs="宋体"/>
          <w:sz w:val="28"/>
          <w:szCs w:val="28"/>
          <w:lang w:val="en-US" w:eastAsia="zh-CN"/>
        </w:rPr>
        <w:t>mg/L,色度日均值2，COD</w:t>
      </w:r>
      <w:r>
        <w:rPr>
          <w:rFonts w:hint="eastAsia" w:hAnsi="宋体" w:eastAsia="宋体" w:cs="宋体"/>
          <w:sz w:val="28"/>
          <w:szCs w:val="28"/>
          <w:lang w:val="en-US" w:eastAsia="zh-CN"/>
        </w:rPr>
        <w:t>cr、</w:t>
      </w:r>
      <w:r>
        <w:rPr>
          <w:rFonts w:hint="eastAsia" w:ascii="宋体" w:hAnsi="宋体" w:eastAsia="宋体" w:cs="宋体"/>
          <w:sz w:val="28"/>
          <w:szCs w:val="28"/>
          <w:lang w:val="en-US" w:eastAsia="zh-CN"/>
        </w:rPr>
        <w:t>BOD、氰化物、挥发酚、硫化物、锰均未检出，满足《污水综合排放标准》（GB8978-1996）中一级标准限值。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b w:val="0"/>
          <w:bCs w:val="0"/>
          <w:caps w:val="0"/>
          <w:kern w:val="0"/>
          <w:sz w:val="28"/>
          <w:szCs w:val="28"/>
          <w:lang w:val="en-US" w:eastAsia="zh-CN" w:bidi="ar-SA"/>
        </w:rPr>
        <w:t>验收监测期间</w:t>
      </w:r>
      <w:r>
        <w:rPr>
          <w:rFonts w:hint="eastAsia" w:ascii="宋体" w:hAnsi="宋体" w:eastAsia="宋体" w:cs="宋体"/>
          <w:sz w:val="28"/>
          <w:szCs w:val="28"/>
          <w:lang w:val="en-US" w:eastAsia="zh-CN"/>
        </w:rPr>
        <w:t>生活污水日均值及范围：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范围8.02～8.04，</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日均值5mg/L,COD日均值76mg/L，氨氮日均值8.002mg/L，动植物油日均值0.46mg/L,BOD日均值18.1mg/L，色度日均值2，氰化物、挥发酚、硫化物、锰均未检出。</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范围8.05～8.13，</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日均值5mg/L,COD日均值72mg/L，氨氮日均值7.882mg/L，动植物油日均值0.47mg/L,色度日均值2，氰化物、挥发酚、硫化物、锰均未检出，满足《污水综合排放标准》（GB8978-1996）中一级标准限值。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b w:val="0"/>
          <w:bCs w:val="0"/>
          <w:caps w:val="0"/>
          <w:kern w:val="0"/>
          <w:sz w:val="28"/>
          <w:szCs w:val="28"/>
          <w:lang w:val="en-US" w:eastAsia="zh-CN" w:bidi="ar-SA"/>
        </w:rPr>
        <w:t>验收监测期间</w:t>
      </w:r>
      <w:r>
        <w:rPr>
          <w:rFonts w:hint="eastAsia" w:ascii="宋体" w:hAnsi="宋体" w:eastAsia="宋体" w:cs="宋体"/>
          <w:sz w:val="28"/>
          <w:szCs w:val="28"/>
          <w:lang w:val="en-US" w:eastAsia="zh-CN"/>
        </w:rPr>
        <w:t>含煤废水日均值及范围：</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范围7.</w:t>
      </w:r>
      <w:r>
        <w:rPr>
          <w:rFonts w:hint="eastAsia" w:hAnsi="宋体" w:eastAsia="宋体" w:cs="宋体"/>
          <w:sz w:val="28"/>
          <w:szCs w:val="28"/>
          <w:lang w:val="en-US" w:eastAsia="zh-CN"/>
        </w:rPr>
        <w:t>93</w:t>
      </w:r>
      <w:r>
        <w:rPr>
          <w:rFonts w:hint="eastAsia" w:ascii="宋体" w:hAnsi="宋体" w:eastAsia="宋体" w:cs="宋体"/>
          <w:sz w:val="28"/>
          <w:szCs w:val="28"/>
          <w:lang w:val="en-US" w:eastAsia="zh-CN"/>
        </w:rPr>
        <w:t>～7.</w:t>
      </w:r>
      <w:r>
        <w:rPr>
          <w:rFonts w:hint="eastAsia" w:hAnsi="宋体" w:eastAsia="宋体" w:cs="宋体"/>
          <w:sz w:val="28"/>
          <w:szCs w:val="28"/>
          <w:lang w:val="en-US" w:eastAsia="zh-CN"/>
        </w:rPr>
        <w:t>96</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日均值13mg/L。</w:t>
      </w:r>
    </w:p>
    <w:p>
      <w:pPr>
        <w:pStyle w:val="2"/>
        <w:ind w:firstLine="560" w:firstLineChars="200"/>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范围7.87～7.90，</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日均值14mg/L。满足《污水综合排放标准》（GB8978-1996）中一级标准限值。</w:t>
      </w:r>
    </w:p>
    <w:p>
      <w:pPr>
        <w:pStyle w:val="2"/>
        <w:ind w:firstLine="560" w:firstLineChars="200"/>
        <w:rPr>
          <w:rFonts w:hint="eastAsia" w:ascii="宋体" w:hAnsi="宋体" w:eastAsia="宋体" w:cs="宋体"/>
          <w:sz w:val="28"/>
          <w:szCs w:val="28"/>
          <w:lang w:val="en-US" w:eastAsia="zh-CN"/>
        </w:rPr>
      </w:pPr>
      <w:r>
        <w:rPr>
          <w:rFonts w:hint="eastAsia" w:ascii="宋体" w:hAnsi="宋体" w:eastAsia="宋体" w:cs="宋体"/>
          <w:b w:val="0"/>
          <w:bCs w:val="0"/>
          <w:caps w:val="0"/>
          <w:kern w:val="0"/>
          <w:sz w:val="28"/>
          <w:szCs w:val="28"/>
          <w:lang w:val="en-US" w:eastAsia="zh-CN" w:bidi="ar-SA"/>
        </w:rPr>
        <w:t>验收监测期间</w:t>
      </w:r>
      <w:r>
        <w:rPr>
          <w:rFonts w:hint="eastAsia" w:ascii="宋体" w:hAnsi="宋体" w:eastAsia="宋体" w:cs="宋体"/>
          <w:sz w:val="28"/>
          <w:szCs w:val="28"/>
          <w:lang w:val="en-US" w:eastAsia="zh-CN"/>
        </w:rPr>
        <w:t>脱硫废水日均值及范围：</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hAnsi="宋体" w:eastAsia="宋体" w:cs="宋体"/>
          <w:sz w:val="28"/>
          <w:szCs w:val="28"/>
          <w:lang w:val="en-US" w:eastAsia="zh-CN"/>
        </w:rPr>
        <w:t>11月7日，PH</w:t>
      </w:r>
      <w:r>
        <w:rPr>
          <w:rFonts w:hint="eastAsia" w:ascii="宋体" w:hAnsi="宋体" w:eastAsia="宋体" w:cs="宋体"/>
          <w:sz w:val="28"/>
          <w:szCs w:val="28"/>
          <w:lang w:val="en-US" w:eastAsia="zh-CN"/>
        </w:rPr>
        <w:t>范围7.73～7.77，</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日均值19mg/L,汞日均值</w:t>
      </w:r>
      <w:r>
        <w:rPr>
          <w:rFonts w:hint="eastAsia" w:hAnsi="宋体" w:eastAsia="宋体" w:cs="宋体"/>
          <w:sz w:val="28"/>
          <w:szCs w:val="28"/>
          <w:lang w:val="en-US" w:eastAsia="zh-CN"/>
        </w:rPr>
        <w:t>0.56</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，砷日均值3.9</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，镉日均值3.9</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，铅未检出。</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hAnsi="宋体" w:eastAsia="宋体" w:cs="宋体"/>
          <w:sz w:val="28"/>
          <w:szCs w:val="28"/>
          <w:lang w:val="en-US" w:eastAsia="zh-CN"/>
        </w:rPr>
        <w:t>11月8日，PH</w:t>
      </w:r>
      <w:r>
        <w:rPr>
          <w:rFonts w:hint="eastAsia" w:ascii="宋体" w:hAnsi="宋体" w:eastAsia="宋体" w:cs="宋体"/>
          <w:sz w:val="28"/>
          <w:szCs w:val="28"/>
          <w:lang w:val="en-US" w:eastAsia="zh-CN"/>
        </w:rPr>
        <w:t>范围7.68～7.73，</w:t>
      </w:r>
      <w:r>
        <w:rPr>
          <w:rFonts w:hint="eastAsia" w:hAnsi="宋体" w:eastAsia="宋体" w:cs="宋体"/>
          <w:sz w:val="28"/>
          <w:szCs w:val="28"/>
          <w:lang w:val="en-US" w:eastAsia="zh-CN"/>
        </w:rPr>
        <w:t>SS</w:t>
      </w:r>
      <w:r>
        <w:rPr>
          <w:rFonts w:hint="eastAsia" w:ascii="宋体" w:hAnsi="宋体" w:eastAsia="宋体" w:cs="宋体"/>
          <w:sz w:val="28"/>
          <w:szCs w:val="28"/>
          <w:lang w:val="en-US" w:eastAsia="zh-CN"/>
        </w:rPr>
        <w:t>日均值17mg/L,汞日均值</w:t>
      </w:r>
      <w:r>
        <w:rPr>
          <w:rFonts w:hint="eastAsia" w:hAnsi="宋体" w:eastAsia="宋体" w:cs="宋体"/>
          <w:sz w:val="28"/>
          <w:szCs w:val="28"/>
          <w:lang w:val="en-US" w:eastAsia="zh-CN"/>
        </w:rPr>
        <w:t>0.63</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，砷日均值4.4</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，镉日均值4.4</w:t>
      </w:r>
      <w:r>
        <w:rPr>
          <w:rFonts w:hint="default" w:hAnsi="宋体" w:eastAsia="宋体" w:cs="宋体"/>
          <w:sz w:val="28"/>
          <w:szCs w:val="28"/>
          <w:lang w:val="en-US" w:eastAsia="zh-CN"/>
        </w:rPr>
        <w:t>μg/L</w:t>
      </w:r>
      <w:r>
        <w:rPr>
          <w:rFonts w:hint="eastAsia" w:ascii="宋体" w:hAnsi="宋体" w:eastAsia="宋体" w:cs="宋体"/>
          <w:sz w:val="28"/>
          <w:szCs w:val="28"/>
          <w:lang w:val="en-US" w:eastAsia="zh-CN"/>
        </w:rPr>
        <w:t>，铅未检出。满足《火电厂石灰石-石膏湿法脱硫废水水质控制标准》（DL/T997-2006)。</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b/>
          <w:bCs/>
          <w:sz w:val="28"/>
          <w:szCs w:val="28"/>
          <w:lang w:val="en-US" w:eastAsia="zh-CN"/>
        </w:rPr>
      </w:pPr>
      <w:bookmarkStart w:id="62" w:name="_Toc21321"/>
      <w:r>
        <w:rPr>
          <w:rFonts w:hint="eastAsia" w:hAnsi="宋体" w:eastAsia="宋体"/>
          <w:b/>
          <w:bCs/>
          <w:sz w:val="28"/>
          <w:szCs w:val="28"/>
          <w:lang w:val="en-US" w:eastAsia="zh-CN"/>
        </w:rPr>
        <w:t>11.2.2废气</w:t>
      </w:r>
      <w:bookmarkEnd w:id="62"/>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（一）有组织废气</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动力站T1转运站1#除尘器</w:t>
      </w:r>
      <w:r>
        <w:rPr>
          <w:rFonts w:hint="eastAsia" w:asciiTheme="minorEastAsia" w:hAnsiTheme="minorEastAsia"/>
          <w:sz w:val="28"/>
          <w:szCs w:val="28"/>
          <w:lang w:val="en-US" w:eastAsia="zh-CN"/>
        </w:rPr>
        <w:t>颗粒物排放浓度最大值为18.2mg/m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最大排放速率为0.168kg/h，</w:t>
      </w:r>
      <w:r>
        <w:rPr>
          <w:rFonts w:hint="eastAsia" w:asciiTheme="minorEastAsia" w:hAnsiTheme="minorEastAsia" w:eastAsiaTheme="minorEastAsia"/>
          <w:sz w:val="28"/>
          <w:szCs w:val="28"/>
          <w:lang w:val="en-US" w:eastAsia="zh-CN"/>
        </w:rPr>
        <w:t>2#除尘器</w:t>
      </w:r>
      <w:r>
        <w:rPr>
          <w:rFonts w:hint="eastAsia" w:asciiTheme="minorEastAsia" w:hAnsiTheme="minorEastAsia"/>
          <w:sz w:val="28"/>
          <w:szCs w:val="28"/>
          <w:lang w:val="en-US" w:eastAsia="zh-CN"/>
        </w:rPr>
        <w:t>颗粒物排放浓度最大值为19.6mg/m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最大排放速率为0.162kg/h，</w:t>
      </w:r>
      <w:r>
        <w:rPr>
          <w:rFonts w:hint="eastAsia" w:asciiTheme="minorEastAsia" w:hAnsiTheme="minorEastAsia" w:eastAsiaTheme="minorEastAsia"/>
          <w:sz w:val="28"/>
          <w:szCs w:val="28"/>
          <w:lang w:val="en-US" w:eastAsia="zh-CN"/>
        </w:rPr>
        <w:t>3#除尘器</w:t>
      </w:r>
      <w:r>
        <w:rPr>
          <w:rFonts w:hint="eastAsia" w:asciiTheme="minorEastAsia" w:hAnsiTheme="minorEastAsia"/>
          <w:sz w:val="28"/>
          <w:szCs w:val="28"/>
          <w:lang w:val="en-US" w:eastAsia="zh-CN"/>
        </w:rPr>
        <w:t>颗粒物排放浓度最大值为18.2mg/m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eastAsia="zh-CN"/>
        </w:rPr>
        <w:t>，</w:t>
      </w:r>
      <w:r>
        <w:rPr>
          <w:rFonts w:hint="eastAsia" w:asciiTheme="minorEastAsia" w:hAnsiTheme="minorEastAsia"/>
          <w:sz w:val="28"/>
          <w:szCs w:val="28"/>
          <w:vertAlign w:val="baseline"/>
          <w:lang w:val="en-US" w:eastAsia="zh-CN"/>
        </w:rPr>
        <w:t>最大排放速率为0.103kg/h；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lang w:eastAsia="zh-CN"/>
        </w:rPr>
        <w:t>动力站</w:t>
      </w:r>
      <w:r>
        <w:rPr>
          <w:rFonts w:hint="eastAsia" w:asciiTheme="minorEastAsia" w:hAnsiTheme="minorEastAsia" w:eastAsiaTheme="minorEastAsia"/>
          <w:sz w:val="28"/>
          <w:szCs w:val="28"/>
          <w:lang w:val="en-US" w:eastAsia="zh-CN"/>
        </w:rPr>
        <w:t>T2转运站1#除尘器</w:t>
      </w:r>
      <w:r>
        <w:rPr>
          <w:rFonts w:hint="eastAsia" w:asciiTheme="minorEastAsia" w:hAnsiTheme="minorEastAsia"/>
          <w:sz w:val="28"/>
          <w:szCs w:val="28"/>
          <w:lang w:val="en-US" w:eastAsia="zh-CN"/>
        </w:rPr>
        <w:t>颗粒物排放浓度最大值为28.6mg/m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，最大排放速率为0.329kg/h；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动力站T3转运站1#除尘器</w:t>
      </w:r>
      <w:r>
        <w:rPr>
          <w:rFonts w:hint="eastAsia" w:asciiTheme="minorEastAsia" w:hAnsiTheme="minorEastAsia"/>
          <w:sz w:val="28"/>
          <w:szCs w:val="28"/>
          <w:lang w:val="en-US" w:eastAsia="zh-CN"/>
        </w:rPr>
        <w:t>颗粒物排放浓度最大值为19.6mg/m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最大排放速率为0.022kg/h，</w:t>
      </w:r>
      <w:r>
        <w:rPr>
          <w:rFonts w:hint="eastAsia" w:asciiTheme="minorEastAsia" w:hAnsiTheme="minorEastAsia" w:eastAsiaTheme="minorEastAsia"/>
          <w:sz w:val="28"/>
          <w:szCs w:val="28"/>
          <w:lang w:val="en-US" w:eastAsia="zh-CN"/>
        </w:rPr>
        <w:t>2#除尘器</w:t>
      </w:r>
      <w:r>
        <w:rPr>
          <w:rFonts w:hint="eastAsia" w:asciiTheme="minorEastAsia" w:hAnsiTheme="minorEastAsia"/>
          <w:sz w:val="28"/>
          <w:szCs w:val="28"/>
          <w:lang w:val="en-US" w:eastAsia="zh-CN"/>
        </w:rPr>
        <w:t>颗粒物排放浓度最大值为19.8mg/m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eastAsia="zh-CN"/>
        </w:rPr>
        <w:t>，</w:t>
      </w:r>
      <w:r>
        <w:rPr>
          <w:rFonts w:hint="eastAsia" w:asciiTheme="minorEastAsia" w:hAnsiTheme="minorEastAsia"/>
          <w:sz w:val="28"/>
          <w:szCs w:val="28"/>
          <w:vertAlign w:val="baseline"/>
          <w:lang w:val="en-US" w:eastAsia="zh-CN"/>
        </w:rPr>
        <w:t>最大排放速率为0.140kg/h；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动力站T4转运站1#除尘器</w:t>
      </w:r>
      <w:r>
        <w:rPr>
          <w:rFonts w:hint="eastAsia" w:asciiTheme="minorEastAsia" w:hAnsiTheme="minorEastAsia"/>
          <w:sz w:val="28"/>
          <w:szCs w:val="28"/>
          <w:lang w:val="en-US" w:eastAsia="zh-CN"/>
        </w:rPr>
        <w:t>颗粒物排放浓度最大值为24.6mg/m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最大排放速率为0.147kg/h，</w:t>
      </w:r>
      <w:r>
        <w:rPr>
          <w:rFonts w:hint="eastAsia" w:asciiTheme="minorEastAsia" w:hAnsiTheme="minorEastAsia" w:eastAsiaTheme="minorEastAsia"/>
          <w:sz w:val="28"/>
          <w:szCs w:val="28"/>
          <w:lang w:val="en-US" w:eastAsia="zh-CN"/>
        </w:rPr>
        <w:t>2#除尘器</w:t>
      </w:r>
      <w:r>
        <w:rPr>
          <w:rFonts w:hint="eastAsia" w:asciiTheme="minorEastAsia" w:hAnsiTheme="minorEastAsia"/>
          <w:sz w:val="28"/>
          <w:szCs w:val="28"/>
          <w:lang w:val="en-US" w:eastAsia="zh-CN"/>
        </w:rPr>
        <w:t>颗粒物排放浓度最大值为11.8mg/m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eastAsia="zh-CN"/>
        </w:rPr>
        <w:t>，</w:t>
      </w:r>
      <w:r>
        <w:rPr>
          <w:rFonts w:hint="eastAsia" w:asciiTheme="minorEastAsia" w:hAnsiTheme="minorEastAsia"/>
          <w:sz w:val="28"/>
          <w:szCs w:val="28"/>
          <w:vertAlign w:val="baseline"/>
          <w:lang w:val="en-US" w:eastAsia="zh-CN"/>
        </w:rPr>
        <w:t>最大排放速率为0.087kg/h；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动力站T5转运站1#除尘器</w:t>
      </w:r>
      <w:r>
        <w:rPr>
          <w:rFonts w:hint="eastAsia" w:asciiTheme="minorEastAsia" w:hAnsiTheme="minorEastAsia"/>
          <w:sz w:val="28"/>
          <w:szCs w:val="28"/>
          <w:lang w:val="en-US" w:eastAsia="zh-CN"/>
        </w:rPr>
        <w:t>颗粒物排放浓度最大值为12.5mg/m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最大排放速率为0.088kg/h，</w:t>
      </w:r>
      <w:r>
        <w:rPr>
          <w:rFonts w:hint="eastAsia" w:asciiTheme="minorEastAsia" w:hAnsiTheme="minorEastAsia" w:eastAsiaTheme="minorEastAsia"/>
          <w:sz w:val="28"/>
          <w:szCs w:val="28"/>
          <w:lang w:val="en-US" w:eastAsia="zh-CN"/>
        </w:rPr>
        <w:t>2#除尘器</w:t>
      </w:r>
      <w:r>
        <w:rPr>
          <w:rFonts w:hint="eastAsia" w:asciiTheme="minorEastAsia" w:hAnsiTheme="minorEastAsia"/>
          <w:sz w:val="28"/>
          <w:szCs w:val="28"/>
          <w:lang w:val="en-US" w:eastAsia="zh-CN"/>
        </w:rPr>
        <w:t>颗粒物排放浓度最大值为10.8mg/m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eastAsia="zh-CN"/>
        </w:rPr>
        <w:t>，</w:t>
      </w:r>
      <w:r>
        <w:rPr>
          <w:rFonts w:hint="eastAsia" w:asciiTheme="minorEastAsia" w:hAnsiTheme="minorEastAsia"/>
          <w:sz w:val="28"/>
          <w:szCs w:val="28"/>
          <w:vertAlign w:val="baseline"/>
          <w:lang w:val="en-US" w:eastAsia="zh-CN"/>
        </w:rPr>
        <w:t>最大排放速率为0.099kg/h；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动力站T6转运站1#除尘器</w:t>
      </w:r>
      <w:r>
        <w:rPr>
          <w:rFonts w:hint="eastAsia" w:asciiTheme="minorEastAsia" w:hAnsiTheme="minorEastAsia"/>
          <w:sz w:val="28"/>
          <w:szCs w:val="28"/>
          <w:lang w:val="en-US" w:eastAsia="zh-CN"/>
        </w:rPr>
        <w:t>颗粒物排放浓度最大值为9.8mg/m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sz w:val="28"/>
          <w:szCs w:val="28"/>
          <w:vertAlign w:val="baseline"/>
          <w:lang w:val="en-US" w:eastAsia="zh-CN"/>
        </w:rPr>
        <w:t>最大排放速率为0.078kg/h，</w:t>
      </w:r>
      <w:r>
        <w:rPr>
          <w:rFonts w:hint="eastAsia" w:asciiTheme="minorEastAsia" w:hAnsiTheme="minorEastAsia" w:eastAsiaTheme="minorEastAsia"/>
          <w:sz w:val="28"/>
          <w:szCs w:val="28"/>
          <w:lang w:val="en-US" w:eastAsia="zh-CN"/>
        </w:rPr>
        <w:t>2#除尘器</w:t>
      </w:r>
      <w:r>
        <w:rPr>
          <w:rFonts w:hint="eastAsia" w:asciiTheme="minorEastAsia" w:hAnsiTheme="minorEastAsia"/>
          <w:sz w:val="28"/>
          <w:szCs w:val="28"/>
          <w:lang w:val="en-US" w:eastAsia="zh-CN"/>
        </w:rPr>
        <w:t>颗粒物排放浓度最大值为9.6mg/m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eastAsia="zh-CN"/>
        </w:rPr>
        <w:t>，</w:t>
      </w:r>
      <w:r>
        <w:rPr>
          <w:rFonts w:hint="eastAsia" w:asciiTheme="minorEastAsia" w:hAnsiTheme="minorEastAsia"/>
          <w:sz w:val="28"/>
          <w:szCs w:val="28"/>
          <w:vertAlign w:val="baseline"/>
          <w:lang w:val="en-US" w:eastAsia="zh-CN"/>
        </w:rPr>
        <w:t>最大排放速率为0.089kg/h；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vertAlign w:val="baseline"/>
          <w:lang w:val="en-US" w:eastAsia="zh-CN"/>
        </w:rPr>
      </w:pPr>
      <w:r>
        <w:rPr>
          <w:rFonts w:hint="eastAsia" w:asciiTheme="minorEastAsia" w:hAnsiTheme="minorEastAsia"/>
          <w:sz w:val="28"/>
          <w:szCs w:val="28"/>
          <w:lang w:eastAsia="zh-CN"/>
        </w:rPr>
        <w:t>动力站原煤斗</w:t>
      </w:r>
      <w:r>
        <w:rPr>
          <w:rFonts w:hint="eastAsia" w:asciiTheme="minorEastAsia" w:hAnsiTheme="minorEastAsia"/>
          <w:sz w:val="28"/>
          <w:szCs w:val="28"/>
          <w:lang w:val="en-US" w:eastAsia="zh-CN"/>
        </w:rPr>
        <w:t>7#</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颗粒物排放浓度最大值为4.9mg/m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，最大排放速率为0.030kg/h，8</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颗粒物排放浓度最大值为5.3mg/m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，最大排放速率为0.032kg/h，9</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颗粒物排放浓度最大值为5.1mg/m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，最大排放速率为0.037kg/h，10</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颗粒物排放浓度最大值为5.2mg/m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，最大排放速率为0.041kg/h，11</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颗粒物排放浓度最大值为4.4mg/m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，最大排放速率为0.029kg/h，12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颗粒物排放浓度最大值为5.2mg/m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，最大排放速率为0.043kg/h；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动力站电石渣仓除尘器A颗粒物排放浓度最大值为4.2mg/m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val="en-US" w:eastAsia="zh-CN"/>
        </w:rPr>
        <w:t>，最大排放速率为6.06</w:t>
      </w:r>
      <w:r>
        <w:rPr>
          <w:rFonts w:hint="default" w:asciiTheme="minorEastAsia" w:hAnsiTheme="minorEastAsia"/>
          <w:sz w:val="28"/>
          <w:szCs w:val="28"/>
          <w:lang w:val="en-US" w:eastAsia="zh-CN"/>
        </w:rPr>
        <w:t>×</w:t>
      </w:r>
      <w:r>
        <w:rPr>
          <w:rFonts w:hint="eastAsia" w:asciiTheme="minorEastAsia" w:hAnsiTheme="minorEastAsia"/>
          <w:sz w:val="28"/>
          <w:szCs w:val="28"/>
          <w:lang w:val="en-US" w:eastAsia="zh-CN"/>
        </w:rPr>
        <w:t>10</w:t>
      </w:r>
      <w:r>
        <w:rPr>
          <w:rFonts w:hint="eastAsia" w:asciiTheme="minorEastAsia" w:hAnsiTheme="minorEastAsia"/>
          <w:sz w:val="28"/>
          <w:szCs w:val="28"/>
          <w:vertAlign w:val="superscript"/>
          <w:lang w:val="en-US" w:eastAsia="zh-CN"/>
        </w:rPr>
        <w:t>-4</w:t>
      </w:r>
      <w:r>
        <w:rPr>
          <w:rFonts w:hint="eastAsia" w:asciiTheme="minorEastAsia" w:hAnsiTheme="minorEastAsia"/>
          <w:sz w:val="28"/>
          <w:szCs w:val="28"/>
          <w:lang w:val="en-US" w:eastAsia="zh-CN"/>
        </w:rPr>
        <w:t>kg/h，除尘器B颗粒物排放浓度最大值为4.1mg/m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val="en-US" w:eastAsia="zh-CN"/>
        </w:rPr>
        <w:t>，最大排放速率为9</w:t>
      </w:r>
      <w:r>
        <w:rPr>
          <w:rFonts w:hint="default" w:asciiTheme="minorEastAsia" w:hAnsiTheme="minorEastAsia"/>
          <w:sz w:val="28"/>
          <w:szCs w:val="28"/>
          <w:lang w:val="en-US" w:eastAsia="zh-CN"/>
        </w:rPr>
        <w:t>×</w:t>
      </w:r>
      <w:r>
        <w:rPr>
          <w:rFonts w:hint="eastAsia" w:asciiTheme="minorEastAsia" w:hAnsiTheme="minorEastAsia"/>
          <w:sz w:val="28"/>
          <w:szCs w:val="28"/>
          <w:lang w:val="en-US" w:eastAsia="zh-CN"/>
        </w:rPr>
        <w:t>10</w:t>
      </w:r>
      <w:r>
        <w:rPr>
          <w:rFonts w:hint="eastAsia" w:asciiTheme="minorEastAsia" w:hAnsiTheme="minorEastAsia"/>
          <w:sz w:val="28"/>
          <w:szCs w:val="28"/>
          <w:vertAlign w:val="superscript"/>
          <w:lang w:val="en-US" w:eastAsia="zh-CN"/>
        </w:rPr>
        <w:t>-4</w:t>
      </w:r>
      <w:r>
        <w:rPr>
          <w:rFonts w:hint="eastAsia" w:asciiTheme="minorEastAsia" w:hAnsiTheme="minorEastAsia"/>
          <w:sz w:val="28"/>
          <w:szCs w:val="28"/>
          <w:lang w:val="en-US" w:eastAsia="zh-CN"/>
        </w:rPr>
        <w:t>kg/h，除尘器C颗粒物排放浓度最大值为5.2mg/m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val="en-US" w:eastAsia="zh-CN"/>
        </w:rPr>
        <w:t>，最大排放速率为9.88</w:t>
      </w:r>
      <w:r>
        <w:rPr>
          <w:rFonts w:hint="default" w:asciiTheme="minorEastAsia" w:hAnsiTheme="minorEastAsia"/>
          <w:sz w:val="28"/>
          <w:szCs w:val="28"/>
          <w:lang w:val="en-US" w:eastAsia="zh-CN"/>
        </w:rPr>
        <w:t>×</w:t>
      </w:r>
      <w:r>
        <w:rPr>
          <w:rFonts w:hint="eastAsia" w:asciiTheme="minorEastAsia" w:hAnsiTheme="minorEastAsia"/>
          <w:sz w:val="28"/>
          <w:szCs w:val="28"/>
          <w:lang w:val="en-US" w:eastAsia="zh-CN"/>
        </w:rPr>
        <w:t>10</w:t>
      </w:r>
      <w:r>
        <w:rPr>
          <w:rFonts w:hint="eastAsia" w:asciiTheme="minorEastAsia" w:hAnsiTheme="minorEastAsia"/>
          <w:sz w:val="28"/>
          <w:szCs w:val="28"/>
          <w:vertAlign w:val="superscript"/>
          <w:lang w:val="en-US" w:eastAsia="zh-CN"/>
        </w:rPr>
        <w:t>-5</w:t>
      </w:r>
      <w:r>
        <w:rPr>
          <w:rFonts w:hint="eastAsia" w:asciiTheme="minorEastAsia" w:hAnsiTheme="minorEastAsia"/>
          <w:sz w:val="28"/>
          <w:szCs w:val="28"/>
          <w:lang w:val="en-US" w:eastAsia="zh-CN"/>
        </w:rPr>
        <w:t>kg/h，除尘器D颗粒物排放浓度最大值为4.1mg/m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lang w:val="en-US" w:eastAsia="zh-CN"/>
        </w:rPr>
        <w:t>，最大排放速率为4.71</w:t>
      </w:r>
      <w:r>
        <w:rPr>
          <w:rFonts w:hint="default" w:asciiTheme="minorEastAsia" w:hAnsiTheme="minorEastAsia"/>
          <w:sz w:val="28"/>
          <w:szCs w:val="28"/>
          <w:lang w:val="en-US" w:eastAsia="zh-CN"/>
        </w:rPr>
        <w:t>×</w:t>
      </w:r>
      <w:r>
        <w:rPr>
          <w:rFonts w:hint="eastAsia" w:asciiTheme="minorEastAsia" w:hAnsiTheme="minorEastAsia"/>
          <w:sz w:val="28"/>
          <w:szCs w:val="28"/>
          <w:lang w:val="en-US" w:eastAsia="zh-CN"/>
        </w:rPr>
        <w:t>10</w:t>
      </w:r>
      <w:r>
        <w:rPr>
          <w:rFonts w:hint="eastAsia" w:asciiTheme="minorEastAsia" w:hAnsiTheme="minorEastAsia"/>
          <w:sz w:val="28"/>
          <w:szCs w:val="28"/>
          <w:vertAlign w:val="superscript"/>
          <w:lang w:val="en-US" w:eastAsia="zh-CN"/>
        </w:rPr>
        <w:t>-4</w:t>
      </w:r>
      <w:r>
        <w:rPr>
          <w:rFonts w:hint="eastAsia" w:asciiTheme="minorEastAsia" w:hAnsiTheme="minorEastAsia"/>
          <w:sz w:val="28"/>
          <w:szCs w:val="28"/>
          <w:lang w:val="en-US" w:eastAsia="zh-CN"/>
        </w:rPr>
        <w:t>kg/h；动力站电石渣仓除尘器类型、型号和功能完全相同，电石渣仓除尘器抽测结果代表全部除尘器监测结果。</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vertAlign w:val="baseline"/>
          <w:lang w:val="en-US" w:eastAsia="zh-CN"/>
        </w:rPr>
      </w:pPr>
      <w:r>
        <w:rPr>
          <w:rFonts w:hint="eastAsia" w:asciiTheme="minorEastAsia" w:hAnsiTheme="minorEastAsia"/>
          <w:sz w:val="28"/>
          <w:szCs w:val="28"/>
          <w:vertAlign w:val="baseline"/>
          <w:lang w:val="en-US" w:eastAsia="zh-CN"/>
        </w:rPr>
        <w:t>动力站</w:t>
      </w:r>
      <w:r>
        <w:rPr>
          <w:rFonts w:hint="eastAsia" w:asciiTheme="minorEastAsia" w:hAnsiTheme="minorEastAsia"/>
          <w:sz w:val="28"/>
          <w:szCs w:val="28"/>
          <w:lang w:eastAsia="zh-CN"/>
        </w:rPr>
        <w:t>石灰石粉仓</w:t>
      </w:r>
      <w:r>
        <w:rPr>
          <w:rFonts w:hint="eastAsia" w:asciiTheme="minorEastAsia" w:hAnsiTheme="minorEastAsia"/>
          <w:sz w:val="28"/>
          <w:szCs w:val="28"/>
          <w:lang w:val="en-US" w:eastAsia="zh-CN"/>
        </w:rPr>
        <w:t>1#</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颗粒物排放浓度最大值为19.2mg/m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w:t>
      </w:r>
      <w:r>
        <w:rPr>
          <w:rFonts w:hint="eastAsia" w:asciiTheme="minorEastAsia" w:hAnsiTheme="minorEastAsia"/>
          <w:sz w:val="28"/>
          <w:szCs w:val="28"/>
          <w:lang w:val="en-US" w:eastAsia="zh-CN"/>
        </w:rPr>
        <w:t>最大排放速率为</w:t>
      </w:r>
      <w:r>
        <w:rPr>
          <w:rFonts w:hint="eastAsia" w:ascii="宋体" w:hAnsi="宋体" w:eastAsia="宋体" w:cs="宋体"/>
          <w:b w:val="0"/>
          <w:bCs w:val="0"/>
          <w:sz w:val="28"/>
          <w:szCs w:val="28"/>
          <w:vertAlign w:val="baseline"/>
          <w:lang w:val="en-US" w:eastAsia="zh-CN"/>
        </w:rPr>
        <w:t>6.86</w:t>
      </w:r>
      <w:r>
        <w:rPr>
          <w:rFonts w:hint="default" w:ascii="Arial" w:hAnsi="Arial" w:eastAsia="宋体" w:cs="Arial"/>
          <w:b w:val="0"/>
          <w:bCs w:val="0"/>
          <w:sz w:val="28"/>
          <w:szCs w:val="28"/>
          <w:vertAlign w:val="baseline"/>
          <w:lang w:val="en-US" w:eastAsia="zh-CN"/>
        </w:rPr>
        <w:t>×</w:t>
      </w:r>
      <w:r>
        <w:rPr>
          <w:rFonts w:hint="eastAsia" w:ascii="宋体" w:hAnsi="宋体" w:eastAsia="宋体" w:cs="宋体"/>
          <w:b w:val="0"/>
          <w:bCs w:val="0"/>
          <w:sz w:val="28"/>
          <w:szCs w:val="28"/>
          <w:vertAlign w:val="baseline"/>
          <w:lang w:val="en-US" w:eastAsia="zh-CN"/>
        </w:rPr>
        <w:t>10</w:t>
      </w:r>
      <w:r>
        <w:rPr>
          <w:rFonts w:hint="eastAsia" w:ascii="宋体" w:hAnsi="宋体" w:eastAsia="宋体" w:cs="宋体"/>
          <w:b w:val="0"/>
          <w:bCs w:val="0"/>
          <w:sz w:val="28"/>
          <w:szCs w:val="28"/>
          <w:vertAlign w:val="superscript"/>
          <w:lang w:val="en-US" w:eastAsia="zh-CN"/>
        </w:rPr>
        <w:t>-3</w:t>
      </w:r>
      <w:r>
        <w:rPr>
          <w:rFonts w:hint="eastAsia" w:asciiTheme="minorEastAsia" w:hAnsiTheme="minorEastAsia"/>
          <w:sz w:val="28"/>
          <w:szCs w:val="28"/>
          <w:lang w:val="en-US" w:eastAsia="zh-CN"/>
        </w:rPr>
        <w:t>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vertAlign w:val="baseline"/>
          <w:lang w:val="en-US" w:eastAsia="zh-CN"/>
        </w:rPr>
      </w:pPr>
      <w:r>
        <w:rPr>
          <w:rFonts w:hint="eastAsia" w:asciiTheme="minorEastAsia" w:hAnsiTheme="minorEastAsia"/>
          <w:sz w:val="28"/>
          <w:szCs w:val="28"/>
          <w:lang w:eastAsia="zh-CN"/>
        </w:rPr>
        <w:t>动力站灰库</w:t>
      </w:r>
      <w:r>
        <w:rPr>
          <w:rFonts w:hint="eastAsia" w:asciiTheme="minorEastAsia" w:hAnsiTheme="minorEastAsia"/>
          <w:sz w:val="28"/>
          <w:szCs w:val="28"/>
          <w:lang w:val="en-US" w:eastAsia="zh-CN"/>
        </w:rPr>
        <w:t>1#</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颗粒物排放浓度最大值为4.7mg/m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w:t>
      </w:r>
      <w:r>
        <w:rPr>
          <w:rFonts w:hint="eastAsia" w:asciiTheme="minorEastAsia" w:hAnsiTheme="minorEastAsia"/>
          <w:sz w:val="28"/>
          <w:szCs w:val="28"/>
          <w:lang w:val="en-US" w:eastAsia="zh-CN"/>
        </w:rPr>
        <w:t>最大排放速率为</w:t>
      </w:r>
      <w:r>
        <w:rPr>
          <w:rFonts w:hint="eastAsia" w:ascii="宋体" w:hAnsi="宋体" w:eastAsia="宋体" w:cs="宋体"/>
          <w:b w:val="0"/>
          <w:bCs w:val="0"/>
          <w:sz w:val="28"/>
          <w:szCs w:val="28"/>
          <w:vertAlign w:val="baseline"/>
          <w:lang w:val="en-US" w:eastAsia="zh-CN"/>
        </w:rPr>
        <w:t>9.20</w:t>
      </w:r>
      <w:r>
        <w:rPr>
          <w:rFonts w:hint="default" w:ascii="Arial" w:hAnsi="Arial" w:eastAsia="宋体" w:cs="Arial"/>
          <w:b w:val="0"/>
          <w:bCs w:val="0"/>
          <w:sz w:val="28"/>
          <w:szCs w:val="28"/>
          <w:vertAlign w:val="baseline"/>
          <w:lang w:val="en-US" w:eastAsia="zh-CN"/>
        </w:rPr>
        <w:t>×</w:t>
      </w:r>
      <w:r>
        <w:rPr>
          <w:rFonts w:hint="eastAsia" w:ascii="宋体" w:hAnsi="宋体" w:eastAsia="宋体" w:cs="宋体"/>
          <w:b w:val="0"/>
          <w:bCs w:val="0"/>
          <w:sz w:val="28"/>
          <w:szCs w:val="28"/>
          <w:vertAlign w:val="baseline"/>
          <w:lang w:val="en-US" w:eastAsia="zh-CN"/>
        </w:rPr>
        <w:t>10</w:t>
      </w:r>
      <w:r>
        <w:rPr>
          <w:rFonts w:hint="eastAsia" w:ascii="宋体" w:hAnsi="宋体" w:eastAsia="宋体" w:cs="宋体"/>
          <w:b w:val="0"/>
          <w:bCs w:val="0"/>
          <w:sz w:val="28"/>
          <w:szCs w:val="28"/>
          <w:vertAlign w:val="superscript"/>
          <w:lang w:val="en-US" w:eastAsia="zh-CN"/>
        </w:rPr>
        <w:t>-3</w:t>
      </w:r>
      <w:r>
        <w:rPr>
          <w:rFonts w:hint="eastAsia" w:asciiTheme="minorEastAsia" w:hAnsiTheme="minorEastAsia"/>
          <w:sz w:val="28"/>
          <w:szCs w:val="28"/>
          <w:lang w:val="en-US" w:eastAsia="zh-CN"/>
        </w:rPr>
        <w:t>kg/h，</w:t>
      </w:r>
      <w:r>
        <w:rPr>
          <w:rFonts w:hint="eastAsia" w:asciiTheme="minorEastAsia" w:hAnsiTheme="minorEastAsia"/>
          <w:sz w:val="28"/>
          <w:szCs w:val="28"/>
          <w:vertAlign w:val="baseline"/>
          <w:lang w:val="en-US" w:eastAsia="zh-CN"/>
        </w:rPr>
        <w:t>2</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颗粒物排放浓度最大值为4.1mg/m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w:t>
      </w:r>
      <w:r>
        <w:rPr>
          <w:rFonts w:hint="eastAsia" w:asciiTheme="minorEastAsia" w:hAnsiTheme="minorEastAsia"/>
          <w:sz w:val="28"/>
          <w:szCs w:val="28"/>
          <w:lang w:val="en-US" w:eastAsia="zh-CN"/>
        </w:rPr>
        <w:t>最大排放速率为</w:t>
      </w:r>
      <w:r>
        <w:rPr>
          <w:rFonts w:hint="eastAsia" w:hAnsi="宋体" w:eastAsia="宋体" w:cs="宋体"/>
          <w:b w:val="0"/>
          <w:bCs w:val="0"/>
          <w:sz w:val="28"/>
          <w:szCs w:val="28"/>
          <w:vertAlign w:val="baseline"/>
          <w:lang w:val="en-US" w:eastAsia="zh-CN"/>
        </w:rPr>
        <w:t>0.012</w:t>
      </w:r>
      <w:r>
        <w:rPr>
          <w:rFonts w:hint="eastAsia" w:asciiTheme="minorEastAsia" w:hAnsiTheme="minorEastAsia"/>
          <w:sz w:val="28"/>
          <w:szCs w:val="28"/>
          <w:lang w:val="en-US" w:eastAsia="zh-CN"/>
        </w:rPr>
        <w:t>kg/h，</w:t>
      </w:r>
      <w:r>
        <w:rPr>
          <w:rFonts w:hint="eastAsia" w:asciiTheme="minorEastAsia" w:hAnsiTheme="minorEastAsia"/>
          <w:sz w:val="28"/>
          <w:szCs w:val="28"/>
          <w:vertAlign w:val="baseline"/>
          <w:lang w:val="en-US" w:eastAsia="zh-CN"/>
        </w:rPr>
        <w:t>3</w:t>
      </w:r>
      <w:r>
        <w:rPr>
          <w:rFonts w:hint="eastAsia" w:asciiTheme="minorEastAsia" w:hAnsiTheme="minorEastAsia"/>
          <w:sz w:val="28"/>
          <w:szCs w:val="28"/>
          <w:lang w:val="en-US" w:eastAsia="zh-CN"/>
        </w:rPr>
        <w:t>#</w:t>
      </w:r>
      <w:r>
        <w:rPr>
          <w:rFonts w:hint="eastAsia" w:asciiTheme="minorEastAsia" w:hAnsiTheme="minorEastAsia" w:eastAsiaTheme="minorEastAsia"/>
          <w:sz w:val="28"/>
          <w:szCs w:val="28"/>
          <w:lang w:val="en-US" w:eastAsia="zh-CN"/>
        </w:rPr>
        <w:t>除尘器</w:t>
      </w:r>
      <w:r>
        <w:rPr>
          <w:rFonts w:hint="eastAsia" w:asciiTheme="minorEastAsia" w:hAnsiTheme="minorEastAsia"/>
          <w:sz w:val="28"/>
          <w:szCs w:val="28"/>
          <w:lang w:val="en-US" w:eastAsia="zh-CN"/>
        </w:rPr>
        <w:t>颗粒物排放浓度最大值为6.0mg/m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w:t>
      </w:r>
      <w:r>
        <w:rPr>
          <w:rFonts w:hint="eastAsia" w:asciiTheme="minorEastAsia" w:hAnsiTheme="minorEastAsia"/>
          <w:sz w:val="28"/>
          <w:szCs w:val="28"/>
          <w:lang w:val="en-US" w:eastAsia="zh-CN"/>
        </w:rPr>
        <w:t>最大排放速率为</w:t>
      </w:r>
      <w:r>
        <w:rPr>
          <w:rFonts w:hint="eastAsia" w:ascii="宋体" w:hAnsi="宋体" w:eastAsia="宋体" w:cs="宋体"/>
          <w:b w:val="0"/>
          <w:bCs w:val="0"/>
          <w:sz w:val="28"/>
          <w:szCs w:val="28"/>
          <w:vertAlign w:val="baseline"/>
          <w:lang w:val="en-US" w:eastAsia="zh-CN"/>
        </w:rPr>
        <w:t>8.42</w:t>
      </w:r>
      <w:r>
        <w:rPr>
          <w:rFonts w:hint="default" w:ascii="Arial" w:hAnsi="Arial" w:eastAsia="宋体" w:cs="Arial"/>
          <w:b w:val="0"/>
          <w:bCs w:val="0"/>
          <w:sz w:val="28"/>
          <w:szCs w:val="28"/>
          <w:vertAlign w:val="baseline"/>
          <w:lang w:val="en-US" w:eastAsia="zh-CN"/>
        </w:rPr>
        <w:t>×</w:t>
      </w:r>
      <w:r>
        <w:rPr>
          <w:rFonts w:hint="eastAsia" w:ascii="宋体" w:hAnsi="宋体" w:eastAsia="宋体" w:cs="宋体"/>
          <w:b w:val="0"/>
          <w:bCs w:val="0"/>
          <w:sz w:val="28"/>
          <w:szCs w:val="28"/>
          <w:vertAlign w:val="baseline"/>
          <w:lang w:val="en-US" w:eastAsia="zh-CN"/>
        </w:rPr>
        <w:t>10</w:t>
      </w:r>
      <w:r>
        <w:rPr>
          <w:rFonts w:hint="eastAsia" w:ascii="宋体" w:hAnsi="宋体" w:eastAsia="宋体" w:cs="宋体"/>
          <w:b w:val="0"/>
          <w:bCs w:val="0"/>
          <w:sz w:val="28"/>
          <w:szCs w:val="28"/>
          <w:vertAlign w:val="superscript"/>
          <w:lang w:val="en-US" w:eastAsia="zh-CN"/>
        </w:rPr>
        <w:t>-3</w:t>
      </w:r>
      <w:r>
        <w:rPr>
          <w:rFonts w:hint="eastAsia" w:asciiTheme="minorEastAsia" w:hAnsiTheme="minorEastAsia"/>
          <w:sz w:val="28"/>
          <w:szCs w:val="28"/>
          <w:lang w:val="en-US" w:eastAsia="zh-CN"/>
        </w:rPr>
        <w:t>kg/h；</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vertAlign w:val="baseline"/>
          <w:lang w:val="en-US" w:eastAsia="zh-CN"/>
        </w:rPr>
      </w:pPr>
      <w:r>
        <w:rPr>
          <w:rFonts w:hint="eastAsia" w:asciiTheme="minorEastAsia" w:hAnsiTheme="minorEastAsia"/>
          <w:sz w:val="28"/>
          <w:szCs w:val="28"/>
          <w:vertAlign w:val="baseline"/>
          <w:lang w:val="en-US" w:eastAsia="zh-CN"/>
        </w:rPr>
        <w:t>以上各生产装置除尘器最大排放浓度和排放速率均满足《大气污染物综合排放标准》（GB16297-1996）中</w:t>
      </w:r>
      <w:r>
        <w:rPr>
          <w:rFonts w:hint="eastAsia" w:ascii="宋体" w:hAnsi="宋体" w:eastAsia="宋体" w:cstheme="minorBidi"/>
          <w:b w:val="0"/>
          <w:bCs w:val="0"/>
          <w:kern w:val="2"/>
          <w:sz w:val="28"/>
          <w:szCs w:val="28"/>
          <w:lang w:val="en-US" w:eastAsia="zh-CN" w:bidi="ar-SA"/>
        </w:rPr>
        <w:t>表2新污染源排放限值</w:t>
      </w:r>
      <w:r>
        <w:rPr>
          <w:rFonts w:hint="eastAsia" w:asciiTheme="minorEastAsia" w:hAnsiTheme="minorEastAsia"/>
          <w:sz w:val="28"/>
          <w:szCs w:val="28"/>
          <w:vertAlign w:val="baseline"/>
          <w:lang w:val="en-US" w:eastAsia="zh-CN"/>
        </w:rPr>
        <w:t>；</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eastAsiaTheme="minorEastAsia"/>
          <w:sz w:val="28"/>
          <w:szCs w:val="28"/>
          <w:lang w:val="en-US" w:eastAsia="zh-CN"/>
        </w:rPr>
        <w:t>动力站2#机</w:t>
      </w:r>
      <w:r>
        <w:rPr>
          <w:rFonts w:hint="eastAsia" w:asciiTheme="minorEastAsia" w:hAnsiTheme="minorEastAsia"/>
          <w:sz w:val="28"/>
          <w:szCs w:val="28"/>
          <w:lang w:val="en-US" w:eastAsia="zh-CN"/>
        </w:rPr>
        <w:t>组颗粒物排放浓度最大值为10.2mg/m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val="en-US" w:eastAsia="zh-CN"/>
        </w:rPr>
        <w:t>，</w:t>
      </w:r>
      <w:r>
        <w:rPr>
          <w:rFonts w:hint="eastAsia" w:asciiTheme="minorEastAsia" w:hAnsiTheme="minorEastAsia"/>
          <w:sz w:val="28"/>
          <w:szCs w:val="28"/>
          <w:lang w:val="en-US" w:eastAsia="zh-CN"/>
        </w:rPr>
        <w:t>二氧化硫排放浓度最大值为23mg/m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val="en-US" w:eastAsia="zh-CN"/>
        </w:rPr>
        <w:t>，</w:t>
      </w:r>
      <w:r>
        <w:rPr>
          <w:rFonts w:hint="eastAsia" w:asciiTheme="minorEastAsia" w:hAnsiTheme="minorEastAsia"/>
          <w:sz w:val="28"/>
          <w:szCs w:val="28"/>
          <w:lang w:val="en-US" w:eastAsia="zh-CN"/>
        </w:rPr>
        <w:t>氮氧化物排放浓度最大值为42mg/m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val="en-US" w:eastAsia="zh-CN"/>
        </w:rPr>
        <w:t>，</w:t>
      </w:r>
      <w:r>
        <w:rPr>
          <w:rFonts w:hint="eastAsia" w:asciiTheme="minorEastAsia" w:hAnsiTheme="minorEastAsia"/>
          <w:sz w:val="28"/>
          <w:szCs w:val="28"/>
          <w:lang w:val="en-US" w:eastAsia="zh-CN"/>
        </w:rPr>
        <w:t>汞及其化合物最大排放浓度为</w:t>
      </w:r>
      <w:r>
        <w:rPr>
          <w:rFonts w:hint="eastAsia" w:hAnsi="宋体" w:eastAsia="宋体" w:cs="宋体"/>
          <w:b w:val="0"/>
          <w:bCs w:val="0"/>
          <w:sz w:val="28"/>
          <w:szCs w:val="28"/>
          <w:vertAlign w:val="baseline"/>
          <w:lang w:val="en-US" w:eastAsia="zh-CN"/>
        </w:rPr>
        <w:t>3.9</w:t>
      </w:r>
      <w:r>
        <w:rPr>
          <w:rFonts w:hint="eastAsia" w:ascii="宋体" w:hAnsi="宋体" w:eastAsia="宋体" w:cs="宋体"/>
          <w:b w:val="0"/>
          <w:bCs w:val="0"/>
          <w:sz w:val="28"/>
          <w:szCs w:val="28"/>
          <w:vertAlign w:val="baseline"/>
          <w:lang w:val="en-US" w:eastAsia="zh-CN"/>
        </w:rPr>
        <w:t>×10</w:t>
      </w:r>
      <w:r>
        <w:rPr>
          <w:rFonts w:hint="eastAsia" w:ascii="宋体" w:hAnsi="宋体" w:eastAsia="宋体" w:cs="宋体"/>
          <w:b w:val="0"/>
          <w:bCs w:val="0"/>
          <w:sz w:val="28"/>
          <w:szCs w:val="28"/>
          <w:vertAlign w:val="superscript"/>
          <w:lang w:val="en-US" w:eastAsia="zh-CN"/>
        </w:rPr>
        <w:t>-3</w:t>
      </w:r>
      <w:r>
        <w:rPr>
          <w:rFonts w:hint="eastAsia" w:asciiTheme="minorEastAsia" w:hAnsiTheme="minorEastAsia"/>
          <w:sz w:val="28"/>
          <w:szCs w:val="28"/>
          <w:lang w:val="en-US" w:eastAsia="zh-CN"/>
        </w:rPr>
        <w:t>mg/m</w:t>
      </w:r>
      <w:r>
        <w:rPr>
          <w:rFonts w:hint="eastAsia" w:asciiTheme="minorEastAsia" w:hAnsiTheme="minorEastAsia"/>
          <w:sz w:val="28"/>
          <w:szCs w:val="28"/>
          <w:vertAlign w:val="superscript"/>
          <w:lang w:val="en-US" w:eastAsia="zh-CN"/>
        </w:rPr>
        <w:t>3</w:t>
      </w:r>
      <w:r>
        <w:rPr>
          <w:rFonts w:hint="eastAsia" w:asciiTheme="minorEastAsia" w:hAnsiTheme="minorEastAsia"/>
          <w:sz w:val="28"/>
          <w:szCs w:val="28"/>
          <w:vertAlign w:val="baseline"/>
          <w:lang w:val="en-US" w:eastAsia="zh-CN"/>
        </w:rPr>
        <w:t>，烟气黑度小于1级，</w:t>
      </w:r>
      <w:r>
        <w:rPr>
          <w:rFonts w:hint="eastAsia" w:asciiTheme="minorEastAsia" w:hAnsiTheme="minorEastAsia"/>
          <w:sz w:val="28"/>
          <w:szCs w:val="28"/>
          <w:lang w:val="en-US" w:eastAsia="zh-CN"/>
        </w:rPr>
        <w:t>均满足《火电厂大气污染物排放标准》（GB13223-2011）燃煤锅炉大气污染物特别排放限值；氨逃逸排放浓度最大值为1.46mg/m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val="en-US" w:eastAsia="zh-CN"/>
        </w:rPr>
        <w:t>，</w:t>
      </w:r>
      <w:r>
        <w:rPr>
          <w:rFonts w:hint="eastAsia" w:asciiTheme="minorEastAsia" w:hAnsiTheme="minorEastAsia"/>
          <w:sz w:val="28"/>
          <w:szCs w:val="28"/>
          <w:lang w:val="en-US" w:eastAsia="zh-CN"/>
        </w:rPr>
        <w:t>满足《火电厂烟气脱硝工程技术规范 选择性催化还原法》（HJ 562-2010）中限值。</w:t>
      </w:r>
    </w:p>
    <w:p>
      <w:pPr>
        <w:pStyle w:val="2"/>
        <w:keepNext w:val="0"/>
        <w:keepLines w:val="0"/>
        <w:pageBreakBefore w:val="0"/>
        <w:widowControl w:val="0"/>
        <w:numPr>
          <w:ilvl w:val="0"/>
          <w:numId w:val="3"/>
        </w:numPr>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无组织废气</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本项目氨区无组织废气中氨浓度最大值为0.15mg/m</w:t>
      </w:r>
      <w:r>
        <w:rPr>
          <w:rFonts w:hint="eastAsia" w:asciiTheme="minorEastAsia" w:hAnsiTheme="minorEastAsia"/>
          <w:sz w:val="28"/>
          <w:szCs w:val="28"/>
          <w:vertAlign w:val="superscript"/>
          <w:lang w:val="en-US" w:eastAsia="zh-CN"/>
        </w:rPr>
        <w:t>3</w:t>
      </w:r>
      <w:r>
        <w:rPr>
          <w:rFonts w:hint="eastAsia" w:asciiTheme="minorEastAsia" w:hAnsiTheme="minorEastAsia" w:eastAsiaTheme="minorEastAsia"/>
          <w:sz w:val="28"/>
          <w:szCs w:val="28"/>
          <w:lang w:val="en-US" w:eastAsia="zh-CN"/>
        </w:rPr>
        <w:t>，</w:t>
      </w:r>
      <w:r>
        <w:rPr>
          <w:rFonts w:hint="eastAsia" w:asciiTheme="minorEastAsia" w:hAnsiTheme="minorEastAsia"/>
          <w:sz w:val="28"/>
          <w:szCs w:val="28"/>
          <w:lang w:val="en-US" w:eastAsia="zh-CN"/>
        </w:rPr>
        <w:t>满足</w:t>
      </w:r>
      <w:r>
        <w:rPr>
          <w:rFonts w:hint="eastAsia" w:ascii="宋体" w:hAnsi="宋体" w:eastAsia="宋体" w:cstheme="minorBidi"/>
          <w:b w:val="0"/>
          <w:bCs w:val="0"/>
          <w:kern w:val="2"/>
          <w:sz w:val="28"/>
          <w:szCs w:val="28"/>
          <w:vertAlign w:val="baseline"/>
          <w:lang w:val="en-US" w:eastAsia="zh-CN" w:bidi="ar-SA"/>
        </w:rPr>
        <w:t>《恶臭污染物排放标准》（GB14554-93）中表1二级标准新扩改建</w:t>
      </w:r>
      <w:r>
        <w:rPr>
          <w:rFonts w:hint="eastAsia" w:hAnsi="宋体" w:eastAsia="宋体" w:cstheme="minorBidi"/>
          <w:b w:val="0"/>
          <w:bCs w:val="0"/>
          <w:kern w:val="2"/>
          <w:sz w:val="28"/>
          <w:szCs w:val="28"/>
          <w:vertAlign w:val="baseline"/>
          <w:lang w:val="en-US" w:eastAsia="zh-CN" w:bidi="ar-SA"/>
        </w:rPr>
        <w:t>标准限值。</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b/>
          <w:bCs/>
          <w:sz w:val="28"/>
          <w:szCs w:val="28"/>
          <w:lang w:val="en-US" w:eastAsia="zh-CN"/>
        </w:rPr>
      </w:pPr>
      <w:bookmarkStart w:id="63" w:name="_Toc31869"/>
      <w:r>
        <w:rPr>
          <w:rFonts w:hint="eastAsia" w:hAnsi="宋体" w:eastAsia="宋体"/>
          <w:b/>
          <w:bCs/>
          <w:sz w:val="28"/>
          <w:szCs w:val="28"/>
          <w:lang w:val="en-US" w:eastAsia="zh-CN"/>
        </w:rPr>
        <w:t>11.2.3噪声</w:t>
      </w:r>
      <w:bookmarkEnd w:id="63"/>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动力站不单独评价噪声。</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b/>
          <w:bCs/>
          <w:sz w:val="28"/>
          <w:szCs w:val="28"/>
          <w:lang w:val="en-US" w:eastAsia="zh-CN"/>
        </w:rPr>
      </w:pPr>
      <w:bookmarkStart w:id="64" w:name="_Toc3067"/>
      <w:r>
        <w:rPr>
          <w:rFonts w:hint="eastAsia" w:hAnsi="宋体" w:eastAsia="宋体"/>
          <w:b/>
          <w:bCs/>
          <w:sz w:val="28"/>
          <w:szCs w:val="28"/>
          <w:lang w:val="en-US" w:eastAsia="zh-CN"/>
        </w:rPr>
        <w:t>11.2.4固体废物</w:t>
      </w:r>
      <w:bookmarkEnd w:id="64"/>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sz w:val="28"/>
          <w:szCs w:val="28"/>
          <w:lang w:val="en-US" w:eastAsia="zh-CN"/>
        </w:rPr>
        <w:t>电厂除灰PH为</w:t>
      </w:r>
      <w:r>
        <w:rPr>
          <w:rFonts w:hint="eastAsia" w:ascii="宋体" w:hAnsi="宋体" w:eastAsia="宋体" w:cs="宋体"/>
          <w:b w:val="0"/>
          <w:bCs w:val="0"/>
          <w:color w:val="auto"/>
          <w:sz w:val="28"/>
          <w:szCs w:val="28"/>
          <w:lang w:val="en-US" w:eastAsia="zh-CN"/>
        </w:rPr>
        <w:t>12.36</w:t>
      </w:r>
      <w:r>
        <w:rPr>
          <w:rFonts w:hint="eastAsia" w:ascii="宋体" w:hAnsi="宋体" w:eastAsia="宋体" w:cs="宋体"/>
          <w:sz w:val="28"/>
          <w:szCs w:val="28"/>
          <w:lang w:val="en-US" w:eastAsia="zh-CN"/>
        </w:rPr>
        <w:t>，</w:t>
      </w:r>
      <w:r>
        <w:rPr>
          <w:rFonts w:hint="eastAsia" w:ascii="宋体" w:hAnsi="宋体" w:eastAsia="宋体" w:cs="宋体"/>
          <w:i w:val="0"/>
          <w:color w:val="000000"/>
          <w:kern w:val="0"/>
          <w:sz w:val="28"/>
          <w:szCs w:val="28"/>
          <w:u w:val="none"/>
          <w:lang w:val="en-US" w:eastAsia="zh-CN" w:bidi="ar"/>
        </w:rPr>
        <w:t>满足《危险废物鉴别标准 腐蚀性鉴别》（GB5085.1-2007）标准限值，</w:t>
      </w:r>
      <w:r>
        <w:rPr>
          <w:rFonts w:hint="eastAsia" w:ascii="宋体" w:hAnsi="宋体" w:eastAsia="宋体" w:cs="宋体"/>
          <w:sz w:val="28"/>
          <w:szCs w:val="28"/>
          <w:lang w:val="en-US" w:eastAsia="zh-CN"/>
        </w:rPr>
        <w:t>总汞为0.506</w:t>
      </w:r>
      <w:r>
        <w:rPr>
          <w:rFonts w:hint="eastAsia" w:ascii="宋体" w:hAnsi="宋体" w:eastAsia="宋体" w:cs="宋体"/>
          <w:i w:val="0"/>
          <w:color w:val="000000"/>
          <w:kern w:val="0"/>
          <w:sz w:val="28"/>
          <w:szCs w:val="28"/>
          <w:u w:val="none"/>
          <w:lang w:val="en-US" w:eastAsia="zh-CN" w:bidi="ar"/>
        </w:rPr>
        <w:t>µg/L,总铬为0.06µg/L，总铜为0.03mg/L，总锌为0.02mg/L，镍为0.18mg/L，总镉、砷、总铅均未检出；《危险废物鉴别标准 浸出毒性鉴别》（GB5085.3-2007）标准限值；</w:t>
      </w:r>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电厂炉渣</w:t>
      </w:r>
      <w:r>
        <w:rPr>
          <w:rFonts w:hint="eastAsia" w:ascii="宋体" w:hAnsi="宋体" w:eastAsia="宋体" w:cs="宋体"/>
          <w:sz w:val="28"/>
          <w:szCs w:val="28"/>
          <w:lang w:val="en-US" w:eastAsia="zh-CN"/>
        </w:rPr>
        <w:t>PH为11.49，</w:t>
      </w:r>
      <w:r>
        <w:rPr>
          <w:rFonts w:hint="eastAsia" w:ascii="宋体" w:hAnsi="宋体" w:eastAsia="宋体" w:cs="宋体"/>
          <w:i w:val="0"/>
          <w:color w:val="000000"/>
          <w:kern w:val="0"/>
          <w:sz w:val="28"/>
          <w:szCs w:val="28"/>
          <w:u w:val="none"/>
          <w:lang w:val="en-US" w:eastAsia="zh-CN" w:bidi="ar"/>
        </w:rPr>
        <w:t>满足《危险废物鉴别标准 腐蚀性鉴别》（GB5085.1-2007）标准限值；</w:t>
      </w:r>
      <w:r>
        <w:rPr>
          <w:rFonts w:hint="eastAsia" w:ascii="宋体" w:hAnsi="宋体" w:eastAsia="宋体" w:cs="宋体"/>
          <w:sz w:val="28"/>
          <w:szCs w:val="28"/>
          <w:lang w:val="en-US" w:eastAsia="zh-CN"/>
        </w:rPr>
        <w:t>总汞为0.154</w:t>
      </w:r>
      <w:r>
        <w:rPr>
          <w:rFonts w:hint="eastAsia" w:ascii="宋体" w:hAnsi="宋体" w:eastAsia="宋体" w:cs="宋体"/>
          <w:i w:val="0"/>
          <w:color w:val="000000"/>
          <w:kern w:val="0"/>
          <w:sz w:val="28"/>
          <w:szCs w:val="28"/>
          <w:u w:val="none"/>
          <w:lang w:val="en-US" w:eastAsia="zh-CN" w:bidi="ar"/>
        </w:rPr>
        <w:t>µg/L,砷为4.36µg/L，总铜为0.02mg/L，总锌为0.01mg/L，镍为0.11mg/L，总镉、总铬、总铅均未检出；危险废物鉴别标准 浸出毒性鉴别》（GB5085.3-2007）标准限值；</w:t>
      </w:r>
    </w:p>
    <w:p>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电厂脱硫石膏</w:t>
      </w:r>
      <w:r>
        <w:rPr>
          <w:rFonts w:hint="eastAsia" w:ascii="宋体" w:hAnsi="宋体" w:eastAsia="宋体" w:cs="宋体"/>
          <w:sz w:val="28"/>
          <w:szCs w:val="28"/>
          <w:lang w:val="en-US" w:eastAsia="zh-CN"/>
        </w:rPr>
        <w:t>PH为7.14，</w:t>
      </w:r>
      <w:r>
        <w:rPr>
          <w:rFonts w:hint="eastAsia" w:ascii="宋体" w:hAnsi="宋体" w:eastAsia="宋体" w:cs="宋体"/>
          <w:i w:val="0"/>
          <w:color w:val="000000"/>
          <w:kern w:val="0"/>
          <w:sz w:val="28"/>
          <w:szCs w:val="28"/>
          <w:u w:val="none"/>
          <w:lang w:val="en-US" w:eastAsia="zh-CN" w:bidi="ar"/>
        </w:rPr>
        <w:t>满足《危险废物鉴别标准 腐蚀性鉴别》（GB5085.1-2007）标准限值；总镉为3.07µg/L，</w:t>
      </w:r>
      <w:r>
        <w:rPr>
          <w:rFonts w:hint="eastAsia" w:ascii="宋体" w:hAnsi="宋体" w:eastAsia="宋体" w:cs="宋体"/>
          <w:sz w:val="28"/>
          <w:szCs w:val="28"/>
          <w:lang w:val="en-US" w:eastAsia="zh-CN"/>
        </w:rPr>
        <w:t>总汞为0.184</w:t>
      </w:r>
      <w:r>
        <w:rPr>
          <w:rFonts w:hint="eastAsia" w:ascii="宋体" w:hAnsi="宋体" w:eastAsia="宋体" w:cs="宋体"/>
          <w:i w:val="0"/>
          <w:color w:val="000000"/>
          <w:kern w:val="0"/>
          <w:sz w:val="28"/>
          <w:szCs w:val="28"/>
          <w:u w:val="none"/>
          <w:lang w:val="en-US" w:eastAsia="zh-CN" w:bidi="ar"/>
        </w:rPr>
        <w:t>µg/L,砷为0.62µg/L，总铜为0.08mg/L，总锌为0.69mg/L，镍为0.20mg/L，总铬、总铅均未检出；满足《危险废物鉴别标准 浸出毒性鉴别》（GB5085.3-2007）标准限值。</w:t>
      </w:r>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ascii="宋体" w:hAnsi="宋体" w:eastAsia="宋体"/>
          <w:sz w:val="28"/>
          <w:szCs w:val="28"/>
          <w:lang w:val="en-US" w:eastAsia="zh-CN"/>
        </w:rPr>
        <w:t>固体废物主要为</w:t>
      </w:r>
      <w:r>
        <w:rPr>
          <w:rFonts w:hint="eastAsia" w:ascii="宋体" w:hAnsi="宋体" w:eastAsia="宋体"/>
          <w:b w:val="0"/>
          <w:bCs w:val="0"/>
          <w:sz w:val="28"/>
          <w:szCs w:val="28"/>
          <w:lang w:val="en-US" w:eastAsia="zh-CN"/>
        </w:rPr>
        <w:t>灰渣、粉煤灰、</w:t>
      </w:r>
      <w:r>
        <w:rPr>
          <w:rFonts w:hint="eastAsia" w:hAnsi="宋体" w:eastAsia="宋体"/>
          <w:b w:val="0"/>
          <w:bCs w:val="0"/>
          <w:sz w:val="28"/>
          <w:szCs w:val="28"/>
          <w:lang w:val="en-US" w:eastAsia="zh-CN"/>
        </w:rPr>
        <w:t>脱硫石膏、生活垃圾和工业废水处理系统污泥、</w:t>
      </w:r>
      <w:r>
        <w:rPr>
          <w:rFonts w:hint="eastAsia" w:ascii="宋体" w:hAnsi="宋体" w:eastAsia="宋体"/>
          <w:b w:val="0"/>
          <w:bCs w:val="0"/>
          <w:sz w:val="28"/>
          <w:szCs w:val="28"/>
          <w:lang w:val="en-US" w:eastAsia="zh-CN"/>
        </w:rPr>
        <w:t>废脱硝催化剂、废机油</w:t>
      </w:r>
      <w:r>
        <w:rPr>
          <w:rFonts w:hint="eastAsia" w:hAnsi="宋体" w:eastAsia="宋体"/>
          <w:b w:val="0"/>
          <w:bCs w:val="0"/>
          <w:sz w:val="28"/>
          <w:szCs w:val="28"/>
          <w:lang w:val="en-US" w:eastAsia="zh-CN"/>
        </w:rPr>
        <w:t>。</w:t>
      </w:r>
      <w:r>
        <w:rPr>
          <w:rFonts w:hint="eastAsia" w:ascii="宋体" w:hAnsi="宋体" w:eastAsia="宋体"/>
          <w:b w:val="0"/>
          <w:bCs w:val="0"/>
          <w:sz w:val="28"/>
          <w:szCs w:val="28"/>
          <w:lang w:val="en-US" w:eastAsia="zh-CN"/>
        </w:rPr>
        <w:t>灰渣、粉煤灰、</w:t>
      </w:r>
      <w:r>
        <w:rPr>
          <w:rFonts w:hint="eastAsia" w:hAnsi="宋体" w:eastAsia="宋体"/>
          <w:b w:val="0"/>
          <w:bCs w:val="0"/>
          <w:sz w:val="28"/>
          <w:szCs w:val="28"/>
          <w:lang w:val="en-US" w:eastAsia="zh-CN"/>
        </w:rPr>
        <w:t>脱硫石膏均由新疆神采东晟环保科技有限公司统一处理；验收期间未产生工业废水处理系统污泥和废脱硝催化剂，污泥产生后由新疆神采东晟环保科技有限公司处理。废脱硝催化剂产生后由有资质单位处置；</w:t>
      </w:r>
      <w:r>
        <w:rPr>
          <w:rFonts w:hint="eastAsia" w:ascii="宋体" w:hAnsi="宋体" w:eastAsia="宋体"/>
          <w:b w:val="0"/>
          <w:bCs w:val="0"/>
          <w:sz w:val="28"/>
          <w:szCs w:val="28"/>
          <w:lang w:val="en-US" w:eastAsia="zh-CN"/>
        </w:rPr>
        <w:t>废机油</w:t>
      </w:r>
      <w:r>
        <w:rPr>
          <w:rFonts w:hint="eastAsia" w:hAnsi="宋体" w:eastAsia="宋体"/>
          <w:b w:val="0"/>
          <w:bCs w:val="0"/>
          <w:sz w:val="28"/>
          <w:szCs w:val="28"/>
          <w:lang w:val="en-US" w:eastAsia="zh-CN"/>
        </w:rPr>
        <w:t>暂存在厂区危废暂存库，由新疆聚力环保科技有限公司回收处置；</w:t>
      </w:r>
      <w:r>
        <w:rPr>
          <w:rFonts w:hint="eastAsia" w:ascii="宋体" w:hAnsi="宋体" w:eastAsia="宋体"/>
          <w:b w:val="0"/>
          <w:bCs w:val="0"/>
          <w:sz w:val="28"/>
          <w:szCs w:val="28"/>
          <w:lang w:val="en-US" w:eastAsia="zh-CN"/>
        </w:rPr>
        <w:t>厂区生活垃圾</w:t>
      </w:r>
      <w:r>
        <w:rPr>
          <w:rFonts w:hint="eastAsia" w:hAnsi="宋体" w:eastAsia="宋体"/>
          <w:b w:val="0"/>
          <w:bCs w:val="0"/>
          <w:sz w:val="28"/>
          <w:szCs w:val="28"/>
          <w:lang w:val="en-US" w:eastAsia="zh-CN"/>
        </w:rPr>
        <w:t>由厂区统一清运。</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2"/>
        <w:rPr>
          <w:rFonts w:hint="eastAsia" w:hAnsi="宋体" w:eastAsia="宋体"/>
          <w:b/>
          <w:bCs/>
          <w:sz w:val="28"/>
          <w:szCs w:val="28"/>
          <w:lang w:val="en-US" w:eastAsia="zh-CN"/>
        </w:rPr>
      </w:pPr>
      <w:bookmarkStart w:id="65" w:name="_Toc20640"/>
      <w:r>
        <w:rPr>
          <w:rFonts w:hint="eastAsia" w:hAnsi="宋体" w:eastAsia="宋体"/>
          <w:b/>
          <w:bCs/>
          <w:sz w:val="28"/>
          <w:szCs w:val="28"/>
          <w:lang w:val="en-US" w:eastAsia="zh-CN"/>
        </w:rPr>
        <w:t>11.2.5污染物总量排放情况</w:t>
      </w:r>
      <w:bookmarkEnd w:id="65"/>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按照2#机组全年运行7200h及验收监测期间数据核算，污染物排放总量为：二氧化硫为157.92t/a，氮氧化物为340.8t/a。</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66" w:name="_Toc11262"/>
      <w:r>
        <w:rPr>
          <w:rFonts w:hint="eastAsia" w:hAnsi="宋体" w:eastAsia="宋体"/>
          <w:b/>
          <w:bCs/>
          <w:sz w:val="30"/>
          <w:szCs w:val="30"/>
          <w:lang w:val="en-US" w:eastAsia="zh-CN"/>
        </w:rPr>
        <w:t>11.3结论</w:t>
      </w:r>
      <w:bookmarkEnd w:id="66"/>
    </w:p>
    <w:p>
      <w:pPr>
        <w:pStyle w:val="2"/>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hAnsi="宋体" w:eastAsia="宋体"/>
          <w:b/>
          <w:bCs/>
          <w:sz w:val="30"/>
          <w:szCs w:val="30"/>
          <w:lang w:val="en-US" w:eastAsia="zh-CN"/>
        </w:rPr>
      </w:pPr>
      <w:r>
        <w:rPr>
          <w:rFonts w:hint="eastAsia" w:ascii="宋体" w:hAnsi="宋体" w:cs="宋体"/>
          <w:sz w:val="28"/>
          <w:szCs w:val="28"/>
          <w:lang w:eastAsia="zh-CN"/>
        </w:rPr>
        <w:t>本项目</w:t>
      </w:r>
      <w:r>
        <w:rPr>
          <w:rFonts w:hint="eastAsia" w:ascii="宋体" w:hAnsi="宋体" w:cs="宋体"/>
          <w:sz w:val="28"/>
          <w:szCs w:val="28"/>
        </w:rPr>
        <w:t>通过资料查阅、现场调查及污染源监测，项目在建设及运行过程中，</w:t>
      </w:r>
      <w:r>
        <w:rPr>
          <w:rFonts w:hint="eastAsia" w:ascii="宋体" w:hAnsi="宋体" w:cs="宋体"/>
          <w:sz w:val="28"/>
          <w:szCs w:val="28"/>
          <w:lang w:eastAsia="zh-CN"/>
        </w:rPr>
        <w:t>执行了</w:t>
      </w:r>
      <w:r>
        <w:rPr>
          <w:rFonts w:hint="eastAsia" w:ascii="宋体" w:hAnsi="宋体" w:cs="宋体"/>
          <w:sz w:val="28"/>
          <w:szCs w:val="28"/>
        </w:rPr>
        <w:t>环保“三同时”制度</w:t>
      </w:r>
      <w:r>
        <w:rPr>
          <w:rFonts w:hint="eastAsia" w:ascii="宋体" w:hAnsi="宋体" w:cs="宋体"/>
          <w:sz w:val="28"/>
          <w:szCs w:val="28"/>
          <w:lang w:eastAsia="zh-CN"/>
        </w:rPr>
        <w:t>，</w:t>
      </w:r>
      <w:r>
        <w:rPr>
          <w:rFonts w:hint="eastAsia" w:ascii="宋体" w:hAnsi="宋体" w:cs="宋体"/>
          <w:sz w:val="28"/>
          <w:szCs w:val="28"/>
        </w:rPr>
        <w:t>各项治理措施基本按照环评要求进行了落实，各项外排污染物达标排放，本项目的建设不会对周围环境产生明显影响；总体上符合建设项目竣工环保验收的要求，</w:t>
      </w:r>
      <w:r>
        <w:rPr>
          <w:rFonts w:hint="eastAsia" w:ascii="宋体" w:hAnsi="宋体" w:cs="宋体"/>
          <w:sz w:val="28"/>
          <w:szCs w:val="28"/>
          <w:lang w:eastAsia="zh-CN"/>
        </w:rPr>
        <w:t>建议</w:t>
      </w:r>
      <w:r>
        <w:rPr>
          <w:rFonts w:hint="eastAsia" w:ascii="宋体" w:hAnsi="宋体" w:cs="宋体"/>
          <w:sz w:val="28"/>
          <w:szCs w:val="28"/>
        </w:rPr>
        <w:t>通过竣工环保验收。</w:t>
      </w:r>
    </w:p>
    <w:p>
      <w:pPr>
        <w:pStyle w:val="2"/>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hAnsi="宋体" w:eastAsia="宋体"/>
          <w:b/>
          <w:bCs/>
          <w:sz w:val="30"/>
          <w:szCs w:val="30"/>
          <w:lang w:val="en-US" w:eastAsia="zh-CN"/>
        </w:rPr>
      </w:pPr>
      <w:bookmarkStart w:id="67" w:name="_Toc21997"/>
      <w:r>
        <w:rPr>
          <w:rFonts w:hint="eastAsia" w:hAnsi="宋体" w:eastAsia="宋体"/>
          <w:b/>
          <w:bCs/>
          <w:sz w:val="30"/>
          <w:szCs w:val="30"/>
          <w:lang w:val="en-US" w:eastAsia="zh-CN"/>
        </w:rPr>
        <w:t>11.4建议</w:t>
      </w:r>
      <w:bookmarkEnd w:id="67"/>
    </w:p>
    <w:p>
      <w:pPr>
        <w:pStyle w:val="2"/>
        <w:keepNext w:val="0"/>
        <w:keepLines w:val="0"/>
        <w:pageBreakBefore w:val="0"/>
        <w:widowControl w:val="0"/>
        <w:numPr>
          <w:ilvl w:val="0"/>
          <w:numId w:val="4"/>
        </w:numPr>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继续加强日常环保设备的管理和维护，确保各项污染物长期稳定达标排放；</w:t>
      </w:r>
    </w:p>
    <w:p>
      <w:pPr>
        <w:pStyle w:val="2"/>
        <w:keepNext w:val="0"/>
        <w:keepLines w:val="0"/>
        <w:pageBreakBefore w:val="0"/>
        <w:widowControl w:val="0"/>
        <w:numPr>
          <w:ilvl w:val="0"/>
          <w:numId w:val="4"/>
        </w:numPr>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加强在线监测设备的日常管理和维护；</w:t>
      </w:r>
    </w:p>
    <w:p>
      <w:pPr>
        <w:pStyle w:val="2"/>
        <w:keepNext w:val="0"/>
        <w:keepLines w:val="0"/>
        <w:pageBreakBefore w:val="0"/>
        <w:widowControl w:val="0"/>
        <w:numPr>
          <w:ilvl w:val="0"/>
          <w:numId w:val="4"/>
        </w:numPr>
        <w:kinsoku/>
        <w:wordWrap/>
        <w:overflowPunct/>
        <w:topLinePunct w:val="0"/>
        <w:autoSpaceDE/>
        <w:autoSpaceDN/>
        <w:bidi w:val="0"/>
        <w:adjustRightInd/>
        <w:snapToGrid/>
        <w:ind w:firstLine="560" w:firstLineChars="200"/>
        <w:jc w:val="both"/>
        <w:textAlignment w:val="auto"/>
        <w:outlineLvl w:val="9"/>
        <w:rPr>
          <w:rFonts w:hint="eastAsia" w:hAnsi="宋体" w:eastAsia="宋体"/>
          <w:b w:val="0"/>
          <w:bCs w:val="0"/>
          <w:sz w:val="28"/>
          <w:szCs w:val="28"/>
          <w:lang w:val="en-US" w:eastAsia="zh-CN"/>
        </w:rPr>
      </w:pPr>
      <w:r>
        <w:rPr>
          <w:rFonts w:hint="eastAsia" w:hAnsi="宋体" w:eastAsia="宋体"/>
          <w:b w:val="0"/>
          <w:bCs w:val="0"/>
          <w:sz w:val="28"/>
          <w:szCs w:val="28"/>
          <w:lang w:val="en-US" w:eastAsia="zh-CN"/>
        </w:rPr>
        <w:t>认真落实各项事故风险防范措施，加强风险管理和风险防控，防止污染事故的发生。</w:t>
      </w:r>
    </w:p>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ËÎÌå">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endarrow="open"/>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endarrow="open"/>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70</w:t>
                </w:r>
                <w:r>
                  <w:rPr>
                    <w:rFonts w:hint="eastAsia"/>
                    <w:lang w:eastAsia="zh-CN"/>
                  </w:rPr>
                  <w:fldChar w:fldCharType="end"/>
                </w:r>
              </w:p>
            </w:txbxContent>
          </v:textbox>
        </v:shape>
      </w:pic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95EE91"/>
    <w:multiLevelType w:val="singleLevel"/>
    <w:tmpl w:val="D395EE91"/>
    <w:lvl w:ilvl="0" w:tentative="0">
      <w:start w:val="1"/>
      <w:numFmt w:val="decimal"/>
      <w:suff w:val="nothing"/>
      <w:lvlText w:val="（%1）"/>
      <w:lvlJc w:val="left"/>
    </w:lvl>
  </w:abstractNum>
  <w:abstractNum w:abstractNumId="1">
    <w:nsid w:val="2E818D0A"/>
    <w:multiLevelType w:val="singleLevel"/>
    <w:tmpl w:val="2E818D0A"/>
    <w:lvl w:ilvl="0" w:tentative="0">
      <w:start w:val="2"/>
      <w:numFmt w:val="chineseCounting"/>
      <w:suff w:val="nothing"/>
      <w:lvlText w:val="（%1）"/>
      <w:lvlJc w:val="left"/>
      <w:rPr>
        <w:rFonts w:hint="eastAsia"/>
      </w:rPr>
    </w:lvl>
  </w:abstractNum>
  <w:abstractNum w:abstractNumId="2">
    <w:nsid w:val="3780B1A3"/>
    <w:multiLevelType w:val="singleLevel"/>
    <w:tmpl w:val="3780B1A3"/>
    <w:lvl w:ilvl="0" w:tentative="0">
      <w:start w:val="1"/>
      <w:numFmt w:val="chineseCounting"/>
      <w:suff w:val="nothing"/>
      <w:lvlText w:val="（%1）"/>
      <w:lvlJc w:val="left"/>
      <w:rPr>
        <w:rFonts w:hint="eastAsia"/>
      </w:rPr>
    </w:lvl>
  </w:abstractNum>
  <w:abstractNum w:abstractNumId="3">
    <w:nsid w:val="7741E446"/>
    <w:multiLevelType w:val="singleLevel"/>
    <w:tmpl w:val="7741E446"/>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E5AD1"/>
    <w:rsid w:val="000F472B"/>
    <w:rsid w:val="00136052"/>
    <w:rsid w:val="001506B2"/>
    <w:rsid w:val="00172332"/>
    <w:rsid w:val="0019592D"/>
    <w:rsid w:val="001D2142"/>
    <w:rsid w:val="003547ED"/>
    <w:rsid w:val="003623C7"/>
    <w:rsid w:val="0036557F"/>
    <w:rsid w:val="00373A19"/>
    <w:rsid w:val="003F3DCF"/>
    <w:rsid w:val="00553045"/>
    <w:rsid w:val="0067047E"/>
    <w:rsid w:val="00730E3A"/>
    <w:rsid w:val="007754A6"/>
    <w:rsid w:val="007A0B0F"/>
    <w:rsid w:val="008230F5"/>
    <w:rsid w:val="00870663"/>
    <w:rsid w:val="008A4AF4"/>
    <w:rsid w:val="008D10A4"/>
    <w:rsid w:val="00981684"/>
    <w:rsid w:val="00A026D3"/>
    <w:rsid w:val="00A17A6D"/>
    <w:rsid w:val="00A8418C"/>
    <w:rsid w:val="00B4582C"/>
    <w:rsid w:val="00C53ACF"/>
    <w:rsid w:val="00C61C92"/>
    <w:rsid w:val="00CC0801"/>
    <w:rsid w:val="00CD03E5"/>
    <w:rsid w:val="00CE754C"/>
    <w:rsid w:val="00E92C41"/>
    <w:rsid w:val="00F045D2"/>
    <w:rsid w:val="01FB65FF"/>
    <w:rsid w:val="02547B95"/>
    <w:rsid w:val="02841852"/>
    <w:rsid w:val="02B33E41"/>
    <w:rsid w:val="02D25DFB"/>
    <w:rsid w:val="03476C60"/>
    <w:rsid w:val="03741CBB"/>
    <w:rsid w:val="037D4257"/>
    <w:rsid w:val="03D31EE1"/>
    <w:rsid w:val="044B6DB5"/>
    <w:rsid w:val="05061746"/>
    <w:rsid w:val="050D0A60"/>
    <w:rsid w:val="06942481"/>
    <w:rsid w:val="06EA100B"/>
    <w:rsid w:val="07BC0F39"/>
    <w:rsid w:val="07FE4F2E"/>
    <w:rsid w:val="0827481D"/>
    <w:rsid w:val="08E76D88"/>
    <w:rsid w:val="098D743E"/>
    <w:rsid w:val="0B2A1190"/>
    <w:rsid w:val="0BA630F9"/>
    <w:rsid w:val="0BBE6B0C"/>
    <w:rsid w:val="0C024AA7"/>
    <w:rsid w:val="0C327A3A"/>
    <w:rsid w:val="0C953422"/>
    <w:rsid w:val="0C9F2C6D"/>
    <w:rsid w:val="0D8A712C"/>
    <w:rsid w:val="0DFD4672"/>
    <w:rsid w:val="0E9B7845"/>
    <w:rsid w:val="0FD35E37"/>
    <w:rsid w:val="103C4A7F"/>
    <w:rsid w:val="10885F14"/>
    <w:rsid w:val="115C0606"/>
    <w:rsid w:val="120D6F53"/>
    <w:rsid w:val="12AF1907"/>
    <w:rsid w:val="12BF66EF"/>
    <w:rsid w:val="13703B34"/>
    <w:rsid w:val="144D48FA"/>
    <w:rsid w:val="14580A1A"/>
    <w:rsid w:val="148F4D72"/>
    <w:rsid w:val="151F4E04"/>
    <w:rsid w:val="15CA4DE0"/>
    <w:rsid w:val="164A7327"/>
    <w:rsid w:val="18234D08"/>
    <w:rsid w:val="18592029"/>
    <w:rsid w:val="19A7611F"/>
    <w:rsid w:val="1AD557CA"/>
    <w:rsid w:val="1B041F2B"/>
    <w:rsid w:val="1B2A505D"/>
    <w:rsid w:val="1C11205F"/>
    <w:rsid w:val="1C31781F"/>
    <w:rsid w:val="1D620959"/>
    <w:rsid w:val="1D6503EB"/>
    <w:rsid w:val="1DA13237"/>
    <w:rsid w:val="1DA25220"/>
    <w:rsid w:val="1E1917AC"/>
    <w:rsid w:val="1FB44FD4"/>
    <w:rsid w:val="1FFC3910"/>
    <w:rsid w:val="205765E4"/>
    <w:rsid w:val="20C23CC8"/>
    <w:rsid w:val="22270CD6"/>
    <w:rsid w:val="225A5CAB"/>
    <w:rsid w:val="23041DB7"/>
    <w:rsid w:val="236D7C04"/>
    <w:rsid w:val="23CA1E4F"/>
    <w:rsid w:val="240A2FF2"/>
    <w:rsid w:val="240D4FB2"/>
    <w:rsid w:val="25380697"/>
    <w:rsid w:val="25573848"/>
    <w:rsid w:val="257C7240"/>
    <w:rsid w:val="25B60028"/>
    <w:rsid w:val="27805254"/>
    <w:rsid w:val="27B32884"/>
    <w:rsid w:val="27BE0215"/>
    <w:rsid w:val="2847092D"/>
    <w:rsid w:val="28503DA8"/>
    <w:rsid w:val="286D7178"/>
    <w:rsid w:val="28972717"/>
    <w:rsid w:val="29320F2F"/>
    <w:rsid w:val="2A847EA3"/>
    <w:rsid w:val="2BE045EF"/>
    <w:rsid w:val="2CE11CA1"/>
    <w:rsid w:val="2D0F435A"/>
    <w:rsid w:val="2D8C5740"/>
    <w:rsid w:val="2E075118"/>
    <w:rsid w:val="2E2B12E2"/>
    <w:rsid w:val="2F073F06"/>
    <w:rsid w:val="2F492160"/>
    <w:rsid w:val="2F94318C"/>
    <w:rsid w:val="2FA132EB"/>
    <w:rsid w:val="2FFF0EBF"/>
    <w:rsid w:val="302630DA"/>
    <w:rsid w:val="30463F89"/>
    <w:rsid w:val="305A2633"/>
    <w:rsid w:val="30BF44BD"/>
    <w:rsid w:val="329C0F57"/>
    <w:rsid w:val="34B26526"/>
    <w:rsid w:val="35C977A6"/>
    <w:rsid w:val="3600296B"/>
    <w:rsid w:val="360B036B"/>
    <w:rsid w:val="36592B1A"/>
    <w:rsid w:val="36E622A3"/>
    <w:rsid w:val="37907A5C"/>
    <w:rsid w:val="38083711"/>
    <w:rsid w:val="38F82C32"/>
    <w:rsid w:val="3986479B"/>
    <w:rsid w:val="3A1E1F97"/>
    <w:rsid w:val="3A4B23B1"/>
    <w:rsid w:val="3B384C70"/>
    <w:rsid w:val="3B9459BF"/>
    <w:rsid w:val="3BB1734C"/>
    <w:rsid w:val="3BBC3C6D"/>
    <w:rsid w:val="3BEE1FF5"/>
    <w:rsid w:val="3C405441"/>
    <w:rsid w:val="3E1F225E"/>
    <w:rsid w:val="3E5F45A5"/>
    <w:rsid w:val="3EA46674"/>
    <w:rsid w:val="3EDD0008"/>
    <w:rsid w:val="3EE415E7"/>
    <w:rsid w:val="3FB16DF6"/>
    <w:rsid w:val="40E23B83"/>
    <w:rsid w:val="41A80D1F"/>
    <w:rsid w:val="41C64271"/>
    <w:rsid w:val="41FD091B"/>
    <w:rsid w:val="42F03129"/>
    <w:rsid w:val="43A843B9"/>
    <w:rsid w:val="44397D11"/>
    <w:rsid w:val="45134584"/>
    <w:rsid w:val="456F080D"/>
    <w:rsid w:val="45C71770"/>
    <w:rsid w:val="46C16447"/>
    <w:rsid w:val="47263679"/>
    <w:rsid w:val="476557FE"/>
    <w:rsid w:val="47D1264C"/>
    <w:rsid w:val="484C12BC"/>
    <w:rsid w:val="496C651E"/>
    <w:rsid w:val="49803297"/>
    <w:rsid w:val="4A9A4452"/>
    <w:rsid w:val="4B897715"/>
    <w:rsid w:val="4C710AD7"/>
    <w:rsid w:val="4CEE1935"/>
    <w:rsid w:val="4D7451D9"/>
    <w:rsid w:val="4D7D5A7A"/>
    <w:rsid w:val="4E0F2326"/>
    <w:rsid w:val="4E0F5817"/>
    <w:rsid w:val="4E275D7E"/>
    <w:rsid w:val="4F1571CD"/>
    <w:rsid w:val="4FAD233D"/>
    <w:rsid w:val="500A72D5"/>
    <w:rsid w:val="51925C28"/>
    <w:rsid w:val="51A70D26"/>
    <w:rsid w:val="51EC6627"/>
    <w:rsid w:val="525A624C"/>
    <w:rsid w:val="527960E9"/>
    <w:rsid w:val="529B2604"/>
    <w:rsid w:val="52E56DAD"/>
    <w:rsid w:val="52ED5261"/>
    <w:rsid w:val="53962FAF"/>
    <w:rsid w:val="559D310A"/>
    <w:rsid w:val="55F30CE3"/>
    <w:rsid w:val="56695D29"/>
    <w:rsid w:val="56C67261"/>
    <w:rsid w:val="56D22383"/>
    <w:rsid w:val="56E848DE"/>
    <w:rsid w:val="573F3AA1"/>
    <w:rsid w:val="574E0174"/>
    <w:rsid w:val="59A84942"/>
    <w:rsid w:val="5A754046"/>
    <w:rsid w:val="5DFE09FA"/>
    <w:rsid w:val="5E2B7E0F"/>
    <w:rsid w:val="5E556535"/>
    <w:rsid w:val="5EAB0519"/>
    <w:rsid w:val="5EC80987"/>
    <w:rsid w:val="5ECB012F"/>
    <w:rsid w:val="5F8D6C53"/>
    <w:rsid w:val="5FDD7177"/>
    <w:rsid w:val="627614C7"/>
    <w:rsid w:val="62782EBC"/>
    <w:rsid w:val="629132CE"/>
    <w:rsid w:val="64AA6FF5"/>
    <w:rsid w:val="64D63F43"/>
    <w:rsid w:val="64E17B51"/>
    <w:rsid w:val="64E26645"/>
    <w:rsid w:val="655535FA"/>
    <w:rsid w:val="657F7AA9"/>
    <w:rsid w:val="6586751E"/>
    <w:rsid w:val="658C6182"/>
    <w:rsid w:val="658F700B"/>
    <w:rsid w:val="6590108B"/>
    <w:rsid w:val="65E76552"/>
    <w:rsid w:val="65EC4870"/>
    <w:rsid w:val="65FB5373"/>
    <w:rsid w:val="666545A7"/>
    <w:rsid w:val="66677C3E"/>
    <w:rsid w:val="66DC2E86"/>
    <w:rsid w:val="67527F62"/>
    <w:rsid w:val="678D0E0E"/>
    <w:rsid w:val="678F4301"/>
    <w:rsid w:val="67BD72BF"/>
    <w:rsid w:val="69D518B3"/>
    <w:rsid w:val="69D937DA"/>
    <w:rsid w:val="6A792A32"/>
    <w:rsid w:val="6ACE2CED"/>
    <w:rsid w:val="6B4A71C3"/>
    <w:rsid w:val="6B877C09"/>
    <w:rsid w:val="6BED5B3F"/>
    <w:rsid w:val="6C55099A"/>
    <w:rsid w:val="6C6A27F2"/>
    <w:rsid w:val="6CAB7BAE"/>
    <w:rsid w:val="6D42640A"/>
    <w:rsid w:val="6D586E08"/>
    <w:rsid w:val="6D9235D6"/>
    <w:rsid w:val="6FBD14DF"/>
    <w:rsid w:val="6FCA5123"/>
    <w:rsid w:val="70977DEC"/>
    <w:rsid w:val="70E061D0"/>
    <w:rsid w:val="72CE0253"/>
    <w:rsid w:val="73F11D32"/>
    <w:rsid w:val="749822F3"/>
    <w:rsid w:val="77B45FA3"/>
    <w:rsid w:val="77B84B7D"/>
    <w:rsid w:val="77DF3CFF"/>
    <w:rsid w:val="784E0DCB"/>
    <w:rsid w:val="797E3E74"/>
    <w:rsid w:val="79DD6FCC"/>
    <w:rsid w:val="7A3C37D5"/>
    <w:rsid w:val="7AA60E7F"/>
    <w:rsid w:val="7C753A22"/>
    <w:rsid w:val="7C81444B"/>
    <w:rsid w:val="7D79459D"/>
    <w:rsid w:val="7DAF0864"/>
    <w:rsid w:val="7E0F3E90"/>
    <w:rsid w:val="7E664C17"/>
    <w:rsid w:val="7E8D5D4F"/>
    <w:rsid w:val="7EAF3D78"/>
    <w:rsid w:val="7EBE4B79"/>
    <w:rsid w:val="7EBF2518"/>
    <w:rsid w:val="7F8A204C"/>
    <w:rsid w:val="7F9D2475"/>
    <w:rsid w:val="7FBD1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open"/>
    </o:shapedefaults>
    <o:shapelayout v:ext="edit">
      <o:idmap v:ext="edit" data="1"/>
      <o:rules v:ext="edit">
        <o:r id="V:Rule1" type="connector" idref="#_x0000_s1141"/>
        <o:r id="V:Rule2" type="connector" idref="#_x0000_s1154"/>
        <o:r id="V:Rule3" type="connector" idref="#_x0000_s1155">
          <o:proxy start="" idref="#_x0000_s1152" connectloc="3"/>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link w:val="14"/>
    <w:unhideWhenUsed/>
    <w:qFormat/>
    <w:uiPriority w:val="1"/>
    <w:rPr>
      <w:szCs w:val="21"/>
    </w:rPr>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next w:val="3"/>
    <w:qFormat/>
    <w:uiPriority w:val="0"/>
    <w:rPr>
      <w:rFonts w:ascii="宋体" w:hAnsi="Courier New"/>
      <w:szCs w:val="21"/>
    </w:rPr>
  </w:style>
  <w:style w:type="paragraph" w:styleId="3">
    <w:name w:val="toc 1"/>
    <w:basedOn w:val="1"/>
    <w:next w:val="1"/>
    <w:semiHidden/>
    <w:unhideWhenUsed/>
    <w:qFormat/>
    <w:uiPriority w:val="39"/>
  </w:style>
  <w:style w:type="paragraph" w:styleId="4">
    <w:name w:val="toc 3"/>
    <w:basedOn w:val="1"/>
    <w:next w:val="1"/>
    <w:semiHidden/>
    <w:unhideWhenUsed/>
    <w:qFormat/>
    <w:uiPriority w:val="39"/>
    <w:pPr>
      <w:ind w:left="840" w:leftChars="400"/>
    </w:pPr>
  </w:style>
  <w:style w:type="paragraph" w:styleId="5">
    <w:name w:val="Date"/>
    <w:basedOn w:val="1"/>
    <w:next w:val="1"/>
    <w:link w:val="17"/>
    <w:semiHidden/>
    <w:unhideWhenUsed/>
    <w:qFormat/>
    <w:uiPriority w:val="99"/>
    <w:pPr>
      <w:ind w:left="100" w:leftChars="2500"/>
    </w:pPr>
  </w:style>
  <w:style w:type="paragraph" w:styleId="6">
    <w:name w:val="Balloon Text"/>
    <w:basedOn w:val="1"/>
    <w:link w:val="18"/>
    <w:semiHidden/>
    <w:unhideWhenUsed/>
    <w:qFormat/>
    <w:uiPriority w:val="99"/>
    <w:rPr>
      <w:sz w:val="18"/>
      <w:szCs w:val="18"/>
    </w:r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semiHidden/>
    <w:unhideWhenUsed/>
    <w:qFormat/>
    <w:uiPriority w:val="39"/>
    <w:pPr>
      <w:ind w:left="420" w:leftChars="200"/>
    </w:pPr>
  </w:style>
  <w:style w:type="paragraph" w:styleId="10">
    <w:name w:val="Normal (Web)"/>
    <w:basedOn w:val="1"/>
    <w:semiHidden/>
    <w:unhideWhenUsed/>
    <w:qFormat/>
    <w:uiPriority w:val="99"/>
    <w:rPr>
      <w:sz w:val="24"/>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14">
    <w:name w:val=" Char Char Char Char Char Char Char Char Char Char Char Char Char Char Char Char Char Char Char Char Char Char Char Char"/>
    <w:basedOn w:val="1"/>
    <w:link w:val="13"/>
    <w:qFormat/>
    <w:uiPriority w:val="0"/>
    <w:pPr>
      <w:widowControl/>
      <w:spacing w:line="360" w:lineRule="auto"/>
      <w:jc w:val="left"/>
    </w:pPr>
    <w:rPr>
      <w:szCs w:val="21"/>
    </w:rPr>
  </w:style>
  <w:style w:type="character" w:customStyle="1" w:styleId="15">
    <w:name w:val="页眉 Char"/>
    <w:basedOn w:val="13"/>
    <w:link w:val="8"/>
    <w:semiHidden/>
    <w:qFormat/>
    <w:uiPriority w:val="99"/>
    <w:rPr>
      <w:sz w:val="18"/>
      <w:szCs w:val="18"/>
    </w:rPr>
  </w:style>
  <w:style w:type="character" w:customStyle="1" w:styleId="16">
    <w:name w:val="页脚 Char"/>
    <w:basedOn w:val="13"/>
    <w:link w:val="7"/>
    <w:semiHidden/>
    <w:qFormat/>
    <w:uiPriority w:val="99"/>
    <w:rPr>
      <w:sz w:val="18"/>
      <w:szCs w:val="18"/>
    </w:rPr>
  </w:style>
  <w:style w:type="character" w:customStyle="1" w:styleId="17">
    <w:name w:val="日期 Char"/>
    <w:basedOn w:val="13"/>
    <w:link w:val="5"/>
    <w:semiHidden/>
    <w:qFormat/>
    <w:uiPriority w:val="99"/>
  </w:style>
  <w:style w:type="character" w:customStyle="1" w:styleId="18">
    <w:name w:val="批注框文本 Char"/>
    <w:basedOn w:val="13"/>
    <w:link w:val="6"/>
    <w:semiHidden/>
    <w:qFormat/>
    <w:uiPriority w:val="99"/>
    <w:rPr>
      <w:sz w:val="18"/>
      <w:szCs w:val="18"/>
    </w:rPr>
  </w:style>
  <w:style w:type="paragraph" w:customStyle="1" w:styleId="19">
    <w:name w:val="Normal_3"/>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20">
    <w:name w:val="Normal_4"/>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21">
    <w:name w:val="Normal_6"/>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22">
    <w:name w:val="Normal_7"/>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23">
    <w:name w:val="Normal_133"/>
    <w:qFormat/>
    <w:uiPriority w:val="0"/>
    <w:pPr>
      <w:spacing w:before="120" w:after="240"/>
      <w:jc w:val="both"/>
    </w:pPr>
    <w:rPr>
      <w:rFonts w:ascii="Calibri" w:hAnsi="Calibri" w:eastAsia="Calibri" w:cs="Times New Roman"/>
      <w:sz w:val="22"/>
      <w:szCs w:val="22"/>
      <w:lang w:val="en-US" w:eastAsia="en-US" w:bidi="ar-SA"/>
    </w:rPr>
  </w:style>
  <w:style w:type="paragraph" w:customStyle="1" w:styleId="24">
    <w:name w:val="表内文字"/>
    <w:qFormat/>
    <w:uiPriority w:val="0"/>
    <w:pPr>
      <w:adjustRightInd w:val="0"/>
      <w:snapToGrid w:val="0"/>
      <w:jc w:val="center"/>
    </w:pPr>
    <w:rPr>
      <w:rFonts w:ascii="Times New Roman" w:hAnsi="Times New Roman" w:eastAsia="宋体" w:cs="Times New Roman"/>
      <w:kern w:val="0"/>
      <w:sz w:val="21"/>
      <w:szCs w:val="20"/>
      <w:lang w:val="en-US" w:eastAsia="zh-CN" w:bidi="ar-SA"/>
    </w:rPr>
  </w:style>
  <w:style w:type="character" w:customStyle="1" w:styleId="25">
    <w:name w:val="font2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0" textRotate="1"/>
    <customShpInfo spid="_x0000_s2051" textRotate="1"/>
    <customShpInfo spid="_x0000_s1040"/>
    <customShpInfo spid="_x0000_s1032"/>
    <customShpInfo spid="_x0000_s1033"/>
    <customShpInfo spid="_x0000_s1034"/>
    <customShpInfo spid="_x0000_s1035"/>
    <customShpInfo spid="_x0000_s1036"/>
    <customShpInfo spid="_x0000_s1037"/>
    <customShpInfo spid="_x0000_s1038"/>
    <customShpInfo spid="_x0000_s1041"/>
    <customShpInfo spid="_x0000_s1044"/>
    <customShpInfo spid="_x0000_s1043"/>
    <customShpInfo spid="_x0000_s1042"/>
    <customShpInfo spid="_x0000_s1045"/>
    <customShpInfo spid="_x0000_s1061"/>
    <customShpInfo spid="_x0000_s1062"/>
    <customShpInfo spid="_x0000_s1088"/>
    <customShpInfo spid="_x0000_s1086"/>
    <customShpInfo spid="_x0000_s1101"/>
    <customShpInfo spid="_x0000_s1096"/>
    <customShpInfo spid="_x0000_s1087"/>
    <customShpInfo spid="_x0000_s1083"/>
    <customShpInfo spid="_x0000_s1102"/>
    <customShpInfo spid="_x0000_s1098"/>
    <customShpInfo spid="_x0000_s1097"/>
    <customShpInfo spid="_x0000_s1090"/>
    <customShpInfo spid="_x0000_s1068"/>
    <customShpInfo spid="_x0000_s1069"/>
    <customShpInfo spid="_x0000_s1067"/>
    <customShpInfo spid="_x0000_s1066"/>
    <customShpInfo spid="_x0000_s1065"/>
    <customShpInfo spid="_x0000_s1064"/>
    <customShpInfo spid="_x0000_s1063"/>
    <customShpInfo spid="_x0000_s1089"/>
    <customShpInfo spid="_x0000_s1085"/>
    <customShpInfo spid="_x0000_s1084"/>
    <customShpInfo spid="_x0000_s1076"/>
    <customShpInfo spid="_x0000_s1075"/>
    <customShpInfo spid="_x0000_s1074"/>
    <customShpInfo spid="_x0000_s1073"/>
    <customShpInfo spid="_x0000_s1072"/>
    <customShpInfo spid="_x0000_s1071"/>
    <customShpInfo spid="_x0000_s1070"/>
    <customShpInfo spid="_x0000_s1095"/>
    <customShpInfo spid="_x0000_s1091"/>
    <customShpInfo spid="_x0000_s1079"/>
    <customShpInfo spid="_x0000_s1077"/>
    <customShpInfo spid="_x0000_s1094"/>
    <customShpInfo spid="_x0000_s1080"/>
    <customShpInfo spid="_x0000_s1078"/>
    <customShpInfo spid="_x0000_s1082"/>
    <customShpInfo spid="_x0000_s1081"/>
    <customShpInfo spid="_x0000_s1092"/>
    <customShpInfo spid="_x0000_s1093"/>
    <customShpInfo spid="_x0000_s1184"/>
    <customShpInfo spid="_x0000_s1181"/>
    <customShpInfo spid="_x0000_s1178"/>
    <customShpInfo spid="_x0000_s1108"/>
    <customShpInfo spid="_x0000_s1106"/>
    <customShpInfo spid="_x0000_s1104"/>
    <customShpInfo spid="_x0000_s1179"/>
    <customShpInfo spid="_x0000_s1119"/>
    <customShpInfo spid="_x0000_s1109"/>
    <customShpInfo spid="_x0000_s1110"/>
    <customShpInfo spid="_x0000_s1107"/>
    <customShpInfo spid="_x0000_s1105"/>
    <customShpInfo spid="_x0000_s1103"/>
    <customShpInfo spid="_x0000_s1180"/>
    <customShpInfo spid="_x0000_s1121"/>
    <customShpInfo spid="_x0000_s1111"/>
    <customShpInfo spid="_x0000_s1117"/>
    <customShpInfo spid="_x0000_s1186"/>
    <customShpInfo spid="_x0000_s1185"/>
    <customShpInfo spid="_x0000_s1116"/>
    <customShpInfo spid="_x0000_s1132"/>
    <customShpInfo spid="_x0000_s1134"/>
    <customShpInfo spid="_x0000_s1126"/>
    <customShpInfo spid="_x0000_s1124"/>
    <customShpInfo spid="_x0000_s1123"/>
    <customShpInfo spid="_x0000_s1128"/>
    <customShpInfo spid="_x0000_s1127"/>
    <customShpInfo spid="_x0000_s1125"/>
    <customShpInfo spid="_x0000_s1129"/>
    <customShpInfo spid="_x0000_s1130"/>
    <customShpInfo spid="_x0000_s1133"/>
    <customShpInfo spid="_x0000_s1150"/>
    <customShpInfo spid="_x0000_s1140"/>
    <customShpInfo spid="_x0000_s1139"/>
    <customShpInfo spid="_x0000_s1138"/>
    <customShpInfo spid="_x0000_s1137"/>
    <customShpInfo spid="_x0000_s1136"/>
    <customShpInfo spid="_x0000_s1141"/>
    <customShpInfo spid="_x0000_s1135"/>
    <customShpInfo spid="_x0000_s1151"/>
    <customShpInfo spid="_x0000_s1146"/>
    <customShpInfo spid="_x0000_s1144"/>
    <customShpInfo spid="_x0000_s1142"/>
    <customShpInfo spid="_x0000_s1147"/>
    <customShpInfo spid="_x0000_s1145"/>
    <customShpInfo spid="_x0000_s1143"/>
    <customShpInfo spid="_x0000_s1168"/>
    <customShpInfo spid="_x0000_s1172"/>
    <customShpInfo spid="_x0000_s1169"/>
    <customShpInfo spid="_x0000_s1160"/>
    <customShpInfo spid="_x0000_s1156"/>
    <customShpInfo spid="_x0000_s1162"/>
    <customShpInfo spid="_x0000_s1158"/>
    <customShpInfo spid="_x0000_s1154"/>
    <customShpInfo spid="_x0000_s1175"/>
    <customShpInfo spid="_x0000_s1163"/>
    <customShpInfo spid="_x0000_s1161"/>
    <customShpInfo spid="_x0000_s1174"/>
    <customShpInfo spid="_x0000_s1157"/>
    <customShpInfo spid="_x0000_s1155"/>
    <customShpInfo spid="_x0000_s1152"/>
    <customShpInfo spid="_x0000_s1173"/>
    <customShpInfo spid="_x0000_s1170"/>
    <customShpInfo spid="_x0000_s1159"/>
    <customShpInfo spid="_x0000_s1187"/>
    <customShpInfo spid="_x0000_s1031"/>
    <customShpInfo spid="_x0000_s1052"/>
    <customShpInfo spid="_x0000_s1030"/>
    <customShpInfo spid="_x0000_s1029"/>
    <customShpInfo spid="_x0000_s1027"/>
    <customShpInfo spid="_x0000_s1026"/>
    <customShpInfo spid="_x0000_s1053"/>
    <customShpInfo spid="_x0000_s1048"/>
    <customShpInfo spid="_x0000_s1039"/>
    <customShpInfo spid="_x0000_s1046"/>
    <customShpInfo spid="_x0000_s1028"/>
    <customShpInfo spid="_x0000_s1047"/>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32935</Words>
  <Characters>45297</Characters>
  <Lines>27</Lines>
  <Paragraphs>7</Paragraphs>
  <TotalTime>8</TotalTime>
  <ScaleCrop>false</ScaleCrop>
  <LinksUpToDate>false</LinksUpToDate>
  <CharactersWithSpaces>49286</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2018-10-09T03:14:00Z</dcterms:created>
  <dc:creator>dell</dc:creator>
  <cp:lastModifiedBy>睿长生</cp:lastModifiedBy>
  <dcterms:modified xsi:type="dcterms:W3CDTF">2019-06-03T09:38:57Z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