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2019年</w:t>
      </w:r>
      <w:r>
        <w:rPr>
          <w:rFonts w:hint="default" w:ascii="方正小标宋简体" w:hAnsi="Calibri" w:eastAsia="方正小标宋简体"/>
          <w:sz w:val="44"/>
          <w:szCs w:val="44"/>
          <w:lang w:val="en-US"/>
        </w:rPr>
        <w:t>8</w:t>
      </w:r>
      <w:r>
        <w:rPr>
          <w:rFonts w:hint="eastAsia" w:ascii="方正小标宋简体" w:hAnsi="Calibri" w:eastAsia="方正小标宋简体"/>
          <w:sz w:val="44"/>
          <w:szCs w:val="44"/>
        </w:rPr>
        <w:t>月自治区14城市及兵团2城市</w:t>
      </w:r>
    </w:p>
    <w:p>
      <w:pPr>
        <w:widowControl/>
        <w:spacing w:line="560" w:lineRule="exact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环境空气质量状况及排名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按照《关于印发&lt;自治区打赢蓝天保卫战三年行动计划（2018-2020年）&gt;的通知》（新政办发〔2018〕66号）的信息公开要求，</w:t>
      </w:r>
      <w:r>
        <w:rPr>
          <w:rFonts w:hint="eastAsia" w:ascii="仿宋_GB2312" w:hAnsi="仿宋" w:eastAsia="仿宋_GB2312"/>
          <w:kern w:val="0"/>
          <w:sz w:val="32"/>
          <w:szCs w:val="32"/>
        </w:rPr>
        <w:t>现将2019年</w:t>
      </w:r>
      <w:r>
        <w:rPr>
          <w:rFonts w:hint="default" w:ascii="仿宋_GB2312" w:hAnsi="仿宋" w:eastAsia="仿宋_GB2312"/>
          <w:kern w:val="0"/>
          <w:sz w:val="32"/>
          <w:szCs w:val="32"/>
          <w:lang w:val="en-US"/>
        </w:rPr>
        <w:t>8</w:t>
      </w:r>
      <w:r>
        <w:rPr>
          <w:rFonts w:hint="eastAsia" w:ascii="仿宋_GB2312" w:hAnsi="仿宋" w:eastAsia="仿宋_GB2312"/>
          <w:kern w:val="0"/>
          <w:sz w:val="32"/>
          <w:szCs w:val="32"/>
        </w:rPr>
        <w:t>月自治区14城市（地州市人民政府〈行政公署〉所在城市，下同）和兵团石河子、五家渠2城市空气质量状况及排名情况公开如下：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一、空气质量状况及变化</w:t>
      </w:r>
    </w:p>
    <w:p>
      <w:pPr>
        <w:widowControl/>
        <w:spacing w:line="580" w:lineRule="exact"/>
        <w:ind w:firstLine="641"/>
        <w:jc w:val="left"/>
        <w:rPr>
          <w:rFonts w:ascii="仿宋" w:hAnsi="仿宋" w:eastAsia="仿宋" w:cs="Times New Roman"/>
          <w:color w:val="FF0000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2019年8月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，自治区14城市平均优良天数比例为86.8%，轻度污染比例为7.3%，中度污染比例为3.2%，重度污染比例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</w:rPr>
        <w:t>为0.9%，严重污染比例为1.8%，首要污染物为PM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:vertAlign w:val="subscript"/>
        </w:rPr>
        <w:t>10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</w:rPr>
        <w:t>和O</w:t>
      </w:r>
      <w:r>
        <w:rPr>
          <w:rFonts w:ascii="仿宋" w:hAnsi="仿宋" w:eastAsia="仿宋" w:cs="Times New Roman"/>
          <w:color w:val="000000" w:themeColor="text1"/>
          <w:kern w:val="0"/>
          <w:sz w:val="32"/>
          <w:szCs w:val="32"/>
          <w:vertAlign w:val="subscript"/>
        </w:rPr>
        <w:t>3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</w:rPr>
        <w:t>。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与去年同期相比，平均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</w:rPr>
        <w:t>优良天数比例增加2.1个百分点，轻度污染比例减少1.8个百分点，中度污染比例减少0.1</w:t>
      </w:r>
      <w:r>
        <w:rPr>
          <w:rFonts w:ascii="仿宋" w:hAnsi="仿宋" w:eastAsia="仿宋" w:cs="Times New Roman"/>
          <w:color w:val="000000" w:themeColor="text1"/>
          <w:kern w:val="0"/>
          <w:sz w:val="32"/>
          <w:szCs w:val="32"/>
        </w:rPr>
        <w:t>个百分点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</w:rPr>
        <w:t>，重度污染比例增加0.1个百分点，严重污染比例减少0.3个百分点，空气质量略有好转。</w:t>
      </w:r>
    </w:p>
    <w:p>
      <w:pPr>
        <w:widowControl/>
        <w:spacing w:line="580" w:lineRule="exact"/>
        <w:ind w:firstLine="641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兵团石河子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、</w:t>
      </w:r>
      <w:r>
        <w:rPr>
          <w:rFonts w:ascii="仿宋" w:hAnsi="仿宋" w:eastAsia="仿宋" w:cs="Times New Roman"/>
          <w:kern w:val="0"/>
          <w:sz w:val="32"/>
          <w:szCs w:val="32"/>
        </w:rPr>
        <w:t>五家渠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2城市平均优良天数比例为96.8%，轻度污染比例为3.2%，未出现中度、重度及严重污染天气，首要污染物主要为O</w:t>
      </w:r>
      <w:r>
        <w:rPr>
          <w:rFonts w:ascii="仿宋" w:hAnsi="仿宋" w:eastAsia="仿宋" w:cs="Times New Roman"/>
          <w:kern w:val="0"/>
          <w:sz w:val="32"/>
          <w:szCs w:val="32"/>
          <w:vertAlign w:val="subscript"/>
        </w:rPr>
        <w:t>3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。</w:t>
      </w:r>
      <w:r>
        <w:rPr>
          <w:rFonts w:hint="eastAsia" w:ascii="仿宋" w:hAnsi="仿宋" w:eastAsia="仿宋"/>
          <w:kern w:val="0"/>
          <w:sz w:val="32"/>
          <w:szCs w:val="32"/>
        </w:rPr>
        <w:t>与去年同期相比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，平均优良天数比例增加1.6个百分点，轻度污染比例减少1.6个百分点，中度、重度及严重污染比例均持平，</w:t>
      </w:r>
      <w:r>
        <w:rPr>
          <w:rFonts w:ascii="仿宋" w:hAnsi="仿宋" w:eastAsia="仿宋" w:cs="Times New Roman"/>
          <w:kern w:val="0"/>
          <w:sz w:val="32"/>
          <w:szCs w:val="32"/>
        </w:rPr>
        <w:t>空气质量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略有好转。</w:t>
      </w:r>
    </w:p>
    <w:p>
      <w:pPr>
        <w:tabs>
          <w:tab w:val="left" w:pos="4536"/>
        </w:tabs>
        <w:spacing w:line="580" w:lineRule="exact"/>
        <w:ind w:firstLine="641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2019年8月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，自治区14城市PM</w:t>
      </w:r>
      <w:r>
        <w:rPr>
          <w:rFonts w:hint="eastAsia" w:ascii="仿宋" w:hAnsi="仿宋" w:eastAsia="仿宋" w:cs="Times New Roman"/>
          <w:kern w:val="0"/>
          <w:sz w:val="32"/>
          <w:szCs w:val="32"/>
          <w:vertAlign w:val="subscript"/>
        </w:rPr>
        <w:t>2.5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平均浓度为29</w:t>
      </w:r>
      <w:r>
        <w:rPr>
          <w:rFonts w:ascii="仿宋" w:hAnsi="仿宋" w:eastAsia="仿宋" w:cs="Times New Roman"/>
          <w:kern w:val="0"/>
          <w:sz w:val="32"/>
          <w:szCs w:val="32"/>
        </w:rPr>
        <w:t>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，与去年同期相比上升31.8%；NO</w:t>
      </w:r>
      <w:r>
        <w:rPr>
          <w:rFonts w:hint="eastAsia" w:ascii="仿宋" w:hAnsi="仿宋" w:eastAsia="仿宋" w:cs="Times New Roman"/>
          <w:kern w:val="0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平均浓度为21</w:t>
      </w:r>
      <w:r>
        <w:rPr>
          <w:rFonts w:ascii="仿宋" w:hAnsi="仿宋" w:eastAsia="仿宋" w:cs="Times New Roman"/>
          <w:kern w:val="0"/>
          <w:sz w:val="32"/>
          <w:szCs w:val="32"/>
        </w:rPr>
        <w:t>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，同比上升16.7%；O</w:t>
      </w:r>
      <w:r>
        <w:rPr>
          <w:rFonts w:hint="eastAsia" w:ascii="仿宋" w:hAnsi="仿宋" w:eastAsia="仿宋" w:cs="Times New Roman"/>
          <w:kern w:val="0"/>
          <w:sz w:val="32"/>
          <w:szCs w:val="32"/>
          <w:vertAlign w:val="subscript"/>
        </w:rPr>
        <w:t>3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日最大8小时平均浓度为109</w:t>
      </w:r>
      <w:r>
        <w:rPr>
          <w:rFonts w:ascii="仿宋" w:hAnsi="仿宋" w:eastAsia="仿宋" w:cs="Times New Roman"/>
          <w:kern w:val="0"/>
          <w:sz w:val="32"/>
          <w:szCs w:val="32"/>
        </w:rPr>
        <w:t>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，同比上升9.0%； PM</w:t>
      </w:r>
      <w:r>
        <w:rPr>
          <w:rFonts w:hint="eastAsia" w:ascii="仿宋" w:hAnsi="仿宋" w:eastAsia="仿宋" w:cs="Times New Roman"/>
          <w:kern w:val="0"/>
          <w:sz w:val="32"/>
          <w:szCs w:val="32"/>
          <w:vertAlign w:val="subscript"/>
        </w:rPr>
        <w:t>10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平均浓度为88</w:t>
      </w:r>
      <w:r>
        <w:rPr>
          <w:rFonts w:ascii="仿宋" w:hAnsi="仿宋" w:eastAsia="仿宋" w:cs="Times New Roman"/>
          <w:kern w:val="0"/>
          <w:sz w:val="32"/>
          <w:szCs w:val="32"/>
        </w:rPr>
        <w:t>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，同比上升6.0%； CO平均浓度为0</w:t>
      </w:r>
      <w:r>
        <w:rPr>
          <w:rFonts w:ascii="仿宋" w:hAnsi="仿宋" w:eastAsia="仿宋" w:cs="Times New Roman"/>
          <w:kern w:val="0"/>
          <w:sz w:val="32"/>
          <w:szCs w:val="32"/>
        </w:rPr>
        <w:t>.6mg/m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，同比持平；SO</w:t>
      </w:r>
      <w:r>
        <w:rPr>
          <w:rFonts w:hint="eastAsia" w:ascii="仿宋" w:hAnsi="仿宋" w:eastAsia="仿宋" w:cs="Times New Roman"/>
          <w:kern w:val="0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平均浓度为6</w:t>
      </w:r>
      <w:r>
        <w:rPr>
          <w:rFonts w:ascii="仿宋" w:hAnsi="仿宋" w:eastAsia="仿宋" w:cs="Times New Roman"/>
          <w:kern w:val="0"/>
          <w:sz w:val="32"/>
          <w:szCs w:val="32"/>
        </w:rPr>
        <w:t>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，同比下降14.3%。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兵团2城市NO</w:t>
      </w:r>
      <w:r>
        <w:rPr>
          <w:rFonts w:hint="eastAsia" w:ascii="仿宋" w:hAnsi="仿宋" w:eastAsia="仿宋" w:cs="Times New Roman"/>
          <w:kern w:val="0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平均浓度为28</w:t>
      </w:r>
      <w:r>
        <w:rPr>
          <w:rFonts w:ascii="仿宋" w:hAnsi="仿宋" w:eastAsia="仿宋" w:cs="Times New Roman"/>
          <w:kern w:val="0"/>
          <w:sz w:val="32"/>
          <w:szCs w:val="32"/>
        </w:rPr>
        <w:t>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，与去年同期相比上升27.3%；CO平均浓度为0</w:t>
      </w:r>
      <w:r>
        <w:rPr>
          <w:rFonts w:ascii="仿宋" w:hAnsi="仿宋" w:eastAsia="仿宋" w:cs="Times New Roman"/>
          <w:kern w:val="0"/>
          <w:sz w:val="32"/>
          <w:szCs w:val="32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6</w:t>
      </w:r>
      <w:r>
        <w:rPr>
          <w:rFonts w:ascii="仿宋" w:hAnsi="仿宋" w:eastAsia="仿宋" w:cs="Times New Roman"/>
          <w:kern w:val="0"/>
          <w:sz w:val="32"/>
          <w:szCs w:val="32"/>
        </w:rPr>
        <w:t>mg/m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，同比上升20%；PM</w:t>
      </w:r>
      <w:r>
        <w:rPr>
          <w:rFonts w:hint="eastAsia" w:ascii="仿宋" w:hAnsi="仿宋" w:eastAsia="仿宋" w:cs="Times New Roman"/>
          <w:kern w:val="0"/>
          <w:sz w:val="32"/>
          <w:szCs w:val="32"/>
          <w:vertAlign w:val="subscript"/>
        </w:rPr>
        <w:t>2.5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平均浓度为19</w:t>
      </w:r>
      <w:r>
        <w:rPr>
          <w:rFonts w:ascii="仿宋" w:hAnsi="仿宋" w:eastAsia="仿宋" w:cs="Times New Roman"/>
          <w:kern w:val="0"/>
          <w:sz w:val="32"/>
          <w:szCs w:val="32"/>
        </w:rPr>
        <w:t>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，同比上升11.8%；SO</w:t>
      </w:r>
      <w:r>
        <w:rPr>
          <w:rFonts w:hint="eastAsia" w:ascii="仿宋" w:hAnsi="仿宋" w:eastAsia="仿宋" w:cs="Times New Roman"/>
          <w:kern w:val="0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平均浓度为</w:t>
      </w:r>
      <w:r>
        <w:rPr>
          <w:rFonts w:ascii="仿宋" w:hAnsi="仿宋" w:eastAsia="仿宋" w:cs="Times New Roman"/>
          <w:kern w:val="0"/>
          <w:sz w:val="32"/>
          <w:szCs w:val="32"/>
        </w:rPr>
        <w:t>1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1</w:t>
      </w:r>
      <w:r>
        <w:rPr>
          <w:rFonts w:ascii="仿宋" w:hAnsi="仿宋" w:eastAsia="仿宋" w:cs="Times New Roman"/>
          <w:kern w:val="0"/>
          <w:sz w:val="32"/>
          <w:szCs w:val="32"/>
        </w:rPr>
        <w:t>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，同比上升10.0%；O</w:t>
      </w:r>
      <w:r>
        <w:rPr>
          <w:rFonts w:hint="eastAsia" w:ascii="仿宋" w:hAnsi="仿宋" w:eastAsia="仿宋" w:cs="Times New Roman"/>
          <w:kern w:val="0"/>
          <w:sz w:val="32"/>
          <w:szCs w:val="32"/>
          <w:vertAlign w:val="subscript"/>
        </w:rPr>
        <w:t>3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日最大8小时平均浓度为119</w:t>
      </w:r>
      <w:r>
        <w:rPr>
          <w:rFonts w:ascii="仿宋" w:hAnsi="仿宋" w:eastAsia="仿宋" w:cs="Times New Roman"/>
          <w:kern w:val="0"/>
          <w:sz w:val="32"/>
          <w:szCs w:val="32"/>
        </w:rPr>
        <w:t>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，同比上升5.3%；PM</w:t>
      </w:r>
      <w:r>
        <w:rPr>
          <w:rFonts w:hint="eastAsia" w:ascii="仿宋" w:hAnsi="仿宋" w:eastAsia="仿宋" w:cs="Times New Roman"/>
          <w:kern w:val="0"/>
          <w:sz w:val="32"/>
          <w:szCs w:val="32"/>
          <w:vertAlign w:val="subscript"/>
        </w:rPr>
        <w:t>10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平均浓度为57</w:t>
      </w:r>
      <w:r>
        <w:rPr>
          <w:rFonts w:ascii="仿宋" w:hAnsi="仿宋" w:eastAsia="仿宋" w:cs="Times New Roman"/>
          <w:kern w:val="0"/>
          <w:sz w:val="32"/>
          <w:szCs w:val="32"/>
        </w:rPr>
        <w:t>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，同比</w:t>
      </w:r>
      <w:r>
        <w:rPr>
          <w:rFonts w:hint="eastAsia" w:ascii="仿宋" w:hAnsi="仿宋" w:eastAsia="仿宋"/>
          <w:kern w:val="0"/>
          <w:sz w:val="32"/>
          <w:szCs w:val="32"/>
        </w:rPr>
        <w:t>上升1.8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%（见表</w:t>
      </w:r>
      <w:r>
        <w:rPr>
          <w:rFonts w:ascii="仿宋" w:hAnsi="仿宋" w:eastAsia="仿宋" w:cs="Times New Roman"/>
          <w:kern w:val="0"/>
          <w:sz w:val="32"/>
          <w:szCs w:val="32"/>
        </w:rPr>
        <w:t>1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）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  <w:sectPr>
          <w:pgSz w:w="11906" w:h="16838"/>
          <w:pgMar w:top="2041" w:right="1531" w:bottom="1531" w:left="1531" w:header="851" w:footer="992" w:gutter="0"/>
          <w:cols w:space="425" w:num="1"/>
          <w:docGrid w:type="lines" w:linePitch="312" w:charSpace="0"/>
        </w:sectPr>
      </w:pPr>
      <w:r>
        <w:rPr>
          <w:rFonts w:ascii="仿宋" w:hAnsi="仿宋" w:eastAsia="仿宋" w:cs="Times New Roman"/>
          <w:kern w:val="0"/>
          <w:sz w:val="32"/>
          <w:szCs w:val="32"/>
        </w:rPr>
        <w:t>2019年8月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，自治区14城市共</w:t>
      </w:r>
      <w:r>
        <w:rPr>
          <w:rFonts w:ascii="仿宋" w:hAnsi="仿宋" w:eastAsia="仿宋" w:cs="Times New Roman"/>
          <w:kern w:val="0"/>
          <w:sz w:val="32"/>
          <w:szCs w:val="32"/>
        </w:rPr>
        <w:t>出现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1次区域性沙尘天气，比</w:t>
      </w:r>
      <w:r>
        <w:rPr>
          <w:rFonts w:hint="eastAsia" w:ascii="仿宋" w:hAnsi="仿宋" w:eastAsia="仿宋"/>
          <w:kern w:val="0"/>
          <w:sz w:val="32"/>
          <w:szCs w:val="32"/>
        </w:rPr>
        <w:t>去年同期减少1次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；出现3次局地性沙尘天气，同比增加3次，沙尘天气频次和强度增加，但持续时间有所减少。</w:t>
      </w:r>
      <w:r>
        <w:rPr>
          <w:rFonts w:hint="eastAsia" w:ascii="仿宋" w:hAnsi="仿宋" w:eastAsia="仿宋"/>
          <w:kern w:val="0"/>
          <w:sz w:val="32"/>
          <w:szCs w:val="32"/>
        </w:rPr>
        <w:t>兵团2城市未出现沙尘天气，同比持平。</w:t>
      </w:r>
    </w:p>
    <w:p>
      <w:pPr>
        <w:spacing w:line="360" w:lineRule="exact"/>
        <w:jc w:val="center"/>
        <w:rPr>
          <w:rFonts w:ascii="仿宋_GB2312" w:hAnsi="Calibri" w:eastAsia="仿宋_GB2312" w:cs="Times New Roman"/>
          <w:b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sz w:val="24"/>
          <w:szCs w:val="24"/>
        </w:rPr>
        <w:t>表</w:t>
      </w:r>
      <w:r>
        <w:rPr>
          <w:rFonts w:ascii="仿宋_GB2312" w:hAnsi="Times New Roman" w:eastAsia="仿宋_GB2312" w:cs="Times New Roman"/>
          <w:b/>
          <w:sz w:val="24"/>
          <w:szCs w:val="24"/>
        </w:rPr>
        <w:t>1</w:t>
      </w:r>
      <w:r>
        <w:rPr>
          <w:rFonts w:hint="eastAsia" w:ascii="仿宋_GB2312" w:hAnsi="Times New Roman" w:eastAsia="仿宋_GB2312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eastAsia="仿宋_GB2312" w:cs="Times New Roman"/>
          <w:b/>
          <w:sz w:val="24"/>
          <w:szCs w:val="24"/>
        </w:rPr>
        <w:t>2019年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8月</w:t>
      </w:r>
      <w:r>
        <w:rPr>
          <w:rFonts w:hint="eastAsia" w:ascii="仿宋_GB2312" w:hAnsi="Times New Roman" w:eastAsia="仿宋_GB2312" w:cs="Times New Roman"/>
          <w:b/>
          <w:sz w:val="24"/>
          <w:szCs w:val="24"/>
        </w:rPr>
        <w:t>自治区</w:t>
      </w:r>
      <w:r>
        <w:rPr>
          <w:rFonts w:hint="eastAsia" w:ascii="仿宋_GB2312" w:hAnsi="Calibri" w:eastAsia="仿宋_GB2312" w:cs="Times New Roman"/>
          <w:b/>
          <w:sz w:val="24"/>
          <w:szCs w:val="24"/>
        </w:rPr>
        <w:t>14城市及兵团2城市空气质量情况</w:t>
      </w:r>
    </w:p>
    <w:p/>
    <w:tbl>
      <w:tblPr>
        <w:tblStyle w:val="8"/>
        <w:tblW w:w="147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760"/>
        <w:gridCol w:w="760"/>
        <w:gridCol w:w="724"/>
        <w:gridCol w:w="505"/>
        <w:gridCol w:w="505"/>
        <w:gridCol w:w="756"/>
        <w:gridCol w:w="490"/>
        <w:gridCol w:w="505"/>
        <w:gridCol w:w="756"/>
        <w:gridCol w:w="490"/>
        <w:gridCol w:w="490"/>
        <w:gridCol w:w="756"/>
        <w:gridCol w:w="490"/>
        <w:gridCol w:w="490"/>
        <w:gridCol w:w="756"/>
        <w:gridCol w:w="694"/>
        <w:gridCol w:w="694"/>
        <w:gridCol w:w="756"/>
        <w:gridCol w:w="694"/>
        <w:gridCol w:w="694"/>
        <w:gridCol w:w="7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tblHeader/>
          <w:jc w:val="center"/>
        </w:trPr>
        <w:tc>
          <w:tcPr>
            <w:tcW w:w="1265" w:type="dxa"/>
            <w:vMerge w:val="restart"/>
            <w:tcBorders>
              <w:top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城市</w:t>
            </w:r>
          </w:p>
        </w:tc>
        <w:tc>
          <w:tcPr>
            <w:tcW w:w="224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优良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天数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比例(AQI)</w:t>
            </w:r>
          </w:p>
        </w:tc>
        <w:tc>
          <w:tcPr>
            <w:tcW w:w="176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PM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  <w:vertAlign w:val="subscript"/>
              </w:rPr>
              <w:t>10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μ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g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/m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）</w:t>
            </w:r>
          </w:p>
        </w:tc>
        <w:tc>
          <w:tcPr>
            <w:tcW w:w="175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PM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  <w:vertAlign w:val="subscript"/>
              </w:rPr>
              <w:t>2.5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μ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g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/m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）</w:t>
            </w:r>
          </w:p>
        </w:tc>
        <w:tc>
          <w:tcPr>
            <w:tcW w:w="173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SO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μ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g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/m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）</w:t>
            </w:r>
          </w:p>
        </w:tc>
        <w:tc>
          <w:tcPr>
            <w:tcW w:w="173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NO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μ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g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/m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）</w:t>
            </w:r>
          </w:p>
        </w:tc>
        <w:tc>
          <w:tcPr>
            <w:tcW w:w="214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CO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m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g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/m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）</w:t>
            </w:r>
          </w:p>
        </w:tc>
        <w:tc>
          <w:tcPr>
            <w:tcW w:w="214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O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  <w:vertAlign w:val="subscript"/>
              </w:rPr>
              <w:t>3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-8h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μ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g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/m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tblHeader/>
          <w:jc w:val="center"/>
        </w:trPr>
        <w:tc>
          <w:tcPr>
            <w:tcW w:w="1265" w:type="dxa"/>
            <w:vMerge w:val="continue"/>
            <w:tcBorders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2018年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2019年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变化(百分点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201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8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年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201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9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年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490" w:type="dxa"/>
            <w:tcBorders>
              <w:left w:val="single" w:color="auto" w:sz="4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201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8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年</w:t>
            </w:r>
          </w:p>
        </w:tc>
        <w:tc>
          <w:tcPr>
            <w:tcW w:w="505" w:type="dxa"/>
            <w:tcBorders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201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9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年</w:t>
            </w:r>
          </w:p>
        </w:tc>
        <w:tc>
          <w:tcPr>
            <w:tcW w:w="756" w:type="dxa"/>
            <w:tcBorders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490" w:type="dxa"/>
            <w:tcBorders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201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8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年</w:t>
            </w:r>
          </w:p>
        </w:tc>
        <w:tc>
          <w:tcPr>
            <w:tcW w:w="490" w:type="dxa"/>
            <w:tcBorders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201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9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年</w:t>
            </w:r>
          </w:p>
        </w:tc>
        <w:tc>
          <w:tcPr>
            <w:tcW w:w="756" w:type="dxa"/>
            <w:tcBorders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490" w:type="dxa"/>
            <w:tcBorders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201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8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年</w:t>
            </w:r>
          </w:p>
        </w:tc>
        <w:tc>
          <w:tcPr>
            <w:tcW w:w="490" w:type="dxa"/>
            <w:tcBorders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201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9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年</w:t>
            </w:r>
          </w:p>
        </w:tc>
        <w:tc>
          <w:tcPr>
            <w:tcW w:w="756" w:type="dxa"/>
            <w:tcBorders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2018年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2019年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2018年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2019年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变化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tblHeader/>
          <w:jc w:val="center"/>
        </w:trPr>
        <w:tc>
          <w:tcPr>
            <w:tcW w:w="1265" w:type="dxa"/>
            <w:tcBorders>
              <w:top w:val="single" w:color="auto" w:sz="12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乌鲁木齐市</w:t>
            </w:r>
          </w:p>
        </w:tc>
        <w:tc>
          <w:tcPr>
            <w:tcW w:w="7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96.8%</w:t>
            </w:r>
          </w:p>
        </w:tc>
        <w:tc>
          <w:tcPr>
            <w:tcW w:w="7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96.8%</w:t>
            </w:r>
          </w:p>
        </w:tc>
        <w:tc>
          <w:tcPr>
            <w:tcW w:w="7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69 </w:t>
            </w:r>
          </w:p>
        </w:tc>
        <w:tc>
          <w:tcPr>
            <w:tcW w:w="50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62 </w:t>
            </w:r>
          </w:p>
        </w:tc>
        <w:tc>
          <w:tcPr>
            <w:tcW w:w="7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-10.1%</w:t>
            </w:r>
          </w:p>
        </w:tc>
        <w:tc>
          <w:tcPr>
            <w:tcW w:w="490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19 </w:t>
            </w:r>
          </w:p>
        </w:tc>
        <w:tc>
          <w:tcPr>
            <w:tcW w:w="505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18 </w:t>
            </w:r>
          </w:p>
        </w:tc>
        <w:tc>
          <w:tcPr>
            <w:tcW w:w="756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-5.3%</w:t>
            </w:r>
          </w:p>
        </w:tc>
        <w:tc>
          <w:tcPr>
            <w:tcW w:w="490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8 </w:t>
            </w:r>
          </w:p>
        </w:tc>
        <w:tc>
          <w:tcPr>
            <w:tcW w:w="490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8 </w:t>
            </w:r>
          </w:p>
        </w:tc>
        <w:tc>
          <w:tcPr>
            <w:tcW w:w="756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31 </w:t>
            </w:r>
          </w:p>
        </w:tc>
        <w:tc>
          <w:tcPr>
            <w:tcW w:w="490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32 </w:t>
            </w:r>
          </w:p>
        </w:tc>
        <w:tc>
          <w:tcPr>
            <w:tcW w:w="756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3.2%</w:t>
            </w:r>
          </w:p>
        </w:tc>
        <w:tc>
          <w:tcPr>
            <w:tcW w:w="69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0.6 </w:t>
            </w:r>
          </w:p>
        </w:tc>
        <w:tc>
          <w:tcPr>
            <w:tcW w:w="69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0.6 </w:t>
            </w:r>
          </w:p>
        </w:tc>
        <w:tc>
          <w:tcPr>
            <w:tcW w:w="75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111 </w:t>
            </w:r>
          </w:p>
        </w:tc>
        <w:tc>
          <w:tcPr>
            <w:tcW w:w="69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121 </w:t>
            </w:r>
          </w:p>
        </w:tc>
        <w:tc>
          <w:tcPr>
            <w:tcW w:w="756" w:type="dxa"/>
            <w:tcBorders>
              <w:top w:val="single" w:color="auto" w:sz="12" w:space="0"/>
              <w:left w:val="nil"/>
              <w:bottom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9.0%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  <w:tblHeader/>
          <w:jc w:val="center"/>
        </w:trPr>
        <w:tc>
          <w:tcPr>
            <w:tcW w:w="1265" w:type="dxa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阿勒泰市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100%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100%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7 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14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100%</w:t>
            </w:r>
          </w:p>
        </w:tc>
        <w:tc>
          <w:tcPr>
            <w:tcW w:w="49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5 </w:t>
            </w:r>
          </w:p>
        </w:tc>
        <w:tc>
          <w:tcPr>
            <w:tcW w:w="505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6 </w:t>
            </w:r>
          </w:p>
        </w:tc>
        <w:tc>
          <w:tcPr>
            <w:tcW w:w="756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20.0%</w:t>
            </w:r>
          </w:p>
        </w:tc>
        <w:tc>
          <w:tcPr>
            <w:tcW w:w="49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6 </w:t>
            </w:r>
          </w:p>
        </w:tc>
        <w:tc>
          <w:tcPr>
            <w:tcW w:w="49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4 </w:t>
            </w:r>
          </w:p>
        </w:tc>
        <w:tc>
          <w:tcPr>
            <w:tcW w:w="756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-33.3%</w:t>
            </w:r>
          </w:p>
        </w:tc>
        <w:tc>
          <w:tcPr>
            <w:tcW w:w="49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8 </w:t>
            </w:r>
          </w:p>
        </w:tc>
        <w:tc>
          <w:tcPr>
            <w:tcW w:w="49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12 </w:t>
            </w:r>
          </w:p>
        </w:tc>
        <w:tc>
          <w:tcPr>
            <w:tcW w:w="756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50.0%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0.5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0.3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-40.0%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85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96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12.9%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tblHeader/>
          <w:jc w:val="center"/>
        </w:trPr>
        <w:tc>
          <w:tcPr>
            <w:tcW w:w="1265" w:type="dxa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塔城市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100%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100%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29 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33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13.8%</w:t>
            </w:r>
          </w:p>
        </w:tc>
        <w:tc>
          <w:tcPr>
            <w:tcW w:w="49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6 </w:t>
            </w:r>
          </w:p>
        </w:tc>
        <w:tc>
          <w:tcPr>
            <w:tcW w:w="505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7 </w:t>
            </w:r>
          </w:p>
        </w:tc>
        <w:tc>
          <w:tcPr>
            <w:tcW w:w="756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16.7%</w:t>
            </w:r>
          </w:p>
        </w:tc>
        <w:tc>
          <w:tcPr>
            <w:tcW w:w="49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4 </w:t>
            </w:r>
          </w:p>
        </w:tc>
        <w:tc>
          <w:tcPr>
            <w:tcW w:w="49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4 </w:t>
            </w:r>
          </w:p>
        </w:tc>
        <w:tc>
          <w:tcPr>
            <w:tcW w:w="756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0</w:t>
            </w:r>
          </w:p>
        </w:tc>
        <w:tc>
          <w:tcPr>
            <w:tcW w:w="49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8 </w:t>
            </w:r>
          </w:p>
        </w:tc>
        <w:tc>
          <w:tcPr>
            <w:tcW w:w="49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5 </w:t>
            </w:r>
          </w:p>
        </w:tc>
        <w:tc>
          <w:tcPr>
            <w:tcW w:w="756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-37.5%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0.8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0.7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-12.5%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107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93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-13.1%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tblHeader/>
          <w:jc w:val="center"/>
        </w:trPr>
        <w:tc>
          <w:tcPr>
            <w:tcW w:w="1265" w:type="dxa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博乐市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100%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100%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32 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46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43.8%</w:t>
            </w:r>
          </w:p>
        </w:tc>
        <w:tc>
          <w:tcPr>
            <w:tcW w:w="49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13 </w:t>
            </w:r>
          </w:p>
        </w:tc>
        <w:tc>
          <w:tcPr>
            <w:tcW w:w="505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16 </w:t>
            </w:r>
          </w:p>
        </w:tc>
        <w:tc>
          <w:tcPr>
            <w:tcW w:w="756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23.1%</w:t>
            </w:r>
          </w:p>
        </w:tc>
        <w:tc>
          <w:tcPr>
            <w:tcW w:w="49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11 </w:t>
            </w:r>
          </w:p>
        </w:tc>
        <w:tc>
          <w:tcPr>
            <w:tcW w:w="49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9 </w:t>
            </w:r>
          </w:p>
        </w:tc>
        <w:tc>
          <w:tcPr>
            <w:tcW w:w="756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-18.2%</w:t>
            </w:r>
          </w:p>
        </w:tc>
        <w:tc>
          <w:tcPr>
            <w:tcW w:w="49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10 </w:t>
            </w:r>
          </w:p>
        </w:tc>
        <w:tc>
          <w:tcPr>
            <w:tcW w:w="49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17 </w:t>
            </w:r>
          </w:p>
        </w:tc>
        <w:tc>
          <w:tcPr>
            <w:tcW w:w="756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70.0%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0.3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0.3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92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114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23.9%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tblHeader/>
          <w:jc w:val="center"/>
        </w:trPr>
        <w:tc>
          <w:tcPr>
            <w:tcW w:w="1265" w:type="dxa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克拉玛依市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100%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100%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37 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46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24.3%</w:t>
            </w:r>
          </w:p>
        </w:tc>
        <w:tc>
          <w:tcPr>
            <w:tcW w:w="49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11 </w:t>
            </w:r>
          </w:p>
        </w:tc>
        <w:tc>
          <w:tcPr>
            <w:tcW w:w="505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11 </w:t>
            </w:r>
          </w:p>
        </w:tc>
        <w:tc>
          <w:tcPr>
            <w:tcW w:w="756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0.0%</w:t>
            </w:r>
          </w:p>
        </w:tc>
        <w:tc>
          <w:tcPr>
            <w:tcW w:w="49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5 </w:t>
            </w:r>
          </w:p>
        </w:tc>
        <w:tc>
          <w:tcPr>
            <w:tcW w:w="49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6 </w:t>
            </w:r>
          </w:p>
        </w:tc>
        <w:tc>
          <w:tcPr>
            <w:tcW w:w="756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20.0%</w:t>
            </w:r>
          </w:p>
        </w:tc>
        <w:tc>
          <w:tcPr>
            <w:tcW w:w="49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14 </w:t>
            </w:r>
          </w:p>
        </w:tc>
        <w:tc>
          <w:tcPr>
            <w:tcW w:w="49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21 </w:t>
            </w:r>
          </w:p>
        </w:tc>
        <w:tc>
          <w:tcPr>
            <w:tcW w:w="756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50.0%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0.7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0.7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103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118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14.6%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tblHeader/>
          <w:jc w:val="center"/>
        </w:trPr>
        <w:tc>
          <w:tcPr>
            <w:tcW w:w="1265" w:type="dxa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伊宁市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100%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100%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44 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52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18.2%</w:t>
            </w:r>
          </w:p>
        </w:tc>
        <w:tc>
          <w:tcPr>
            <w:tcW w:w="49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19 </w:t>
            </w:r>
          </w:p>
        </w:tc>
        <w:tc>
          <w:tcPr>
            <w:tcW w:w="505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22 </w:t>
            </w:r>
          </w:p>
        </w:tc>
        <w:tc>
          <w:tcPr>
            <w:tcW w:w="756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15.8%</w:t>
            </w:r>
          </w:p>
        </w:tc>
        <w:tc>
          <w:tcPr>
            <w:tcW w:w="49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9 </w:t>
            </w:r>
          </w:p>
        </w:tc>
        <w:tc>
          <w:tcPr>
            <w:tcW w:w="49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10 </w:t>
            </w:r>
          </w:p>
        </w:tc>
        <w:tc>
          <w:tcPr>
            <w:tcW w:w="756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11.1%</w:t>
            </w:r>
          </w:p>
        </w:tc>
        <w:tc>
          <w:tcPr>
            <w:tcW w:w="49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20 </w:t>
            </w:r>
          </w:p>
        </w:tc>
        <w:tc>
          <w:tcPr>
            <w:tcW w:w="49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26 </w:t>
            </w:r>
          </w:p>
        </w:tc>
        <w:tc>
          <w:tcPr>
            <w:tcW w:w="756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30.0%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0.6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0.7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16.7%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107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108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0.9%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Header/>
          <w:jc w:val="center"/>
        </w:trPr>
        <w:tc>
          <w:tcPr>
            <w:tcW w:w="1265" w:type="dxa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昌吉市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96.8%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100%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3.2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62 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49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-21.0%</w:t>
            </w:r>
          </w:p>
        </w:tc>
        <w:tc>
          <w:tcPr>
            <w:tcW w:w="49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21 </w:t>
            </w:r>
          </w:p>
        </w:tc>
        <w:tc>
          <w:tcPr>
            <w:tcW w:w="505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20 </w:t>
            </w:r>
          </w:p>
        </w:tc>
        <w:tc>
          <w:tcPr>
            <w:tcW w:w="756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-4.8%</w:t>
            </w:r>
          </w:p>
        </w:tc>
        <w:tc>
          <w:tcPr>
            <w:tcW w:w="49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9 </w:t>
            </w:r>
          </w:p>
        </w:tc>
        <w:tc>
          <w:tcPr>
            <w:tcW w:w="49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8 </w:t>
            </w:r>
          </w:p>
        </w:tc>
        <w:tc>
          <w:tcPr>
            <w:tcW w:w="756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-11.1%</w:t>
            </w:r>
          </w:p>
        </w:tc>
        <w:tc>
          <w:tcPr>
            <w:tcW w:w="49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34 </w:t>
            </w:r>
          </w:p>
        </w:tc>
        <w:tc>
          <w:tcPr>
            <w:tcW w:w="49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34 </w:t>
            </w:r>
          </w:p>
        </w:tc>
        <w:tc>
          <w:tcPr>
            <w:tcW w:w="756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0.5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0.6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20.0%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114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111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-2.6%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tblHeader/>
          <w:jc w:val="center"/>
        </w:trPr>
        <w:tc>
          <w:tcPr>
            <w:tcW w:w="1265" w:type="dxa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吐鲁番市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96.8%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90.3%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-6.5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72 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104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44.4%</w:t>
            </w:r>
          </w:p>
        </w:tc>
        <w:tc>
          <w:tcPr>
            <w:tcW w:w="49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24 </w:t>
            </w:r>
          </w:p>
        </w:tc>
        <w:tc>
          <w:tcPr>
            <w:tcW w:w="505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32 </w:t>
            </w:r>
          </w:p>
        </w:tc>
        <w:tc>
          <w:tcPr>
            <w:tcW w:w="756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33.3%</w:t>
            </w:r>
          </w:p>
        </w:tc>
        <w:tc>
          <w:tcPr>
            <w:tcW w:w="49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6 </w:t>
            </w:r>
          </w:p>
        </w:tc>
        <w:tc>
          <w:tcPr>
            <w:tcW w:w="49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6 </w:t>
            </w:r>
          </w:p>
        </w:tc>
        <w:tc>
          <w:tcPr>
            <w:tcW w:w="756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0</w:t>
            </w:r>
          </w:p>
        </w:tc>
        <w:tc>
          <w:tcPr>
            <w:tcW w:w="49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23 </w:t>
            </w:r>
          </w:p>
        </w:tc>
        <w:tc>
          <w:tcPr>
            <w:tcW w:w="49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23 </w:t>
            </w:r>
          </w:p>
        </w:tc>
        <w:tc>
          <w:tcPr>
            <w:tcW w:w="756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0.7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0.7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61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119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95.1%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tblHeader/>
          <w:jc w:val="center"/>
        </w:trPr>
        <w:tc>
          <w:tcPr>
            <w:tcW w:w="1265" w:type="dxa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哈密市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96.8%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93.5%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-3.3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59 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78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32.2%</w:t>
            </w:r>
          </w:p>
        </w:tc>
        <w:tc>
          <w:tcPr>
            <w:tcW w:w="49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23 </w:t>
            </w:r>
          </w:p>
        </w:tc>
        <w:tc>
          <w:tcPr>
            <w:tcW w:w="505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20 </w:t>
            </w:r>
          </w:p>
        </w:tc>
        <w:tc>
          <w:tcPr>
            <w:tcW w:w="756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-13.0%</w:t>
            </w:r>
          </w:p>
        </w:tc>
        <w:tc>
          <w:tcPr>
            <w:tcW w:w="49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5 </w:t>
            </w:r>
          </w:p>
        </w:tc>
        <w:tc>
          <w:tcPr>
            <w:tcW w:w="49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5 </w:t>
            </w:r>
          </w:p>
        </w:tc>
        <w:tc>
          <w:tcPr>
            <w:tcW w:w="756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0</w:t>
            </w:r>
          </w:p>
        </w:tc>
        <w:tc>
          <w:tcPr>
            <w:tcW w:w="49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27 </w:t>
            </w:r>
          </w:p>
        </w:tc>
        <w:tc>
          <w:tcPr>
            <w:tcW w:w="49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22 </w:t>
            </w:r>
          </w:p>
        </w:tc>
        <w:tc>
          <w:tcPr>
            <w:tcW w:w="756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-18.5%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0.8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0.6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-25.0%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79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116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46.8%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tblHeader/>
          <w:jc w:val="center"/>
        </w:trPr>
        <w:tc>
          <w:tcPr>
            <w:tcW w:w="1265" w:type="dxa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库尔勒市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100%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80.6%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-19.4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57 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115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10</w:t>
            </w:r>
            <w:r>
              <w:rPr>
                <w:rFonts w:hint="default" w:ascii="仿宋" w:hAnsi="仿宋" w:eastAsia="仿宋"/>
                <w:color w:val="000000"/>
                <w:sz w:val="18"/>
                <w:szCs w:val="20"/>
                <w:lang w:val="en-US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%</w:t>
            </w:r>
          </w:p>
        </w:tc>
        <w:tc>
          <w:tcPr>
            <w:tcW w:w="49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17 </w:t>
            </w:r>
          </w:p>
        </w:tc>
        <w:tc>
          <w:tcPr>
            <w:tcW w:w="505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37 </w:t>
            </w:r>
          </w:p>
        </w:tc>
        <w:tc>
          <w:tcPr>
            <w:tcW w:w="756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11</w:t>
            </w:r>
            <w:r>
              <w:rPr>
                <w:rFonts w:hint="default" w:ascii="仿宋" w:hAnsi="仿宋" w:eastAsia="仿宋"/>
                <w:color w:val="000000"/>
                <w:sz w:val="18"/>
                <w:szCs w:val="20"/>
                <w:lang w:val="en-US"/>
              </w:rPr>
              <w:t>8</w:t>
            </w: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%</w:t>
            </w:r>
          </w:p>
        </w:tc>
        <w:tc>
          <w:tcPr>
            <w:tcW w:w="49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5 </w:t>
            </w:r>
          </w:p>
        </w:tc>
        <w:tc>
          <w:tcPr>
            <w:tcW w:w="49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5 </w:t>
            </w:r>
          </w:p>
        </w:tc>
        <w:tc>
          <w:tcPr>
            <w:tcW w:w="756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0</w:t>
            </w:r>
          </w:p>
        </w:tc>
        <w:tc>
          <w:tcPr>
            <w:tcW w:w="49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13 </w:t>
            </w:r>
          </w:p>
        </w:tc>
        <w:tc>
          <w:tcPr>
            <w:tcW w:w="49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18 </w:t>
            </w:r>
          </w:p>
        </w:tc>
        <w:tc>
          <w:tcPr>
            <w:tcW w:w="756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38.5%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0.4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0.7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75.0%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95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108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13.7%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tblHeader/>
          <w:jc w:val="center"/>
        </w:trPr>
        <w:tc>
          <w:tcPr>
            <w:tcW w:w="1265" w:type="dxa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阿克苏市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96.8%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87.1%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-9.7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68 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98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44.1%</w:t>
            </w:r>
          </w:p>
        </w:tc>
        <w:tc>
          <w:tcPr>
            <w:tcW w:w="49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31 </w:t>
            </w:r>
          </w:p>
        </w:tc>
        <w:tc>
          <w:tcPr>
            <w:tcW w:w="505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27 </w:t>
            </w:r>
          </w:p>
        </w:tc>
        <w:tc>
          <w:tcPr>
            <w:tcW w:w="756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-12.9%</w:t>
            </w:r>
          </w:p>
        </w:tc>
        <w:tc>
          <w:tcPr>
            <w:tcW w:w="49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6 </w:t>
            </w:r>
          </w:p>
        </w:tc>
        <w:tc>
          <w:tcPr>
            <w:tcW w:w="49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5 </w:t>
            </w:r>
          </w:p>
        </w:tc>
        <w:tc>
          <w:tcPr>
            <w:tcW w:w="756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-16.7%</w:t>
            </w:r>
          </w:p>
        </w:tc>
        <w:tc>
          <w:tcPr>
            <w:tcW w:w="49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17 </w:t>
            </w:r>
          </w:p>
        </w:tc>
        <w:tc>
          <w:tcPr>
            <w:tcW w:w="49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20 </w:t>
            </w:r>
          </w:p>
        </w:tc>
        <w:tc>
          <w:tcPr>
            <w:tcW w:w="756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17.6%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0.5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0.6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20.0%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107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114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6.5%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tblHeader/>
          <w:jc w:val="center"/>
        </w:trPr>
        <w:tc>
          <w:tcPr>
            <w:tcW w:w="1265" w:type="dxa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阿图什市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4.3%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80.0%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75.7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251 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98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-61.0%</w:t>
            </w:r>
          </w:p>
        </w:tc>
        <w:tc>
          <w:tcPr>
            <w:tcW w:w="49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22 </w:t>
            </w:r>
          </w:p>
        </w:tc>
        <w:tc>
          <w:tcPr>
            <w:tcW w:w="505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26 </w:t>
            </w:r>
          </w:p>
        </w:tc>
        <w:tc>
          <w:tcPr>
            <w:tcW w:w="756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18.2%</w:t>
            </w:r>
          </w:p>
        </w:tc>
        <w:tc>
          <w:tcPr>
            <w:tcW w:w="49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5 </w:t>
            </w:r>
          </w:p>
        </w:tc>
        <w:tc>
          <w:tcPr>
            <w:tcW w:w="49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4 </w:t>
            </w:r>
          </w:p>
        </w:tc>
        <w:tc>
          <w:tcPr>
            <w:tcW w:w="756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-20.0%</w:t>
            </w:r>
          </w:p>
        </w:tc>
        <w:tc>
          <w:tcPr>
            <w:tcW w:w="49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7 </w:t>
            </w:r>
          </w:p>
        </w:tc>
        <w:tc>
          <w:tcPr>
            <w:tcW w:w="49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21 </w:t>
            </w:r>
          </w:p>
        </w:tc>
        <w:tc>
          <w:tcPr>
            <w:tcW w:w="756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200%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0.8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1.1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37.5%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122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111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-9.0%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tblHeader/>
          <w:jc w:val="center"/>
        </w:trPr>
        <w:tc>
          <w:tcPr>
            <w:tcW w:w="1265" w:type="dxa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喀什市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71.0%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70.9%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-0.1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106 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119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12.3%</w:t>
            </w:r>
          </w:p>
        </w:tc>
        <w:tc>
          <w:tcPr>
            <w:tcW w:w="49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32 </w:t>
            </w:r>
          </w:p>
        </w:tc>
        <w:tc>
          <w:tcPr>
            <w:tcW w:w="505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45 </w:t>
            </w:r>
          </w:p>
        </w:tc>
        <w:tc>
          <w:tcPr>
            <w:tcW w:w="756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40.6%</w:t>
            </w:r>
          </w:p>
        </w:tc>
        <w:tc>
          <w:tcPr>
            <w:tcW w:w="49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9 </w:t>
            </w:r>
          </w:p>
        </w:tc>
        <w:tc>
          <w:tcPr>
            <w:tcW w:w="49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6 </w:t>
            </w:r>
          </w:p>
        </w:tc>
        <w:tc>
          <w:tcPr>
            <w:tcW w:w="756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-33.3%</w:t>
            </w:r>
          </w:p>
        </w:tc>
        <w:tc>
          <w:tcPr>
            <w:tcW w:w="49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22 </w:t>
            </w:r>
          </w:p>
        </w:tc>
        <w:tc>
          <w:tcPr>
            <w:tcW w:w="49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25 </w:t>
            </w:r>
          </w:p>
        </w:tc>
        <w:tc>
          <w:tcPr>
            <w:tcW w:w="756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13.6%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0.5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0.5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123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113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-8.1%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tblHeader/>
          <w:jc w:val="center"/>
        </w:trPr>
        <w:tc>
          <w:tcPr>
            <w:tcW w:w="1265" w:type="dxa"/>
            <w:tcBorders>
              <w:top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和田市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25.8%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16.1%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-9.7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271 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314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15.9%</w:t>
            </w:r>
          </w:p>
        </w:tc>
        <w:tc>
          <w:tcPr>
            <w:tcW w:w="49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70 </w:t>
            </w:r>
          </w:p>
        </w:tc>
        <w:tc>
          <w:tcPr>
            <w:tcW w:w="505" w:type="dxa"/>
            <w:tcBorders>
              <w:top w:val="nil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125 </w:t>
            </w:r>
          </w:p>
        </w:tc>
        <w:tc>
          <w:tcPr>
            <w:tcW w:w="756" w:type="dxa"/>
            <w:tcBorders>
              <w:top w:val="nil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78.6%</w:t>
            </w:r>
          </w:p>
        </w:tc>
        <w:tc>
          <w:tcPr>
            <w:tcW w:w="490" w:type="dxa"/>
            <w:tcBorders>
              <w:top w:val="nil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15 </w:t>
            </w:r>
          </w:p>
        </w:tc>
        <w:tc>
          <w:tcPr>
            <w:tcW w:w="490" w:type="dxa"/>
            <w:tcBorders>
              <w:top w:val="nil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9 </w:t>
            </w:r>
          </w:p>
        </w:tc>
        <w:tc>
          <w:tcPr>
            <w:tcW w:w="756" w:type="dxa"/>
            <w:tcBorders>
              <w:top w:val="nil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-40.0%</w:t>
            </w:r>
          </w:p>
        </w:tc>
        <w:tc>
          <w:tcPr>
            <w:tcW w:w="490" w:type="dxa"/>
            <w:tcBorders>
              <w:top w:val="nil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19 </w:t>
            </w:r>
          </w:p>
        </w:tc>
        <w:tc>
          <w:tcPr>
            <w:tcW w:w="490" w:type="dxa"/>
            <w:tcBorders>
              <w:top w:val="nil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18 </w:t>
            </w:r>
          </w:p>
        </w:tc>
        <w:tc>
          <w:tcPr>
            <w:tcW w:w="756" w:type="dxa"/>
            <w:tcBorders>
              <w:top w:val="nil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-5.3%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0.4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0.8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100%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88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90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2.3%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tblHeader/>
          <w:jc w:val="center"/>
        </w:trPr>
        <w:tc>
          <w:tcPr>
            <w:tcW w:w="126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ind w:left="-122" w:leftChars="-58"/>
              <w:jc w:val="center"/>
              <w:rPr>
                <w:rFonts w:ascii="仿宋" w:hAnsi="仿宋" w:eastAsia="仿宋" w:cs="Times New Roman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自治区14城市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84.7%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86.8%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2.1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83 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88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6.0%</w:t>
            </w:r>
          </w:p>
        </w:tc>
        <w:tc>
          <w:tcPr>
            <w:tcW w:w="49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22 </w:t>
            </w:r>
          </w:p>
        </w:tc>
        <w:tc>
          <w:tcPr>
            <w:tcW w:w="505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29 </w:t>
            </w:r>
          </w:p>
        </w:tc>
        <w:tc>
          <w:tcPr>
            <w:tcW w:w="756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31.8%</w:t>
            </w:r>
          </w:p>
        </w:tc>
        <w:tc>
          <w:tcPr>
            <w:tcW w:w="490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7 </w:t>
            </w:r>
          </w:p>
        </w:tc>
        <w:tc>
          <w:tcPr>
            <w:tcW w:w="490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6 </w:t>
            </w:r>
          </w:p>
        </w:tc>
        <w:tc>
          <w:tcPr>
            <w:tcW w:w="756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-14.3%</w:t>
            </w:r>
          </w:p>
        </w:tc>
        <w:tc>
          <w:tcPr>
            <w:tcW w:w="490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18 </w:t>
            </w:r>
          </w:p>
        </w:tc>
        <w:tc>
          <w:tcPr>
            <w:tcW w:w="490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21 </w:t>
            </w:r>
          </w:p>
        </w:tc>
        <w:tc>
          <w:tcPr>
            <w:tcW w:w="756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16.7%</w:t>
            </w:r>
          </w:p>
        </w:tc>
        <w:tc>
          <w:tcPr>
            <w:tcW w:w="69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0.6 </w:t>
            </w:r>
          </w:p>
        </w:tc>
        <w:tc>
          <w:tcPr>
            <w:tcW w:w="69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0.6 </w:t>
            </w:r>
          </w:p>
        </w:tc>
        <w:tc>
          <w:tcPr>
            <w:tcW w:w="75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100 </w:t>
            </w:r>
          </w:p>
        </w:tc>
        <w:tc>
          <w:tcPr>
            <w:tcW w:w="69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109 </w:t>
            </w:r>
          </w:p>
        </w:tc>
        <w:tc>
          <w:tcPr>
            <w:tcW w:w="756" w:type="dxa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9.0%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tblHeader/>
          <w:jc w:val="center"/>
        </w:trPr>
        <w:tc>
          <w:tcPr>
            <w:tcW w:w="1265" w:type="dxa"/>
            <w:tcBorders>
              <w:top w:val="single" w:color="auto" w:sz="12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石河子市</w:t>
            </w:r>
          </w:p>
        </w:tc>
        <w:tc>
          <w:tcPr>
            <w:tcW w:w="7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93.6%</w:t>
            </w:r>
          </w:p>
        </w:tc>
        <w:tc>
          <w:tcPr>
            <w:tcW w:w="7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93.5%</w:t>
            </w:r>
          </w:p>
        </w:tc>
        <w:tc>
          <w:tcPr>
            <w:tcW w:w="7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-0.1</w:t>
            </w:r>
          </w:p>
        </w:tc>
        <w:tc>
          <w:tcPr>
            <w:tcW w:w="50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49 </w:t>
            </w:r>
          </w:p>
        </w:tc>
        <w:tc>
          <w:tcPr>
            <w:tcW w:w="50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57 </w:t>
            </w:r>
          </w:p>
        </w:tc>
        <w:tc>
          <w:tcPr>
            <w:tcW w:w="7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16.3%</w:t>
            </w:r>
          </w:p>
        </w:tc>
        <w:tc>
          <w:tcPr>
            <w:tcW w:w="490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18 </w:t>
            </w:r>
          </w:p>
        </w:tc>
        <w:tc>
          <w:tcPr>
            <w:tcW w:w="505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18 </w:t>
            </w:r>
          </w:p>
        </w:tc>
        <w:tc>
          <w:tcPr>
            <w:tcW w:w="756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9 </w:t>
            </w:r>
          </w:p>
        </w:tc>
        <w:tc>
          <w:tcPr>
            <w:tcW w:w="490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12 </w:t>
            </w:r>
          </w:p>
        </w:tc>
        <w:tc>
          <w:tcPr>
            <w:tcW w:w="756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33.3%</w:t>
            </w:r>
          </w:p>
        </w:tc>
        <w:tc>
          <w:tcPr>
            <w:tcW w:w="490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24 </w:t>
            </w:r>
          </w:p>
        </w:tc>
        <w:tc>
          <w:tcPr>
            <w:tcW w:w="490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32 </w:t>
            </w:r>
          </w:p>
        </w:tc>
        <w:tc>
          <w:tcPr>
            <w:tcW w:w="756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33.3%</w:t>
            </w:r>
          </w:p>
        </w:tc>
        <w:tc>
          <w:tcPr>
            <w:tcW w:w="69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0.5 </w:t>
            </w:r>
          </w:p>
        </w:tc>
        <w:tc>
          <w:tcPr>
            <w:tcW w:w="69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0.6 </w:t>
            </w:r>
          </w:p>
        </w:tc>
        <w:tc>
          <w:tcPr>
            <w:tcW w:w="75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20.0%</w:t>
            </w:r>
          </w:p>
        </w:tc>
        <w:tc>
          <w:tcPr>
            <w:tcW w:w="69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112 </w:t>
            </w:r>
          </w:p>
        </w:tc>
        <w:tc>
          <w:tcPr>
            <w:tcW w:w="69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123 </w:t>
            </w:r>
          </w:p>
        </w:tc>
        <w:tc>
          <w:tcPr>
            <w:tcW w:w="756" w:type="dxa"/>
            <w:tcBorders>
              <w:top w:val="single" w:color="auto" w:sz="12" w:space="0"/>
              <w:left w:val="nil"/>
              <w:bottom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9.8%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tblHeader/>
          <w:jc w:val="center"/>
        </w:trPr>
        <w:tc>
          <w:tcPr>
            <w:tcW w:w="1265" w:type="dxa"/>
            <w:tcBorders>
              <w:top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五家渠市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96.7%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100%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3.3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63 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56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-11.1%</w:t>
            </w:r>
          </w:p>
        </w:tc>
        <w:tc>
          <w:tcPr>
            <w:tcW w:w="49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16 </w:t>
            </w:r>
          </w:p>
        </w:tc>
        <w:tc>
          <w:tcPr>
            <w:tcW w:w="505" w:type="dxa"/>
            <w:tcBorders>
              <w:top w:val="nil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19 </w:t>
            </w:r>
          </w:p>
        </w:tc>
        <w:tc>
          <w:tcPr>
            <w:tcW w:w="756" w:type="dxa"/>
            <w:tcBorders>
              <w:top w:val="nil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18.8%</w:t>
            </w:r>
          </w:p>
        </w:tc>
        <w:tc>
          <w:tcPr>
            <w:tcW w:w="490" w:type="dxa"/>
            <w:tcBorders>
              <w:top w:val="nil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11 </w:t>
            </w:r>
          </w:p>
        </w:tc>
        <w:tc>
          <w:tcPr>
            <w:tcW w:w="490" w:type="dxa"/>
            <w:tcBorders>
              <w:top w:val="nil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9 </w:t>
            </w:r>
          </w:p>
        </w:tc>
        <w:tc>
          <w:tcPr>
            <w:tcW w:w="756" w:type="dxa"/>
            <w:tcBorders>
              <w:top w:val="nil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-18.2%</w:t>
            </w:r>
          </w:p>
        </w:tc>
        <w:tc>
          <w:tcPr>
            <w:tcW w:w="490" w:type="dxa"/>
            <w:tcBorders>
              <w:top w:val="nil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20 </w:t>
            </w:r>
          </w:p>
        </w:tc>
        <w:tc>
          <w:tcPr>
            <w:tcW w:w="490" w:type="dxa"/>
            <w:tcBorders>
              <w:top w:val="nil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24 </w:t>
            </w:r>
          </w:p>
        </w:tc>
        <w:tc>
          <w:tcPr>
            <w:tcW w:w="756" w:type="dxa"/>
            <w:tcBorders>
              <w:top w:val="nil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20.0%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0.5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0.5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114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114 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tblHeader/>
          <w:jc w:val="center"/>
        </w:trPr>
        <w:tc>
          <w:tcPr>
            <w:tcW w:w="126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兵团2城市</w:t>
            </w:r>
          </w:p>
        </w:tc>
        <w:tc>
          <w:tcPr>
            <w:tcW w:w="7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95.2%</w:t>
            </w:r>
          </w:p>
        </w:tc>
        <w:tc>
          <w:tcPr>
            <w:tcW w:w="7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96.8%</w:t>
            </w:r>
          </w:p>
        </w:tc>
        <w:tc>
          <w:tcPr>
            <w:tcW w:w="72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1.6</w:t>
            </w:r>
          </w:p>
        </w:tc>
        <w:tc>
          <w:tcPr>
            <w:tcW w:w="50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56 </w:t>
            </w:r>
          </w:p>
        </w:tc>
        <w:tc>
          <w:tcPr>
            <w:tcW w:w="50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57 </w:t>
            </w:r>
          </w:p>
        </w:tc>
        <w:tc>
          <w:tcPr>
            <w:tcW w:w="7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1.8%</w:t>
            </w:r>
          </w:p>
        </w:tc>
        <w:tc>
          <w:tcPr>
            <w:tcW w:w="49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17 </w:t>
            </w:r>
          </w:p>
        </w:tc>
        <w:tc>
          <w:tcPr>
            <w:tcW w:w="505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19 </w:t>
            </w:r>
          </w:p>
        </w:tc>
        <w:tc>
          <w:tcPr>
            <w:tcW w:w="756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11.8%</w:t>
            </w:r>
          </w:p>
        </w:tc>
        <w:tc>
          <w:tcPr>
            <w:tcW w:w="490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10 </w:t>
            </w:r>
          </w:p>
        </w:tc>
        <w:tc>
          <w:tcPr>
            <w:tcW w:w="490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11 </w:t>
            </w:r>
          </w:p>
        </w:tc>
        <w:tc>
          <w:tcPr>
            <w:tcW w:w="756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10.0%</w:t>
            </w:r>
          </w:p>
        </w:tc>
        <w:tc>
          <w:tcPr>
            <w:tcW w:w="490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22 </w:t>
            </w:r>
          </w:p>
        </w:tc>
        <w:tc>
          <w:tcPr>
            <w:tcW w:w="490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28 </w:t>
            </w:r>
          </w:p>
        </w:tc>
        <w:tc>
          <w:tcPr>
            <w:tcW w:w="756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27.3%</w:t>
            </w:r>
          </w:p>
        </w:tc>
        <w:tc>
          <w:tcPr>
            <w:tcW w:w="69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0.5 </w:t>
            </w:r>
          </w:p>
        </w:tc>
        <w:tc>
          <w:tcPr>
            <w:tcW w:w="69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0.6 </w:t>
            </w:r>
          </w:p>
        </w:tc>
        <w:tc>
          <w:tcPr>
            <w:tcW w:w="75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20.0%</w:t>
            </w:r>
          </w:p>
        </w:tc>
        <w:tc>
          <w:tcPr>
            <w:tcW w:w="69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113 </w:t>
            </w:r>
          </w:p>
        </w:tc>
        <w:tc>
          <w:tcPr>
            <w:tcW w:w="69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 xml:space="preserve">119 </w:t>
            </w:r>
          </w:p>
        </w:tc>
        <w:tc>
          <w:tcPr>
            <w:tcW w:w="756" w:type="dxa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20"/>
              </w:rPr>
              <w:t>5.3%</w:t>
            </w:r>
          </w:p>
        </w:tc>
      </w:tr>
    </w:tbl>
    <w:p>
      <w:pPr>
        <w:widowControl/>
        <w:jc w:val="left"/>
        <w:rPr>
          <w:rFonts w:ascii="仿宋_GB2312" w:hAnsi="宋体" w:eastAsia="仿宋_GB2312" w:cs="Times New Roman"/>
          <w:kern w:val="0"/>
          <w:sz w:val="32"/>
          <w:szCs w:val="32"/>
        </w:rPr>
        <w:sectPr>
          <w:pgSz w:w="16838" w:h="11906" w:orient="landscape"/>
          <w:pgMar w:top="1803" w:right="1134" w:bottom="1803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仿宋_GB2312" w:hAnsi="Times New Roman" w:eastAsia="仿宋_GB2312" w:cs="Times New Roman"/>
          <w:b/>
          <w:sz w:val="24"/>
          <w:szCs w:val="24"/>
        </w:rPr>
      </w:pPr>
    </w:p>
    <w:p>
      <w:pPr>
        <w:spacing w:line="540" w:lineRule="exact"/>
        <w:ind w:firstLine="640" w:firstLineChars="200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二、排名情况</w:t>
      </w:r>
    </w:p>
    <w:p>
      <w:pPr>
        <w:widowControl/>
        <w:spacing w:line="580" w:lineRule="exact"/>
        <w:ind w:firstLine="640" w:firstLineChars="200"/>
        <w:jc w:val="both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2</w:t>
      </w:r>
      <w:r>
        <w:rPr>
          <w:rFonts w:ascii="仿宋" w:hAnsi="仿宋" w:eastAsia="仿宋" w:cs="Times New Roman"/>
          <w:kern w:val="0"/>
          <w:sz w:val="32"/>
          <w:szCs w:val="32"/>
        </w:rPr>
        <w:t>019年8月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，自治区14城市及兵团2城市</w:t>
      </w:r>
      <w:r>
        <w:rPr>
          <w:rFonts w:hint="eastAsia" w:ascii="仿宋" w:hAnsi="仿宋" w:eastAsia="仿宋"/>
          <w:kern w:val="0"/>
          <w:sz w:val="32"/>
          <w:szCs w:val="32"/>
        </w:rPr>
        <w:t>环境空气质量综合指数由低到高排名依次为阿勒泰市、塔城市、克拉玛依市、博乐市、五家渠市、伊宁市、昌吉市、哈密市、乌鲁木齐市、石河子市、阿克苏市、阿图什市、吐鲁番市、库尔勒市、喀什市、和田市。</w:t>
      </w:r>
    </w:p>
    <w:p>
      <w:pPr>
        <w:jc w:val="center"/>
        <w:rPr>
          <w:rFonts w:ascii="仿宋_GB2312" w:hAnsi="Calibri" w:eastAsia="仿宋_GB2312" w:cs="Times New Roman"/>
          <w:b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sz w:val="24"/>
          <w:szCs w:val="24"/>
        </w:rPr>
        <w:t>表</w:t>
      </w:r>
      <w:r>
        <w:rPr>
          <w:rFonts w:ascii="仿宋_GB2312" w:hAnsi="Times New Roman" w:eastAsia="仿宋_GB2312" w:cs="Times New Roman"/>
          <w:b/>
          <w:sz w:val="24"/>
          <w:szCs w:val="24"/>
        </w:rPr>
        <w:t>2</w:t>
      </w:r>
      <w:r>
        <w:rPr>
          <w:rFonts w:hint="eastAsia" w:ascii="仿宋_GB2312" w:hAnsi="Times New Roman" w:eastAsia="仿宋_GB2312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eastAsia="仿宋_GB2312" w:cs="Times New Roman"/>
          <w:b/>
          <w:sz w:val="24"/>
          <w:szCs w:val="24"/>
        </w:rPr>
        <w:t>2019年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8月</w:t>
      </w:r>
      <w:r>
        <w:rPr>
          <w:rFonts w:hint="eastAsia" w:ascii="仿宋_GB2312" w:hAnsi="Times New Roman" w:eastAsia="仿宋_GB2312" w:cs="Times New Roman"/>
          <w:b/>
          <w:sz w:val="24"/>
          <w:szCs w:val="24"/>
        </w:rPr>
        <w:t>自治区</w:t>
      </w:r>
      <w:r>
        <w:rPr>
          <w:rFonts w:hint="eastAsia" w:ascii="仿宋_GB2312" w:hAnsi="Calibri" w:eastAsia="仿宋_GB2312" w:cs="Times New Roman"/>
          <w:b/>
          <w:sz w:val="24"/>
          <w:szCs w:val="24"/>
        </w:rPr>
        <w:t>14城市及兵团2城市空气质量指数排名</w:t>
      </w:r>
    </w:p>
    <w:tbl>
      <w:tblPr>
        <w:tblStyle w:val="8"/>
        <w:tblpPr w:leftFromText="180" w:rightFromText="180" w:vertAnchor="text" w:horzAnchor="margin" w:tblpXSpec="center" w:tblpY="38"/>
        <w:tblW w:w="784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2596"/>
        <w:gridCol w:w="331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30" w:type="dxa"/>
            <w:vMerge w:val="restart"/>
            <w:tcBorders>
              <w:top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4"/>
                <w:szCs w:val="32"/>
              </w:rPr>
              <w:t>排名</w:t>
            </w:r>
          </w:p>
        </w:tc>
        <w:tc>
          <w:tcPr>
            <w:tcW w:w="5910" w:type="dxa"/>
            <w:gridSpan w:val="2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32"/>
              </w:rPr>
              <w:t>环境空气质量综合指数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930" w:type="dxa"/>
            <w:vMerge w:val="continue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32"/>
              </w:rPr>
            </w:pPr>
          </w:p>
        </w:tc>
        <w:tc>
          <w:tcPr>
            <w:tcW w:w="259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32"/>
              </w:rPr>
              <w:t>城市</w:t>
            </w:r>
          </w:p>
        </w:tc>
        <w:tc>
          <w:tcPr>
            <w:tcW w:w="3314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32"/>
              </w:rPr>
              <w:t>综合指数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930" w:type="dxa"/>
            <w:tcBorders>
              <w:top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1</w:t>
            </w:r>
          </w:p>
        </w:tc>
        <w:tc>
          <w:tcPr>
            <w:tcW w:w="2596" w:type="dxa"/>
            <w:tcBorders>
              <w:top w:val="single" w:color="auto" w:sz="18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阿勒泰市</w:t>
            </w:r>
          </w:p>
        </w:tc>
        <w:tc>
          <w:tcPr>
            <w:tcW w:w="3314" w:type="dxa"/>
            <w:tcBorders>
              <w:top w:val="single" w:color="auto" w:sz="18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1.55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2596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塔城市</w:t>
            </w:r>
          </w:p>
        </w:tc>
        <w:tc>
          <w:tcPr>
            <w:tcW w:w="3314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1.74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3</w:t>
            </w:r>
          </w:p>
        </w:tc>
        <w:tc>
          <w:tcPr>
            <w:tcW w:w="2596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克拉玛依市</w:t>
            </w:r>
          </w:p>
        </w:tc>
        <w:tc>
          <w:tcPr>
            <w:tcW w:w="3314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2.61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4</w:t>
            </w:r>
          </w:p>
        </w:tc>
        <w:tc>
          <w:tcPr>
            <w:tcW w:w="2596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博乐市</w:t>
            </w:r>
          </w:p>
        </w:tc>
        <w:tc>
          <w:tcPr>
            <w:tcW w:w="3314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2.61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5</w:t>
            </w:r>
          </w:p>
        </w:tc>
        <w:tc>
          <w:tcPr>
            <w:tcW w:w="2596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五家渠市</w:t>
            </w:r>
          </w:p>
        </w:tc>
        <w:tc>
          <w:tcPr>
            <w:tcW w:w="3314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3.06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6</w:t>
            </w:r>
          </w:p>
        </w:tc>
        <w:tc>
          <w:tcPr>
            <w:tcW w:w="2596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伊宁市</w:t>
            </w:r>
          </w:p>
        </w:tc>
        <w:tc>
          <w:tcPr>
            <w:tcW w:w="3314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3.23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7</w:t>
            </w:r>
          </w:p>
        </w:tc>
        <w:tc>
          <w:tcPr>
            <w:tcW w:w="2596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昌吉市</w:t>
            </w:r>
          </w:p>
        </w:tc>
        <w:tc>
          <w:tcPr>
            <w:tcW w:w="3314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3.29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8</w:t>
            </w:r>
          </w:p>
        </w:tc>
        <w:tc>
          <w:tcPr>
            <w:tcW w:w="2596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哈密市</w:t>
            </w:r>
          </w:p>
        </w:tc>
        <w:tc>
          <w:tcPr>
            <w:tcW w:w="3314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3.33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9</w:t>
            </w:r>
          </w:p>
        </w:tc>
        <w:tc>
          <w:tcPr>
            <w:tcW w:w="2596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乌鲁木齐市</w:t>
            </w:r>
          </w:p>
        </w:tc>
        <w:tc>
          <w:tcPr>
            <w:tcW w:w="3314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3.38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10</w:t>
            </w:r>
          </w:p>
        </w:tc>
        <w:tc>
          <w:tcPr>
            <w:tcW w:w="2596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石河子市</w:t>
            </w:r>
          </w:p>
        </w:tc>
        <w:tc>
          <w:tcPr>
            <w:tcW w:w="3314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3.43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11</w:t>
            </w:r>
          </w:p>
        </w:tc>
        <w:tc>
          <w:tcPr>
            <w:tcW w:w="2596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阿克苏市</w:t>
            </w:r>
          </w:p>
        </w:tc>
        <w:tc>
          <w:tcPr>
            <w:tcW w:w="3314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3.79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12</w:t>
            </w:r>
          </w:p>
        </w:tc>
        <w:tc>
          <w:tcPr>
            <w:tcW w:w="2596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阿图什市</w:t>
            </w:r>
          </w:p>
        </w:tc>
        <w:tc>
          <w:tcPr>
            <w:tcW w:w="3314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3.97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13</w:t>
            </w:r>
          </w:p>
        </w:tc>
        <w:tc>
          <w:tcPr>
            <w:tcW w:w="2596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吐鲁番市</w:t>
            </w:r>
          </w:p>
        </w:tc>
        <w:tc>
          <w:tcPr>
            <w:tcW w:w="3314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4.10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14</w:t>
            </w:r>
          </w:p>
        </w:tc>
        <w:tc>
          <w:tcPr>
            <w:tcW w:w="2596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库尔勒市</w:t>
            </w:r>
          </w:p>
        </w:tc>
        <w:tc>
          <w:tcPr>
            <w:tcW w:w="3314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4.19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9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15</w:t>
            </w:r>
          </w:p>
        </w:tc>
        <w:tc>
          <w:tcPr>
            <w:tcW w:w="2596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喀什市</w:t>
            </w:r>
          </w:p>
        </w:tc>
        <w:tc>
          <w:tcPr>
            <w:tcW w:w="3314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4.72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0" w:type="dxa"/>
            <w:tcBorders>
              <w:bottom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  <w:r>
              <w:rPr>
                <w:rFonts w:ascii="仿宋" w:hAnsi="仿宋" w:eastAsia="仿宋"/>
                <w:kern w:val="0"/>
                <w:sz w:val="24"/>
              </w:rPr>
              <w:t>6</w:t>
            </w:r>
          </w:p>
        </w:tc>
        <w:tc>
          <w:tcPr>
            <w:tcW w:w="2596" w:type="dxa"/>
            <w:tcBorders>
              <w:bottom w:val="single" w:color="auto" w:sz="18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和田市</w:t>
            </w:r>
          </w:p>
        </w:tc>
        <w:tc>
          <w:tcPr>
            <w:tcW w:w="3314" w:type="dxa"/>
            <w:tcBorders>
              <w:bottom w:val="single" w:color="auto" w:sz="18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9.50</w:t>
            </w:r>
          </w:p>
        </w:tc>
      </w:tr>
    </w:tbl>
    <w:p>
      <w:pPr>
        <w:spacing w:line="360" w:lineRule="exact"/>
        <w:ind w:firstLine="210" w:firstLineChars="100"/>
        <w:jc w:val="left"/>
        <w:rPr>
          <w:rFonts w:ascii="仿宋" w:hAnsi="仿宋" w:eastAsia="仿宋"/>
          <w:sz w:val="24"/>
        </w:rPr>
      </w:pPr>
      <w:r>
        <w:rPr>
          <w:rFonts w:asciiTheme="minorEastAsia" w:hAnsiTheme="minorEastAsia"/>
        </w:rPr>
        <w:t>备注</w:t>
      </w:r>
      <w:r>
        <w:rPr>
          <w:rFonts w:hint="eastAsia" w:asciiTheme="minorEastAsia" w:hAnsiTheme="minorEastAsia"/>
        </w:rPr>
        <w:t>：</w:t>
      </w:r>
      <w:r>
        <w:rPr>
          <w:rFonts w:hint="eastAsia" w:ascii="仿宋" w:hAnsi="仿宋" w:eastAsia="仿宋"/>
          <w:sz w:val="24"/>
        </w:rPr>
        <w:t>环境空气质量综合指数越低，空气质量越好。</w:t>
      </w:r>
    </w:p>
    <w:p>
      <w:pPr>
        <w:widowControl/>
        <w:jc w:val="left"/>
        <w:rPr>
          <w:rFonts w:ascii="仿宋" w:hAnsi="仿宋" w:eastAsia="仿宋" w:cs="Times New Roman"/>
          <w:b/>
          <w:sz w:val="24"/>
          <w:szCs w:val="24"/>
        </w:rPr>
      </w:pPr>
      <w:bookmarkStart w:id="0" w:name="_GoBack"/>
      <w:bookmarkEnd w:id="0"/>
    </w:p>
    <w:sectPr>
      <w:pgSz w:w="11906" w:h="16838"/>
      <w:pgMar w:top="1134" w:right="1803" w:bottom="1134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5867"/>
    <w:rsid w:val="00004FE2"/>
    <w:rsid w:val="00005D74"/>
    <w:rsid w:val="000253C4"/>
    <w:rsid w:val="00054706"/>
    <w:rsid w:val="00066014"/>
    <w:rsid w:val="00083EA5"/>
    <w:rsid w:val="00086321"/>
    <w:rsid w:val="000A0258"/>
    <w:rsid w:val="000A7D77"/>
    <w:rsid w:val="000B01A7"/>
    <w:rsid w:val="000C0930"/>
    <w:rsid w:val="000E5CF0"/>
    <w:rsid w:val="000F08DC"/>
    <w:rsid w:val="00102293"/>
    <w:rsid w:val="00103AD8"/>
    <w:rsid w:val="00107F1A"/>
    <w:rsid w:val="001104EF"/>
    <w:rsid w:val="00110D1C"/>
    <w:rsid w:val="00114C4F"/>
    <w:rsid w:val="00120A38"/>
    <w:rsid w:val="00124074"/>
    <w:rsid w:val="00136095"/>
    <w:rsid w:val="00136676"/>
    <w:rsid w:val="00140AF8"/>
    <w:rsid w:val="00141715"/>
    <w:rsid w:val="00141CC9"/>
    <w:rsid w:val="00143281"/>
    <w:rsid w:val="00143D64"/>
    <w:rsid w:val="001455EA"/>
    <w:rsid w:val="00150EBB"/>
    <w:rsid w:val="00152854"/>
    <w:rsid w:val="00152E76"/>
    <w:rsid w:val="0015589A"/>
    <w:rsid w:val="00155DA7"/>
    <w:rsid w:val="00170CDB"/>
    <w:rsid w:val="00173C30"/>
    <w:rsid w:val="00197D01"/>
    <w:rsid w:val="001A04C6"/>
    <w:rsid w:val="001B134C"/>
    <w:rsid w:val="001B1CE4"/>
    <w:rsid w:val="001B241E"/>
    <w:rsid w:val="001B7853"/>
    <w:rsid w:val="001C4D11"/>
    <w:rsid w:val="001C6A24"/>
    <w:rsid w:val="001D72C4"/>
    <w:rsid w:val="001E25D1"/>
    <w:rsid w:val="001E2B3B"/>
    <w:rsid w:val="001E3A44"/>
    <w:rsid w:val="001F0867"/>
    <w:rsid w:val="001F5B27"/>
    <w:rsid w:val="001F7857"/>
    <w:rsid w:val="002065B4"/>
    <w:rsid w:val="0021262A"/>
    <w:rsid w:val="00232F7E"/>
    <w:rsid w:val="00261EBA"/>
    <w:rsid w:val="002634DF"/>
    <w:rsid w:val="00267B11"/>
    <w:rsid w:val="00282107"/>
    <w:rsid w:val="002A09BF"/>
    <w:rsid w:val="002A13BE"/>
    <w:rsid w:val="002A14BC"/>
    <w:rsid w:val="002B1369"/>
    <w:rsid w:val="002B2DC1"/>
    <w:rsid w:val="002B707A"/>
    <w:rsid w:val="002B77DE"/>
    <w:rsid w:val="002C0F6A"/>
    <w:rsid w:val="002C16E7"/>
    <w:rsid w:val="002C2160"/>
    <w:rsid w:val="002C5B39"/>
    <w:rsid w:val="002D3810"/>
    <w:rsid w:val="002D55BF"/>
    <w:rsid w:val="002D5D32"/>
    <w:rsid w:val="002E0BD7"/>
    <w:rsid w:val="002E27EB"/>
    <w:rsid w:val="002E3FEF"/>
    <w:rsid w:val="002E6546"/>
    <w:rsid w:val="0031239B"/>
    <w:rsid w:val="003125BC"/>
    <w:rsid w:val="00326D9C"/>
    <w:rsid w:val="00330505"/>
    <w:rsid w:val="00330B39"/>
    <w:rsid w:val="00335AE5"/>
    <w:rsid w:val="00336BFD"/>
    <w:rsid w:val="00340570"/>
    <w:rsid w:val="00344D71"/>
    <w:rsid w:val="00361D63"/>
    <w:rsid w:val="003652E7"/>
    <w:rsid w:val="003703C2"/>
    <w:rsid w:val="00373E27"/>
    <w:rsid w:val="003743EC"/>
    <w:rsid w:val="0038280A"/>
    <w:rsid w:val="003837C3"/>
    <w:rsid w:val="00383EE4"/>
    <w:rsid w:val="003851A9"/>
    <w:rsid w:val="0039013F"/>
    <w:rsid w:val="00393E6B"/>
    <w:rsid w:val="003A5604"/>
    <w:rsid w:val="003A5B70"/>
    <w:rsid w:val="003B21DB"/>
    <w:rsid w:val="003C5AAC"/>
    <w:rsid w:val="003D6AF1"/>
    <w:rsid w:val="003F20BE"/>
    <w:rsid w:val="003F7E48"/>
    <w:rsid w:val="00400B53"/>
    <w:rsid w:val="00406900"/>
    <w:rsid w:val="00411D05"/>
    <w:rsid w:val="0042112B"/>
    <w:rsid w:val="00424EE4"/>
    <w:rsid w:val="00435032"/>
    <w:rsid w:val="00436C11"/>
    <w:rsid w:val="00437576"/>
    <w:rsid w:val="0043776E"/>
    <w:rsid w:val="004404AB"/>
    <w:rsid w:val="0044617F"/>
    <w:rsid w:val="00454EDE"/>
    <w:rsid w:val="00456F41"/>
    <w:rsid w:val="00461862"/>
    <w:rsid w:val="00470D82"/>
    <w:rsid w:val="00477D16"/>
    <w:rsid w:val="00491FC1"/>
    <w:rsid w:val="0049266B"/>
    <w:rsid w:val="004A06A7"/>
    <w:rsid w:val="004A1720"/>
    <w:rsid w:val="004A46A4"/>
    <w:rsid w:val="004B4DB8"/>
    <w:rsid w:val="004B51DF"/>
    <w:rsid w:val="004B55CF"/>
    <w:rsid w:val="004B6A51"/>
    <w:rsid w:val="004C1F94"/>
    <w:rsid w:val="004C26F7"/>
    <w:rsid w:val="004F09C9"/>
    <w:rsid w:val="004F1AAD"/>
    <w:rsid w:val="004F39B4"/>
    <w:rsid w:val="004F52F4"/>
    <w:rsid w:val="004F7208"/>
    <w:rsid w:val="004F73C9"/>
    <w:rsid w:val="005215BF"/>
    <w:rsid w:val="0052462B"/>
    <w:rsid w:val="00526827"/>
    <w:rsid w:val="0052738E"/>
    <w:rsid w:val="00541BBB"/>
    <w:rsid w:val="0054246D"/>
    <w:rsid w:val="00546DD9"/>
    <w:rsid w:val="005554A0"/>
    <w:rsid w:val="00555C99"/>
    <w:rsid w:val="00586156"/>
    <w:rsid w:val="00593470"/>
    <w:rsid w:val="005945DE"/>
    <w:rsid w:val="005958F0"/>
    <w:rsid w:val="005A51FF"/>
    <w:rsid w:val="005B3C6E"/>
    <w:rsid w:val="005C06E8"/>
    <w:rsid w:val="005C1DCA"/>
    <w:rsid w:val="005D2418"/>
    <w:rsid w:val="005D29DE"/>
    <w:rsid w:val="005D2AB6"/>
    <w:rsid w:val="005D3F70"/>
    <w:rsid w:val="005D4301"/>
    <w:rsid w:val="005E7B38"/>
    <w:rsid w:val="005F1A2E"/>
    <w:rsid w:val="005F44CB"/>
    <w:rsid w:val="005F4DB9"/>
    <w:rsid w:val="00601BFB"/>
    <w:rsid w:val="00606031"/>
    <w:rsid w:val="00620899"/>
    <w:rsid w:val="00623991"/>
    <w:rsid w:val="006241F5"/>
    <w:rsid w:val="00626339"/>
    <w:rsid w:val="0063797B"/>
    <w:rsid w:val="00641C5F"/>
    <w:rsid w:val="00641FAB"/>
    <w:rsid w:val="00644D81"/>
    <w:rsid w:val="00650B47"/>
    <w:rsid w:val="00662769"/>
    <w:rsid w:val="0066722C"/>
    <w:rsid w:val="00671A9C"/>
    <w:rsid w:val="00672BF3"/>
    <w:rsid w:val="00687AC1"/>
    <w:rsid w:val="00691282"/>
    <w:rsid w:val="00692AEF"/>
    <w:rsid w:val="006A540D"/>
    <w:rsid w:val="006A6FA4"/>
    <w:rsid w:val="006B0DD9"/>
    <w:rsid w:val="006C1595"/>
    <w:rsid w:val="006C1EF6"/>
    <w:rsid w:val="006C7BD9"/>
    <w:rsid w:val="006D0819"/>
    <w:rsid w:val="006E1BF4"/>
    <w:rsid w:val="006E4A64"/>
    <w:rsid w:val="006E7DE3"/>
    <w:rsid w:val="006E7E87"/>
    <w:rsid w:val="006F296E"/>
    <w:rsid w:val="006F3496"/>
    <w:rsid w:val="00702EAA"/>
    <w:rsid w:val="00705292"/>
    <w:rsid w:val="00711FE4"/>
    <w:rsid w:val="007149DD"/>
    <w:rsid w:val="00721821"/>
    <w:rsid w:val="007259A8"/>
    <w:rsid w:val="00725A2A"/>
    <w:rsid w:val="00732875"/>
    <w:rsid w:val="00736D60"/>
    <w:rsid w:val="00744A95"/>
    <w:rsid w:val="007470CD"/>
    <w:rsid w:val="0074773B"/>
    <w:rsid w:val="00757FEC"/>
    <w:rsid w:val="00764E83"/>
    <w:rsid w:val="00770171"/>
    <w:rsid w:val="00773380"/>
    <w:rsid w:val="00784C52"/>
    <w:rsid w:val="00784D8C"/>
    <w:rsid w:val="00786A32"/>
    <w:rsid w:val="0079750F"/>
    <w:rsid w:val="007A7DBE"/>
    <w:rsid w:val="007C0324"/>
    <w:rsid w:val="007C3453"/>
    <w:rsid w:val="007C43E7"/>
    <w:rsid w:val="007C505C"/>
    <w:rsid w:val="007C6218"/>
    <w:rsid w:val="007D1BDF"/>
    <w:rsid w:val="007D325F"/>
    <w:rsid w:val="007D6AEA"/>
    <w:rsid w:val="007D76A1"/>
    <w:rsid w:val="007E5C3F"/>
    <w:rsid w:val="007F2D62"/>
    <w:rsid w:val="007F641A"/>
    <w:rsid w:val="008051BE"/>
    <w:rsid w:val="00806383"/>
    <w:rsid w:val="0082219F"/>
    <w:rsid w:val="008229D8"/>
    <w:rsid w:val="00836D23"/>
    <w:rsid w:val="00842C3F"/>
    <w:rsid w:val="0084407C"/>
    <w:rsid w:val="00844579"/>
    <w:rsid w:val="00853ED6"/>
    <w:rsid w:val="008574B2"/>
    <w:rsid w:val="00873445"/>
    <w:rsid w:val="008747D4"/>
    <w:rsid w:val="0088039E"/>
    <w:rsid w:val="008828A9"/>
    <w:rsid w:val="0088632A"/>
    <w:rsid w:val="00887D5F"/>
    <w:rsid w:val="008904DA"/>
    <w:rsid w:val="008A03A8"/>
    <w:rsid w:val="008A6F20"/>
    <w:rsid w:val="008A73A8"/>
    <w:rsid w:val="008B5A5E"/>
    <w:rsid w:val="008C0FD2"/>
    <w:rsid w:val="008C5199"/>
    <w:rsid w:val="008C7D7D"/>
    <w:rsid w:val="008D2129"/>
    <w:rsid w:val="008D3EC0"/>
    <w:rsid w:val="008E76F2"/>
    <w:rsid w:val="008F44FB"/>
    <w:rsid w:val="00902869"/>
    <w:rsid w:val="0090418C"/>
    <w:rsid w:val="0090484B"/>
    <w:rsid w:val="00905785"/>
    <w:rsid w:val="0090651B"/>
    <w:rsid w:val="0090749F"/>
    <w:rsid w:val="00933227"/>
    <w:rsid w:val="0094335F"/>
    <w:rsid w:val="00950D16"/>
    <w:rsid w:val="00954819"/>
    <w:rsid w:val="00962B5D"/>
    <w:rsid w:val="00967CD2"/>
    <w:rsid w:val="00974CE4"/>
    <w:rsid w:val="00976D71"/>
    <w:rsid w:val="00977CAA"/>
    <w:rsid w:val="009816DC"/>
    <w:rsid w:val="00985F1F"/>
    <w:rsid w:val="00997B14"/>
    <w:rsid w:val="009A7024"/>
    <w:rsid w:val="009B0017"/>
    <w:rsid w:val="009C5B8C"/>
    <w:rsid w:val="009C5DBF"/>
    <w:rsid w:val="009C658F"/>
    <w:rsid w:val="009D1ECC"/>
    <w:rsid w:val="009D4C74"/>
    <w:rsid w:val="009D5A84"/>
    <w:rsid w:val="009D7522"/>
    <w:rsid w:val="009E0EBA"/>
    <w:rsid w:val="009E3F7E"/>
    <w:rsid w:val="009E4A79"/>
    <w:rsid w:val="009E5241"/>
    <w:rsid w:val="009F2E84"/>
    <w:rsid w:val="009F63F7"/>
    <w:rsid w:val="00A34A9D"/>
    <w:rsid w:val="00A42008"/>
    <w:rsid w:val="00A43E7B"/>
    <w:rsid w:val="00A4436A"/>
    <w:rsid w:val="00A52D21"/>
    <w:rsid w:val="00A61953"/>
    <w:rsid w:val="00A62726"/>
    <w:rsid w:val="00A70AC4"/>
    <w:rsid w:val="00A72EDF"/>
    <w:rsid w:val="00A75432"/>
    <w:rsid w:val="00A84721"/>
    <w:rsid w:val="00A90299"/>
    <w:rsid w:val="00A92276"/>
    <w:rsid w:val="00AA2541"/>
    <w:rsid w:val="00AA3B46"/>
    <w:rsid w:val="00AB0BF8"/>
    <w:rsid w:val="00AB392F"/>
    <w:rsid w:val="00AC3D3B"/>
    <w:rsid w:val="00AD6CC0"/>
    <w:rsid w:val="00AE4017"/>
    <w:rsid w:val="00AE53B8"/>
    <w:rsid w:val="00AE5E7D"/>
    <w:rsid w:val="00AE685C"/>
    <w:rsid w:val="00AF1E33"/>
    <w:rsid w:val="00AF3A1E"/>
    <w:rsid w:val="00AF48EB"/>
    <w:rsid w:val="00AF5B17"/>
    <w:rsid w:val="00AF7902"/>
    <w:rsid w:val="00B0194F"/>
    <w:rsid w:val="00B1520E"/>
    <w:rsid w:val="00B44122"/>
    <w:rsid w:val="00B46241"/>
    <w:rsid w:val="00B56A93"/>
    <w:rsid w:val="00B56CA2"/>
    <w:rsid w:val="00B61318"/>
    <w:rsid w:val="00B621FA"/>
    <w:rsid w:val="00B65EE7"/>
    <w:rsid w:val="00B74AF6"/>
    <w:rsid w:val="00B7752D"/>
    <w:rsid w:val="00B85F02"/>
    <w:rsid w:val="00B87FF0"/>
    <w:rsid w:val="00B91D6E"/>
    <w:rsid w:val="00B9793D"/>
    <w:rsid w:val="00BA21A6"/>
    <w:rsid w:val="00BA580A"/>
    <w:rsid w:val="00BB5139"/>
    <w:rsid w:val="00BB5729"/>
    <w:rsid w:val="00BB7CFD"/>
    <w:rsid w:val="00BC5C3E"/>
    <w:rsid w:val="00BD5F18"/>
    <w:rsid w:val="00BF103E"/>
    <w:rsid w:val="00BF1780"/>
    <w:rsid w:val="00BF1802"/>
    <w:rsid w:val="00BF1B35"/>
    <w:rsid w:val="00BF7443"/>
    <w:rsid w:val="00C014EC"/>
    <w:rsid w:val="00C10F1E"/>
    <w:rsid w:val="00C11335"/>
    <w:rsid w:val="00C12CD8"/>
    <w:rsid w:val="00C12D2F"/>
    <w:rsid w:val="00C16354"/>
    <w:rsid w:val="00C16EBA"/>
    <w:rsid w:val="00C51AF3"/>
    <w:rsid w:val="00C656D1"/>
    <w:rsid w:val="00C741DD"/>
    <w:rsid w:val="00C83E39"/>
    <w:rsid w:val="00C87A63"/>
    <w:rsid w:val="00C93EB9"/>
    <w:rsid w:val="00C948F5"/>
    <w:rsid w:val="00CA166A"/>
    <w:rsid w:val="00CA2183"/>
    <w:rsid w:val="00CA2C0F"/>
    <w:rsid w:val="00CB1A56"/>
    <w:rsid w:val="00CB7624"/>
    <w:rsid w:val="00CE08ED"/>
    <w:rsid w:val="00CE184D"/>
    <w:rsid w:val="00CE239C"/>
    <w:rsid w:val="00CF02A3"/>
    <w:rsid w:val="00D12A07"/>
    <w:rsid w:val="00D1452A"/>
    <w:rsid w:val="00D20897"/>
    <w:rsid w:val="00D31510"/>
    <w:rsid w:val="00D5795A"/>
    <w:rsid w:val="00D63081"/>
    <w:rsid w:val="00D63329"/>
    <w:rsid w:val="00D656E5"/>
    <w:rsid w:val="00D719F2"/>
    <w:rsid w:val="00D76EFF"/>
    <w:rsid w:val="00D773CB"/>
    <w:rsid w:val="00DA0FFC"/>
    <w:rsid w:val="00DB3FD5"/>
    <w:rsid w:val="00DB7F66"/>
    <w:rsid w:val="00DC14BB"/>
    <w:rsid w:val="00DC3C59"/>
    <w:rsid w:val="00DD76E3"/>
    <w:rsid w:val="00DE0EDD"/>
    <w:rsid w:val="00DE7D3C"/>
    <w:rsid w:val="00DF11EB"/>
    <w:rsid w:val="00DF4A8E"/>
    <w:rsid w:val="00E07B4A"/>
    <w:rsid w:val="00E205E4"/>
    <w:rsid w:val="00E33CF6"/>
    <w:rsid w:val="00E3443B"/>
    <w:rsid w:val="00E41D14"/>
    <w:rsid w:val="00E54221"/>
    <w:rsid w:val="00E60B70"/>
    <w:rsid w:val="00E60BDE"/>
    <w:rsid w:val="00E7678C"/>
    <w:rsid w:val="00E77B80"/>
    <w:rsid w:val="00E94D55"/>
    <w:rsid w:val="00E95F27"/>
    <w:rsid w:val="00EB22B7"/>
    <w:rsid w:val="00EB739C"/>
    <w:rsid w:val="00EC7153"/>
    <w:rsid w:val="00ED505F"/>
    <w:rsid w:val="00ED7751"/>
    <w:rsid w:val="00EF3014"/>
    <w:rsid w:val="00F014D9"/>
    <w:rsid w:val="00F03085"/>
    <w:rsid w:val="00F04FB3"/>
    <w:rsid w:val="00F13277"/>
    <w:rsid w:val="00F206F2"/>
    <w:rsid w:val="00F25796"/>
    <w:rsid w:val="00F35E11"/>
    <w:rsid w:val="00F45B0F"/>
    <w:rsid w:val="00F55273"/>
    <w:rsid w:val="00F611E5"/>
    <w:rsid w:val="00F65175"/>
    <w:rsid w:val="00F67946"/>
    <w:rsid w:val="00F771EC"/>
    <w:rsid w:val="00F863B5"/>
    <w:rsid w:val="00F968DD"/>
    <w:rsid w:val="00FA049C"/>
    <w:rsid w:val="00FA3E9C"/>
    <w:rsid w:val="00FA4129"/>
    <w:rsid w:val="00FA5867"/>
    <w:rsid w:val="00FC3BD0"/>
    <w:rsid w:val="00FD6C96"/>
    <w:rsid w:val="00FD7DDD"/>
    <w:rsid w:val="00FE21B7"/>
    <w:rsid w:val="00FE6743"/>
    <w:rsid w:val="00FF7DD5"/>
    <w:rsid w:val="03F8304A"/>
    <w:rsid w:val="0B8D3B60"/>
    <w:rsid w:val="17FA0AF3"/>
    <w:rsid w:val="18452439"/>
    <w:rsid w:val="22925E4A"/>
    <w:rsid w:val="2C1834CC"/>
    <w:rsid w:val="36D27D8E"/>
    <w:rsid w:val="468F0AA8"/>
    <w:rsid w:val="54E105EC"/>
    <w:rsid w:val="5D3C52B2"/>
    <w:rsid w:val="60427D2E"/>
    <w:rsid w:val="6841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  <w:rPr>
      <w:rFonts w:ascii="Calibri" w:hAnsi="Calibri" w:eastAsia="宋体" w:cs="Times New Roman"/>
    </w:rPr>
  </w:style>
  <w:style w:type="paragraph" w:styleId="4">
    <w:name w:val="Balloon Text"/>
    <w:basedOn w:val="1"/>
    <w:link w:val="17"/>
    <w:semiHidden/>
    <w:unhideWhenUsed/>
    <w:qFormat/>
    <w:uiPriority w:val="99"/>
    <w:rPr>
      <w:rFonts w:ascii="Calibri" w:hAnsi="Calibri" w:eastAsia="宋体" w:cs="Times New Roman"/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page number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 Char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4">
    <w:name w:val="日期 Char1"/>
    <w:basedOn w:val="9"/>
    <w:semiHidden/>
    <w:qFormat/>
    <w:uiPriority w:val="99"/>
  </w:style>
  <w:style w:type="character" w:customStyle="1" w:styleId="15">
    <w:name w:val="样式 列出段落 + Times New Roman Char"/>
    <w:link w:val="16"/>
    <w:uiPriority w:val="0"/>
    <w:rPr>
      <w:szCs w:val="24"/>
    </w:rPr>
  </w:style>
  <w:style w:type="paragraph" w:customStyle="1" w:styleId="16">
    <w:name w:val="样式 列出段落 + Times New Roman"/>
    <w:basedOn w:val="1"/>
    <w:link w:val="15"/>
    <w:qFormat/>
    <w:uiPriority w:val="0"/>
    <w:pPr>
      <w:adjustRightInd w:val="0"/>
      <w:snapToGrid w:val="0"/>
      <w:ind w:firstLine="200" w:firstLineChars="200"/>
    </w:pPr>
    <w:rPr>
      <w:szCs w:val="24"/>
    </w:rPr>
  </w:style>
  <w:style w:type="character" w:customStyle="1" w:styleId="17">
    <w:name w:val="批注框文本 Char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批注框文本 Char1"/>
    <w:basedOn w:val="9"/>
    <w:semiHidden/>
    <w:qFormat/>
    <w:uiPriority w:val="99"/>
    <w:rPr>
      <w:sz w:val="18"/>
      <w:szCs w:val="18"/>
    </w:rPr>
  </w:style>
  <w:style w:type="character" w:customStyle="1" w:styleId="19">
    <w:name w:val="标题 Char"/>
    <w:basedOn w:val="9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20">
    <w:name w:val="Char Char1 Char Char"/>
    <w:basedOn w:val="2"/>
    <w:qFormat/>
    <w:uiPriority w:val="0"/>
    <w:pPr>
      <w:tabs>
        <w:tab w:val="left" w:pos="360"/>
        <w:tab w:val="left" w:pos="900"/>
      </w:tabs>
      <w:snapToGrid w:val="0"/>
      <w:spacing w:before="120" w:after="120" w:line="360" w:lineRule="auto"/>
      <w:ind w:left="542" w:leftChars="-12" w:firstLine="200" w:firstLineChars="200"/>
      <w:jc w:val="left"/>
    </w:pPr>
    <w:rPr>
      <w:rFonts w:ascii="Times New Roman" w:hAnsi="Times New Roman" w:eastAsia="黑体" w:cs="Times New Roman"/>
      <w:b w:val="0"/>
      <w:bCs w:val="0"/>
      <w:snapToGrid w:val="0"/>
      <w:sz w:val="24"/>
      <w:szCs w:val="24"/>
    </w:rPr>
  </w:style>
  <w:style w:type="character" w:customStyle="1" w:styleId="21">
    <w:name w:val="标题 3 Char"/>
    <w:basedOn w:val="9"/>
    <w:link w:val="2"/>
    <w:semiHidden/>
    <w:qFormat/>
    <w:uiPriority w:val="9"/>
    <w:rPr>
      <w:b/>
      <w:bCs/>
      <w:kern w:val="2"/>
      <w:sz w:val="32"/>
      <w:szCs w:val="32"/>
    </w:rPr>
  </w:style>
  <w:style w:type="paragraph" w:customStyle="1" w:styleId="22">
    <w:name w:val="Char Char1 Char Char2"/>
    <w:basedOn w:val="2"/>
    <w:qFormat/>
    <w:uiPriority w:val="0"/>
    <w:pPr>
      <w:tabs>
        <w:tab w:val="left" w:pos="360"/>
        <w:tab w:val="left" w:pos="900"/>
      </w:tabs>
      <w:snapToGrid w:val="0"/>
      <w:spacing w:before="120" w:after="120" w:line="360" w:lineRule="auto"/>
      <w:ind w:left="542" w:leftChars="-12" w:firstLine="200" w:firstLineChars="200"/>
      <w:jc w:val="left"/>
    </w:pPr>
    <w:rPr>
      <w:rFonts w:ascii="Times New Roman" w:hAnsi="Times New Roman" w:eastAsia="黑体" w:cs="Times New Roman"/>
      <w:b w:val="0"/>
      <w:bCs w:val="0"/>
      <w:snapToGrid w:val="0"/>
      <w:sz w:val="24"/>
      <w:szCs w:val="24"/>
    </w:rPr>
  </w:style>
  <w:style w:type="paragraph" w:customStyle="1" w:styleId="23">
    <w:name w:val="Char Char1 Char Char1"/>
    <w:basedOn w:val="2"/>
    <w:qFormat/>
    <w:uiPriority w:val="0"/>
    <w:pPr>
      <w:tabs>
        <w:tab w:val="left" w:pos="360"/>
        <w:tab w:val="left" w:pos="900"/>
      </w:tabs>
      <w:snapToGrid w:val="0"/>
      <w:spacing w:before="120" w:after="120" w:line="360" w:lineRule="auto"/>
      <w:ind w:left="542" w:leftChars="-12" w:firstLine="200" w:firstLineChars="200"/>
      <w:jc w:val="left"/>
    </w:pPr>
    <w:rPr>
      <w:rFonts w:ascii="Times New Roman" w:hAnsi="Times New Roman" w:eastAsia="黑体" w:cs="Times New Roman"/>
      <w:b w:val="0"/>
      <w:bCs w:val="0"/>
      <w:snapToGrid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1048</Words>
  <Characters>5980</Characters>
  <Lines>49</Lines>
  <Paragraphs>14</Paragraphs>
  <TotalTime>33</TotalTime>
  <ScaleCrop>false</ScaleCrop>
  <LinksUpToDate>false</LinksUpToDate>
  <CharactersWithSpaces>7014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2019-04-09T10:16:00Z</dcterms:created>
  <dc:creator>Windows 用户</dc:creator>
  <cp:lastModifiedBy>Administrator</cp:lastModifiedBy>
  <cp:lastPrinted>2019-09-17T02:25:31Z</cp:lastPrinted>
  <dcterms:modified xsi:type="dcterms:W3CDTF">2019-09-17T02:47:54Z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